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1"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80645</wp:posOffset>
            </wp:positionV>
            <wp:extent cx="1645920" cy="951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AVITA MEDICAL,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p>
      <w:pPr>
        <w:spacing w:after="0" w:line="190"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85-1021707</w:t>
      </w:r>
    </w:p>
    <w:p>
      <w:pPr>
        <w:spacing w:after="0" w:line="36" w:lineRule="exact"/>
        <w:rPr>
          <w:sz w:val="24"/>
          <w:szCs w:val="24"/>
          <w:color w:val="auto"/>
        </w:rPr>
      </w:pPr>
    </w:p>
    <w:p>
      <w:pPr>
        <w:sectPr>
          <w:pgSz w:w="11900" w:h="16838" w:orient="portrait"/>
          <w:cols w:equalWidth="0" w:num="2">
            <w:col w:w="7320" w:space="720"/>
            <w:col w:w="3200"/>
          </w:cols>
          <w:pgMar w:left="320" w:top="346" w:right="339" w:bottom="1440" w:gutter="0" w:footer="0" w:header="0"/>
          <w:type w:val="continuous"/>
        </w:sectPr>
      </w:pPr>
    </w:p>
    <w:p>
      <w:pPr>
        <w:spacing w:after="0" w:line="1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3"/>
          <w:szCs w:val="13"/>
          <w:b w:val="1"/>
          <w:bCs w:val="1"/>
          <w:color w:val="auto"/>
        </w:rPr>
        <w:t>(IRS Employer</w:t>
      </w:r>
    </w:p>
    <w:p>
      <w:pPr>
        <w:jc w:val="center"/>
        <w:ind w:right="2320"/>
        <w:spacing w:after="0"/>
        <w:rPr>
          <w:sz w:val="20"/>
          <w:szCs w:val="20"/>
          <w:color w:val="auto"/>
        </w:rPr>
      </w:pPr>
      <w:r>
        <w:rPr>
          <w:rFonts w:ascii="Arial" w:cs="Arial" w:eastAsia="Arial" w:hAnsi="Arial"/>
          <w:sz w:val="10"/>
          <w:szCs w:val="10"/>
          <w:b w:val="1"/>
          <w:bCs w:val="1"/>
          <w:color w:val="auto"/>
        </w:rPr>
        <w:t>Identification No.)</w:t>
      </w:r>
    </w:p>
    <w:p>
      <w:pPr>
        <w:spacing w:after="0" w:line="91" w:lineRule="exact"/>
        <w:rPr>
          <w:sz w:val="24"/>
          <w:szCs w:val="24"/>
          <w:color w:val="auto"/>
        </w:rPr>
      </w:pPr>
    </w:p>
    <w:p>
      <w:pPr>
        <w:sectPr>
          <w:pgSz w:w="11900" w:h="16838" w:orient="portrait"/>
          <w:cols w:equalWidth="0" w:num="2">
            <w:col w:w="7220" w:space="720"/>
            <w:col w:w="3300"/>
          </w:cols>
          <w:pgMar w:left="320" w:top="34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28159 Avenue Stanford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220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Valencia, CA 91355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(Address of principal executive offices and Zip Code)</w:t>
      </w:r>
    </w:p>
    <w:p>
      <w:pPr>
        <w:sectPr>
          <w:pgSz w:w="11900" w:h="16838" w:orient="portrait"/>
          <w:cols w:equalWidth="0" w:num="1">
            <w:col w:w="11240"/>
          </w:cols>
          <w:pgMar w:left="320" w:top="34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(661) 367-9170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Trading</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3"/>
              </w:rPr>
              <w:t>Name of each exchange</w:t>
            </w:r>
          </w:p>
        </w:tc>
      </w:tr>
      <w:tr>
        <w:trPr>
          <w:trHeight w:val="153"/>
        </w:trPr>
        <w:tc>
          <w:tcPr>
            <w:tcW w:w="45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Title of each class</w:t>
            </w:r>
          </w:p>
        </w:tc>
        <w:tc>
          <w:tcPr>
            <w:tcW w:w="2320" w:type="dxa"/>
            <w:vAlign w:val="bottom"/>
            <w:gridSpan w:val="2"/>
          </w:tcPr>
          <w:p>
            <w:pPr>
              <w:ind w:left="960"/>
              <w:spacing w:after="0"/>
              <w:rPr>
                <w:sz w:val="20"/>
                <w:szCs w:val="20"/>
                <w:color w:val="auto"/>
              </w:rPr>
            </w:pPr>
            <w:r>
              <w:rPr>
                <w:rFonts w:ascii="Arial" w:cs="Arial" w:eastAsia="Arial" w:hAnsi="Arial"/>
                <w:sz w:val="13"/>
                <w:szCs w:val="13"/>
                <w:b w:val="1"/>
                <w:bCs w:val="1"/>
                <w:color w:val="auto"/>
              </w:rPr>
              <w:t>Symbol</w:t>
            </w:r>
          </w:p>
        </w:tc>
        <w:tc>
          <w:tcPr>
            <w:tcW w:w="4340" w:type="dxa"/>
            <w:vAlign w:val="bottom"/>
          </w:tcPr>
          <w:p>
            <w:pPr>
              <w:jc w:val="center"/>
              <w:ind w:left="71"/>
              <w:spacing w:after="0"/>
              <w:rPr>
                <w:sz w:val="20"/>
                <w:szCs w:val="20"/>
                <w:color w:val="auto"/>
              </w:rPr>
            </w:pPr>
            <w:r>
              <w:rPr>
                <w:rFonts w:ascii="Arial" w:cs="Arial" w:eastAsia="Arial" w:hAnsi="Arial"/>
                <w:sz w:val="13"/>
                <w:szCs w:val="13"/>
                <w:b w:val="1"/>
                <w:bCs w:val="1"/>
                <w:color w:val="auto"/>
                <w:w w:val="84"/>
              </w:rPr>
              <w:t>on which registered</w:t>
            </w:r>
          </w:p>
        </w:tc>
      </w:tr>
      <w:tr>
        <w:trPr>
          <w:trHeight w:val="20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$0.0001 per share</w:t>
            </w:r>
          </w:p>
        </w:tc>
        <w:tc>
          <w:tcPr>
            <w:tcW w:w="220" w:type="dxa"/>
            <w:vAlign w:val="bottom"/>
          </w:tcPr>
          <w:p>
            <w:pPr>
              <w:spacing w:after="0"/>
              <w:rPr>
                <w:sz w:val="17"/>
                <w:szCs w:val="17"/>
                <w:color w:val="auto"/>
              </w:rPr>
            </w:pPr>
          </w:p>
        </w:tc>
        <w:tc>
          <w:tcPr>
            <w:tcW w:w="2220" w:type="dxa"/>
            <w:vAlign w:val="bottom"/>
            <w:tcBorders>
              <w:top w:val="single" w:sz="8" w:color="auto"/>
            </w:tcBorders>
          </w:tcPr>
          <w:p>
            <w:pPr>
              <w:ind w:left="960"/>
              <w:spacing w:after="0"/>
              <w:rPr>
                <w:sz w:val="20"/>
                <w:szCs w:val="20"/>
                <w:color w:val="auto"/>
              </w:rPr>
            </w:pPr>
            <w:r>
              <w:rPr>
                <w:rFonts w:ascii="Arial" w:cs="Arial" w:eastAsia="Arial" w:hAnsi="Arial"/>
                <w:sz w:val="16"/>
                <w:szCs w:val="16"/>
                <w:b w:val="1"/>
                <w:bCs w:val="1"/>
                <w:color w:val="auto"/>
              </w:rPr>
              <w:t>RCEL</w:t>
            </w:r>
          </w:p>
        </w:tc>
        <w:tc>
          <w:tcPr>
            <w:tcW w:w="100" w:type="dxa"/>
            <w:vAlign w:val="bottom"/>
          </w:tcPr>
          <w:p>
            <w:pPr>
              <w:spacing w:after="0"/>
              <w:rPr>
                <w:sz w:val="17"/>
                <w:szCs w:val="17"/>
                <w:color w:val="auto"/>
              </w:rPr>
            </w:pPr>
          </w:p>
        </w:tc>
        <w:tc>
          <w:tcPr>
            <w:tcW w:w="4340" w:type="dxa"/>
            <w:vAlign w:val="bottom"/>
            <w:tcBorders>
              <w:top w:val="single" w:sz="8" w:color="auto"/>
            </w:tcBorders>
          </w:tcPr>
          <w:p>
            <w:pPr>
              <w:ind w:left="100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220"/>
              <w:spacing w:after="0"/>
              <w:rPr>
                <w:sz w:val="20"/>
                <w:szCs w:val="20"/>
                <w:color w:val="auto"/>
              </w:rPr>
            </w:pPr>
            <w:r>
              <w:rPr>
                <w:rFonts w:ascii="Arial" w:cs="Arial" w:eastAsia="Arial" w:hAnsi="Arial"/>
                <w:sz w:val="16"/>
                <w:szCs w:val="16"/>
                <w:color w:val="auto"/>
                <w:w w:val="99"/>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r>
    </w:tbl>
    <w:p>
      <w:pPr>
        <w:spacing w:after="0" w:line="46"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right="26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the registrant’s $0.0001 par value common stock outstanding as of November 5, 2021 was 24,925,118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100" w:type="dxa"/>
            <w:vAlign w:val="bottom"/>
            <w:gridSpan w:val="10"/>
          </w:tcPr>
          <w:p>
            <w:pPr>
              <w:ind w:left="30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r>
      <w:tr>
        <w:trPr>
          <w:trHeight w:val="418"/>
        </w:trPr>
        <w:tc>
          <w:tcPr>
            <w:tcW w:w="1040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0" w:type="dxa"/>
            <w:vAlign w:val="bottom"/>
            <w:gridSpan w:val="20"/>
          </w:tcPr>
          <w:p>
            <w:pPr>
              <w:spacing w:after="0"/>
              <w:rPr>
                <w:sz w:val="20"/>
                <w:szCs w:val="20"/>
                <w:color w:val="auto"/>
              </w:rPr>
            </w:pPr>
            <w:r>
              <w:rPr>
                <w:rFonts w:ascii="Arial" w:cs="Arial" w:eastAsia="Arial" w:hAnsi="Arial"/>
                <w:sz w:val="18"/>
                <w:szCs w:val="18"/>
                <w:color w:val="auto"/>
              </w:rPr>
              <w:t>Consolidated Financial Statements</w:t>
            </w:r>
          </w:p>
        </w:tc>
        <w:tc>
          <w:tcPr>
            <w:tcW w:w="840" w:type="dxa"/>
            <w:vAlign w:val="bottom"/>
          </w:tcPr>
          <w:p>
            <w:pPr>
              <w:spacing w:after="0"/>
              <w:rPr>
                <w:sz w:val="24"/>
                <w:szCs w:val="24"/>
                <w:color w:val="auto"/>
              </w:rPr>
            </w:pPr>
          </w:p>
        </w:tc>
      </w:tr>
      <w:tr>
        <w:trPr>
          <w:trHeight w:val="297"/>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 September 30, 2021 (unaudited) and June 30, 2021</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September 30, 2021 and 2020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Loss for the three months ended September 30, 2021 and 2020 (unaudited)</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45"/>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 xml:space="preserve">Consolidated Statements of Stockholders’ Equity for the three months ended September 30, 2021 and 2020 </w:t>
              </w:r>
              <w:r>
                <w:rPr>
                  <w:rFonts w:ascii="Arial" w:cs="Arial" w:eastAsia="Arial" w:hAnsi="Arial"/>
                  <w:sz w:val="21"/>
                  <w:szCs w:val="21"/>
                  <w:color w:val="0000EE"/>
                  <w:w w:val="89"/>
                </w:rPr>
                <w:t>(</w:t>
              </w:r>
              <w:r>
                <w:rPr>
                  <w:rFonts w:ascii="Arial" w:cs="Arial" w:eastAsia="Arial" w:hAnsi="Arial"/>
                  <w:sz w:val="18"/>
                  <w:szCs w:val="18"/>
                  <w:color w:val="0000EE"/>
                  <w:w w:val="89"/>
                </w:rPr>
                <w:t>unaudited)</w:t>
              </w:r>
            </w:hyperlink>
          </w:p>
        </w:tc>
        <w:tc>
          <w:tcPr>
            <w:tcW w:w="6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Consolidated Statements of Cash Flows for the three months ended September 30, 2021 and 2020 (unaudited)</w:t>
              </w:r>
            </w:hyperlink>
          </w:p>
        </w:tc>
        <w:tc>
          <w:tcPr>
            <w:tcW w:w="13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0" w:type="dxa"/>
            <w:vAlign w:val="bottom"/>
            <w:gridSpan w:val="2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 xml:space="preserve">Notes to Consolidated Financial Statements </w:t>
              </w:r>
            </w:hyperlink>
            <w:r>
              <w:rPr>
                <w:rFonts w:ascii="Arial" w:cs="Arial" w:eastAsia="Arial" w:hAnsi="Arial"/>
                <w:sz w:val="18"/>
                <w:szCs w:val="18"/>
                <w:color w:val="000000"/>
              </w:rPr>
              <w:t>(unaudited)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280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Quantitative and Qualitative Disclosures About Market Risk</w:t>
              </w:r>
            </w:hyperlink>
          </w:p>
        </w:tc>
        <w:tc>
          <w:tcPr>
            <w:tcW w:w="490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Controls and Procedures</w:t>
              </w:r>
            </w:hyperlink>
          </w:p>
        </w:tc>
        <w:tc>
          <w:tcPr>
            <w:tcW w:w="748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2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766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1.</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34">
              <w:r>
                <w:rPr>
                  <w:rFonts w:ascii="Arial" w:cs="Arial" w:eastAsia="Arial" w:hAnsi="Arial"/>
                  <w:sz w:val="18"/>
                  <w:szCs w:val="18"/>
                  <w:color w:val="0000EE"/>
                  <w:w w:val="84"/>
                </w:rPr>
                <w:t>Legal Proceedings</w:t>
              </w:r>
            </w:hyperlink>
          </w:p>
        </w:tc>
        <w:tc>
          <w:tcPr>
            <w:tcW w:w="792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1A.</w:t>
            </w:r>
          </w:p>
        </w:tc>
        <w:tc>
          <w:tcPr>
            <w:tcW w:w="92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2.</w:t>
            </w:r>
          </w:p>
        </w:tc>
        <w:tc>
          <w:tcPr>
            <w:tcW w:w="92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tcBorders>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492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694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5.</w:t>
            </w:r>
          </w:p>
        </w:tc>
        <w:tc>
          <w:tcPr>
            <w:tcW w:w="12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Other Information</w:t>
              </w:r>
            </w:hyperlink>
          </w:p>
        </w:tc>
        <w:tc>
          <w:tcPr>
            <w:tcW w:w="794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200" w:type="dxa"/>
            <w:vAlign w:val="bottom"/>
            <w:gridSpan w:val="2"/>
          </w:tcPr>
          <w:p>
            <w:pPr>
              <w:ind w:left="340"/>
              <w:spacing w:after="0"/>
              <w:rPr>
                <w:sz w:val="20"/>
                <w:szCs w:val="20"/>
                <w:color w:val="auto"/>
              </w:rPr>
            </w:pPr>
            <w:r>
              <w:rPr>
                <w:rFonts w:ascii="Arial" w:cs="Arial" w:eastAsia="Arial" w:hAnsi="Arial"/>
                <w:sz w:val="18"/>
                <w:szCs w:val="18"/>
                <w:color w:val="auto"/>
              </w:rPr>
              <w:t>Item 6.</w:t>
            </w:r>
          </w:p>
        </w:tc>
        <w:tc>
          <w:tcPr>
            <w:tcW w:w="920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60" w:type="dxa"/>
            <w:vAlign w:val="bottom"/>
            <w:gridSpan w:val="1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996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013"/>
        </w:trPr>
        <w:tc>
          <w:tcPr>
            <w:tcW w:w="440" w:type="dxa"/>
            <w:vAlign w:val="bottom"/>
            <w:tcBorders>
              <w:bottom w:val="single" w:sz="8" w:color="9A9A9A"/>
            </w:tcBorders>
          </w:tcPr>
          <w:p>
            <w:pPr>
              <w:spacing w:after="0"/>
              <w:rPr>
                <w:sz w:val="24"/>
                <w:szCs w:val="24"/>
                <w:color w:val="auto"/>
              </w:rPr>
            </w:pPr>
          </w:p>
        </w:tc>
        <w:tc>
          <w:tcPr>
            <w:tcW w:w="760" w:type="dxa"/>
            <w:vAlign w:val="bottom"/>
            <w:tcBorders>
              <w:top w:val="single" w:sz="8" w:color="0000EE"/>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5580"/>
        <w:spacing w:after="0" w:line="377" w:lineRule="auto"/>
        <w:rPr>
          <w:sz w:val="20"/>
          <w:szCs w:val="20"/>
          <w:color w:val="auto"/>
        </w:rPr>
      </w:pPr>
      <w:r>
        <w:rPr>
          <w:rFonts w:ascii="Arial" w:cs="Arial" w:eastAsia="Arial" w:hAnsi="Arial"/>
          <w:sz w:val="18"/>
          <w:szCs w:val="18"/>
          <w:b w:val="1"/>
          <w:bCs w:val="1"/>
          <w:color w:val="auto"/>
        </w:rPr>
        <w:t>SPECIAL NOTE REGARDING FORWARD-LOOKING STATEMENTS FORWARD-LOOKING STATEMENT</w:t>
      </w:r>
    </w:p>
    <w:p>
      <w:pPr>
        <w:spacing w:after="0" w:line="2" w:lineRule="exact"/>
        <w:rPr>
          <w:sz w:val="20"/>
          <w:szCs w:val="20"/>
          <w:color w:val="auto"/>
        </w:rPr>
      </w:pPr>
    </w:p>
    <w:p>
      <w:pPr>
        <w:ind w:right="100" w:firstLine="749"/>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w:t>
      </w:r>
    </w:p>
    <w:p>
      <w:pPr>
        <w:spacing w:after="0" w:line="269" w:lineRule="auto"/>
        <w:rPr>
          <w:sz w:val="20"/>
          <w:szCs w:val="20"/>
          <w:color w:val="auto"/>
        </w:rPr>
      </w:pPr>
      <w:r>
        <w:rPr>
          <w:rFonts w:ascii="Arial" w:cs="Arial" w:eastAsia="Arial" w:hAnsi="Arial"/>
          <w:sz w:val="17"/>
          <w:szCs w:val="17"/>
          <w:i w:val="1"/>
          <w:iCs w:val="1"/>
          <w:color w:val="auto"/>
        </w:rPr>
        <w:t>Section 21E of the Securities Exchange Act of 1934, as amended, or the Exchange Act. All statements other than statements of historical facts contained in this Quarterly Report on Form 10-Q, including statements regarding our future results of operations and financial position, the anticipated impact of the novel coronavirus, or COVID-19, pandemic on our business, business strategy,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i w:val="1"/>
          <w:iCs w:val="1"/>
          <w:color w:val="auto"/>
        </w:rPr>
        <w:t>In some cases, you can identify forward-looking statements by terms such as “may,” “will,” “should,” “expect,” “plan,”“anticipate,” “could,” “intend,” “target,” “project,” “contemplate,” “believe,” “estimate,” “predict,” “potential”, or “continue” or the negative of these terms or other similar expressions.</w:t>
      </w:r>
    </w:p>
    <w:p>
      <w:pPr>
        <w:spacing w:after="0" w:line="184"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i w:val="1"/>
          <w:iCs w:val="1"/>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p>
    <w:p>
      <w:pPr>
        <w:spacing w:after="0" w:line="192"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i w:val="1"/>
          <w:iCs w:val="1"/>
          <w:color w:val="auto"/>
        </w:rPr>
        <w:t>Moreover, we operate in an evolving environment. New risk factors and uncertainties may emerge from time to time, and it is not possible for management to predict all risk factors and uncertainties.</w:t>
      </w:r>
    </w:p>
    <w:p>
      <w:pPr>
        <w:spacing w:after="0" w:line="170"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i w:val="1"/>
          <w:iCs w:val="1"/>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3"/>
                <w:szCs w:val="13"/>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1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60,484</w:t>
            </w:r>
          </w:p>
        </w:tc>
        <w:tc>
          <w:tcPr>
            <w:tcW w:w="16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110,746</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BARDA receivables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Prepaids and other current assets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Inventory</w:t>
            </w:r>
          </w:p>
        </w:tc>
        <w:tc>
          <w:tcPr>
            <w:tcW w:w="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121,330</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Plant and equipment, net</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125,501</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FF0FC"/>
          </w:tcPr>
          <w:p>
            <w:pPr>
              <w:spacing w:after="0"/>
              <w:rPr>
                <w:sz w:val="19"/>
                <w:szCs w:val="19"/>
                <w:color w:val="auto"/>
              </w:rPr>
            </w:pPr>
          </w:p>
        </w:tc>
      </w:tr>
      <w:tr>
        <w:trPr>
          <w:trHeight w:val="229"/>
        </w:trPr>
        <w:tc>
          <w:tcPr>
            <w:tcW w:w="7120" w:type="dxa"/>
            <w:vAlign w:val="bottom"/>
          </w:tcPr>
          <w:p>
            <w:pPr>
              <w:ind w:left="260"/>
              <w:spacing w:after="0"/>
              <w:rPr>
                <w:sz w:val="20"/>
                <w:szCs w:val="20"/>
                <w:color w:val="auto"/>
              </w:rPr>
            </w:pPr>
            <w:r>
              <w:rPr>
                <w:rFonts w:ascii="Arial" w:cs="Arial" w:eastAsia="Arial" w:hAnsi="Arial"/>
                <w:sz w:val="18"/>
                <w:szCs w:val="18"/>
                <w:color w:val="auto"/>
              </w:rPr>
              <w:t>Accrued wages and fringe benefits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Operating lease liabilities, long-term</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Contingencies (Note 12)</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Shareholders' Equity: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w w:val="99"/>
              </w:rPr>
              <w:t>Common stock, $0.0001 par value per share, 200,000,000 shares authorized, 24,925,118</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2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and 24,895,864 shares issued and outstanding at September 30, 2021 and June 30, 2021,</w:t>
            </w: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r>
      <w:tr>
        <w:trPr>
          <w:trHeight w:val="215"/>
        </w:trPr>
        <w:tc>
          <w:tcPr>
            <w:tcW w:w="7120" w:type="dxa"/>
            <w:vAlign w:val="bottom"/>
          </w:tcPr>
          <w:p>
            <w:pPr>
              <w:spacing w:after="0"/>
              <w:rPr>
                <w:sz w:val="20"/>
                <w:szCs w:val="20"/>
                <w:color w:val="auto"/>
              </w:rPr>
            </w:pPr>
            <w:r>
              <w:rPr>
                <w:rFonts w:ascii="Arial" w:cs="Arial" w:eastAsia="Arial" w:hAnsi="Arial"/>
                <w:sz w:val="18"/>
                <w:szCs w:val="18"/>
                <w:color w:val="auto"/>
              </w:rPr>
              <w:t>Preferred stock, $0.0001 par value per share, 10,000,000 shares authorized, no shares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issued or outstanding at September 30, 2021 and June 30, 2021</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330,734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328,889</w:t>
            </w:r>
          </w:p>
        </w:tc>
        <w:tc>
          <w:tcPr>
            <w:tcW w:w="120" w:type="dxa"/>
            <w:vAlign w:val="bottom"/>
            <w:shd w:val="clear" w:color="auto" w:fill="CFF0FC"/>
          </w:tcPr>
          <w:p>
            <w:pPr>
              <w:spacing w:after="0"/>
              <w:rPr>
                <w:sz w:val="19"/>
                <w:szCs w:val="19"/>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8,259</w:t>
            </w:r>
          </w:p>
        </w:tc>
        <w:tc>
          <w:tcPr>
            <w:tcW w:w="120" w:type="dxa"/>
            <w:vAlign w:val="bottom"/>
          </w:tcPr>
          <w:p>
            <w:pPr>
              <w:spacing w:after="0"/>
              <w:rPr>
                <w:sz w:val="19"/>
                <w:szCs w:val="19"/>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(227,444)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(221,496)</w:t>
            </w:r>
          </w:p>
        </w:tc>
      </w:tr>
      <w:tr>
        <w:trPr>
          <w:trHeight w:val="223"/>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6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111,492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115,655</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shareholders' equity</w:t>
            </w:r>
          </w:p>
        </w:tc>
        <w:tc>
          <w:tcPr>
            <w:tcW w:w="6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125,501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0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Cost of sales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BARDA income</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Sales and marketing expenses </w:t>
            </w:r>
            <w:r>
              <w:rPr>
                <w:rFonts w:ascii="Arial" w:cs="Arial" w:eastAsia="Arial" w:hAnsi="Arial"/>
                <w:sz w:val="26"/>
                <w:szCs w:val="26"/>
                <w:color w:val="auto"/>
                <w:vertAlign w:val="superscript"/>
              </w:rPr>
              <w:t>(1)</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line="230" w:lineRule="exact"/>
              <w:rPr>
                <w:sz w:val="20"/>
                <w:szCs w:val="20"/>
                <w:color w:val="auto"/>
              </w:rPr>
            </w:pPr>
            <w:r>
              <w:rPr>
                <w:rFonts w:ascii="Arial" w:cs="Arial" w:eastAsia="Arial" w:hAnsi="Arial"/>
                <w:sz w:val="17"/>
                <w:szCs w:val="17"/>
                <w:color w:val="auto"/>
              </w:rPr>
              <w:t xml:space="preserve">General and administrative expenses </w:t>
            </w:r>
            <w:r>
              <w:rPr>
                <w:rFonts w:ascii="Arial" w:cs="Arial" w:eastAsia="Arial" w:hAnsi="Arial"/>
                <w:sz w:val="26"/>
                <w:szCs w:val="26"/>
                <w:color w:val="auto"/>
                <w:vertAlign w:val="superscript"/>
              </w:rPr>
              <w:t>(1)</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(5,349)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line="230"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6"/>
                <w:szCs w:val="26"/>
                <w:color w:val="auto"/>
                <w:vertAlign w:val="superscript"/>
              </w:rPr>
              <w:t>(1)</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loss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2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5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Diluted</w:t>
            </w:r>
          </w:p>
        </w:tc>
        <w:tc>
          <w:tcPr>
            <w:tcW w:w="2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24,905,403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21,503,643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24,905,403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21,503,643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2 for information about a reclassification of share-based compensation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9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(5,948)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(10,227)</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gain/(loss)</w:t>
            </w:r>
          </w:p>
        </w:tc>
        <w:tc>
          <w:tcPr>
            <w:tcW w:w="2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loss on marketable securities, net of tax</w:t>
            </w:r>
          </w:p>
        </w:tc>
        <w:tc>
          <w:tcPr>
            <w:tcW w:w="29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Comprehensive loss</w:t>
            </w:r>
          </w:p>
        </w:tc>
        <w:tc>
          <w:tcPr>
            <w:tcW w:w="29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(6,008)</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(10,179)</w:t>
            </w:r>
          </w:p>
        </w:tc>
        <w:tc>
          <w:tcPr>
            <w:tcW w:w="120" w:type="dxa"/>
            <w:vAlign w:val="bottom"/>
          </w:tcPr>
          <w:p>
            <w:pPr>
              <w:spacing w:after="0"/>
              <w:rPr>
                <w:sz w:val="19"/>
                <w:szCs w:val="19"/>
                <w:color w:val="auto"/>
              </w:rPr>
            </w:pPr>
          </w:p>
        </w:tc>
      </w:tr>
      <w:tr>
        <w:trPr>
          <w:trHeight w:val="20"/>
        </w:trPr>
        <w:tc>
          <w:tcPr>
            <w:tcW w:w="772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8760" w:type="dxa"/>
            <w:vAlign w:val="bottom"/>
            <w:gridSpan w:val="3"/>
          </w:tcPr>
          <w:p>
            <w:pPr>
              <w:ind w:left="2500"/>
              <w:spacing w:after="0"/>
              <w:rPr>
                <w:sz w:val="20"/>
                <w:szCs w:val="20"/>
                <w:color w:val="auto"/>
              </w:rPr>
            </w:pPr>
            <w:r>
              <w:rPr>
                <w:rFonts w:ascii="Arial" w:cs="Arial" w:eastAsia="Arial" w:hAnsi="Arial"/>
                <w:sz w:val="18"/>
                <w:szCs w:val="18"/>
                <w:color w:val="auto"/>
                <w:w w:val="90"/>
              </w:rPr>
              <w:t>The accompanying notes form part of the unaudited consolidated financial statements.</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4760" w:type="dxa"/>
            <w:vAlign w:val="bottom"/>
          </w:tcPr>
          <w:p>
            <w:pPr>
              <w:spacing w:after="0"/>
              <w:rPr>
                <w:sz w:val="24"/>
                <w:szCs w:val="24"/>
                <w:color w:val="auto"/>
              </w:rPr>
            </w:pPr>
          </w:p>
        </w:tc>
        <w:tc>
          <w:tcPr>
            <w:tcW w:w="2960" w:type="dxa"/>
            <w:vAlign w:val="bottom"/>
          </w:tcPr>
          <w:p>
            <w:pPr>
              <w:jc w:val="right"/>
              <w:ind w:right="197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Three Months Ended September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20" w:type="dxa"/>
            <w:vAlign w:val="bottom"/>
          </w:tcPr>
          <w:p>
            <w:pPr>
              <w:spacing w:after="0"/>
              <w:rPr>
                <w:sz w:val="12"/>
                <w:szCs w:val="12"/>
                <w:color w:val="auto"/>
              </w:rPr>
            </w:pPr>
          </w:p>
        </w:tc>
        <w:tc>
          <w:tcPr>
            <w:tcW w:w="2540" w:type="dxa"/>
            <w:vAlign w:val="bottom"/>
            <w:tcBorders>
              <w:top w:val="single" w:sz="8" w:color="auto"/>
              <w:bottom w:val="single" w:sz="8" w:color="auto"/>
            </w:tcBorders>
            <w:gridSpan w:val="3"/>
          </w:tcPr>
          <w:p>
            <w:pPr>
              <w:jc w:val="right"/>
              <w:ind w:right="671"/>
              <w:spacing w:after="0" w:line="142" w:lineRule="exact"/>
              <w:rPr>
                <w:sz w:val="20"/>
                <w:szCs w:val="20"/>
                <w:color w:val="auto"/>
              </w:rPr>
            </w:pPr>
            <w:r>
              <w:rPr>
                <w:rFonts w:ascii="Arial" w:cs="Arial" w:eastAsia="Arial" w:hAnsi="Arial"/>
                <w:sz w:val="13"/>
                <w:szCs w:val="13"/>
                <w:b w:val="1"/>
                <w:bCs w:val="1"/>
                <w:color w:val="auto"/>
              </w:rPr>
              <w:t>Common Stock</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vMerge w:val="restart"/>
          </w:tcPr>
          <w:p>
            <w:pPr>
              <w:jc w:val="center"/>
              <w:ind w:right="131"/>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53"/>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1520" w:type="dxa"/>
            <w:vAlign w:val="bottom"/>
            <w:gridSpan w:val="2"/>
          </w:tcPr>
          <w:p>
            <w:pPr>
              <w:ind w:left="440"/>
              <w:spacing w:after="0"/>
              <w:rPr>
                <w:sz w:val="20"/>
                <w:szCs w:val="20"/>
                <w:color w:val="auto"/>
              </w:rPr>
            </w:pPr>
            <w:r>
              <w:rPr>
                <w:rFonts w:ascii="Arial" w:cs="Arial" w:eastAsia="Arial" w:hAnsi="Arial"/>
                <w:sz w:val="13"/>
                <w:szCs w:val="13"/>
                <w:b w:val="1"/>
                <w:bCs w:val="1"/>
                <w:color w:val="auto"/>
              </w:rPr>
              <w:t>Shares</w:t>
            </w:r>
          </w:p>
        </w:tc>
        <w:tc>
          <w:tcPr>
            <w:tcW w:w="1020" w:type="dxa"/>
            <w:vAlign w:val="bottom"/>
          </w:tcPr>
          <w:p>
            <w:pPr>
              <w:jc w:val="right"/>
              <w:ind w:right="91"/>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Gain (Loss)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FF0FC"/>
            </w:tcBorders>
            <w:vMerge w:val="continue"/>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24,895,864</w:t>
            </w:r>
          </w:p>
        </w:tc>
        <w:tc>
          <w:tcPr>
            <w:tcW w:w="26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328,889</w:t>
            </w:r>
          </w:p>
        </w:tc>
        <w:tc>
          <w:tcPr>
            <w:tcW w:w="26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8,259</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(221,496)</w:t>
            </w:r>
          </w:p>
        </w:tc>
        <w:tc>
          <w:tcPr>
            <w:tcW w:w="2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115,655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(5,948)</w:t>
            </w: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(5,948)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1,842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260" w:type="dxa"/>
            <w:vAlign w:val="bottom"/>
          </w:tcPr>
          <w:p>
            <w:pPr>
              <w:jc w:val="right"/>
              <w:spacing w:after="0"/>
              <w:rPr>
                <w:sz w:val="20"/>
                <w:szCs w:val="20"/>
                <w:color w:val="auto"/>
              </w:rPr>
            </w:pPr>
            <w:r>
              <w:rPr>
                <w:rFonts w:ascii="Arial" w:cs="Arial" w:eastAsia="Arial" w:hAnsi="Arial"/>
                <w:sz w:val="14"/>
                <w:szCs w:val="14"/>
                <w:color w:val="auto"/>
              </w:rPr>
              <w:t>28,754</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6"/>
        </w:trPr>
        <w:tc>
          <w:tcPr>
            <w:tcW w:w="23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2021</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24,925,118</w:t>
            </w:r>
          </w:p>
        </w:tc>
        <w:tc>
          <w:tcPr>
            <w:tcW w:w="26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330,734</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8,199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(227,444)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111,492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17145</wp:posOffset>
            </wp:positionV>
            <wp:extent cx="5597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20" w:type="dxa"/>
            <w:vAlign w:val="bottom"/>
          </w:tcPr>
          <w:p>
            <w:pPr>
              <w:spacing w:after="0"/>
              <w:rPr>
                <w:sz w:val="13"/>
                <w:szCs w:val="13"/>
                <w:color w:val="auto"/>
              </w:rPr>
            </w:pPr>
          </w:p>
        </w:tc>
        <w:tc>
          <w:tcPr>
            <w:tcW w:w="258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14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13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Shareholders'</w:t>
            </w:r>
          </w:p>
        </w:tc>
        <w:tc>
          <w:tcPr>
            <w:tcW w:w="0" w:type="dxa"/>
            <w:vAlign w:val="bottom"/>
          </w:tcPr>
          <w:p>
            <w:pPr>
              <w:spacing w:after="0"/>
              <w:rPr>
                <w:sz w:val="1"/>
                <w:szCs w:val="1"/>
                <w:color w:val="auto"/>
              </w:rPr>
            </w:pPr>
          </w:p>
        </w:tc>
      </w:tr>
      <w:tr>
        <w:trPr>
          <w:trHeight w:val="153"/>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2020</w:t>
            </w:r>
          </w:p>
        </w:tc>
        <w:tc>
          <w:tcPr>
            <w:tcW w:w="1280" w:type="dxa"/>
            <w:vAlign w:val="bottom"/>
          </w:tcPr>
          <w:p>
            <w:pPr>
              <w:jc w:val="right"/>
              <w:ind w:right="390"/>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13"/>
                <w:szCs w:val="13"/>
                <w:color w:val="auto"/>
              </w:rPr>
            </w:pPr>
          </w:p>
        </w:tc>
        <w:tc>
          <w:tcPr>
            <w:tcW w:w="1020" w:type="dxa"/>
            <w:vAlign w:val="bottom"/>
          </w:tcPr>
          <w:p>
            <w:pPr>
              <w:jc w:val="right"/>
              <w:ind w:right="91"/>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Paid-in Capital</w:t>
            </w:r>
          </w:p>
        </w:tc>
        <w:tc>
          <w:tcPr>
            <w:tcW w:w="8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Gain (Loss)</w:t>
            </w:r>
          </w:p>
        </w:tc>
        <w:tc>
          <w:tcPr>
            <w:tcW w:w="180" w:type="dxa"/>
            <w:vAlign w:val="bottom"/>
          </w:tcPr>
          <w:p>
            <w:pPr>
              <w:spacing w:after="0"/>
              <w:rPr>
                <w:sz w:val="13"/>
                <w:szCs w:val="13"/>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CFF0FC"/>
            </w:tcBorders>
            <w:vMerge w:val="continue"/>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21,467,912</w:t>
            </w:r>
          </w:p>
        </w:tc>
        <w:tc>
          <w:tcPr>
            <w:tcW w:w="28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259,165</w:t>
            </w:r>
          </w:p>
        </w:tc>
        <w:tc>
          <w:tcPr>
            <w:tcW w:w="26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8,146</w:t>
            </w:r>
          </w:p>
        </w:tc>
        <w:tc>
          <w:tcPr>
            <w:tcW w:w="26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(194,913)</w:t>
            </w:r>
          </w:p>
        </w:tc>
        <w:tc>
          <w:tcPr>
            <w:tcW w:w="2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72,401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12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(10,227)</w:t>
            </w: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(10,227)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3,266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3,538</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20"/>
                <w:szCs w:val="20"/>
                <w:color w:val="auto"/>
              </w:rPr>
            </w:pPr>
            <w:r>
              <w:rPr>
                <w:rFonts w:ascii="Arial" w:cs="Arial" w:eastAsia="Arial" w:hAnsi="Arial"/>
                <w:sz w:val="14"/>
                <w:szCs w:val="14"/>
                <w:color w:val="auto"/>
              </w:rPr>
              <w:t>Vesting of restricted stock units</w:t>
            </w:r>
          </w:p>
        </w:tc>
        <w:tc>
          <w:tcPr>
            <w:tcW w:w="1280" w:type="dxa"/>
            <w:vAlign w:val="bottom"/>
          </w:tcPr>
          <w:p>
            <w:pPr>
              <w:jc w:val="right"/>
              <w:spacing w:after="0"/>
              <w:rPr>
                <w:sz w:val="20"/>
                <w:szCs w:val="20"/>
                <w:color w:val="auto"/>
              </w:rPr>
            </w:pPr>
            <w:r>
              <w:rPr>
                <w:rFonts w:ascii="Arial" w:cs="Arial" w:eastAsia="Arial" w:hAnsi="Arial"/>
                <w:sz w:val="14"/>
                <w:szCs w:val="14"/>
                <w:color w:val="auto"/>
              </w:rPr>
              <w:t>151,837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spacing w:after="0"/>
              <w:rPr>
                <w:sz w:val="20"/>
                <w:szCs w:val="20"/>
                <w:color w:val="auto"/>
              </w:rPr>
            </w:pPr>
            <w:r>
              <w:rPr>
                <w:rFonts w:ascii="Arial" w:cs="Arial" w:eastAsia="Arial" w:hAnsi="Arial"/>
                <w:sz w:val="14"/>
                <w:szCs w:val="14"/>
                <w:color w:val="auto"/>
              </w:rPr>
              <w:t>Translation gain</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21,623,287</w:t>
            </w: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ind w:right="871"/>
              <w:spacing w:after="0" w:line="155"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262,431</w:t>
            </w:r>
          </w:p>
        </w:tc>
        <w:tc>
          <w:tcPr>
            <w:tcW w:w="2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8,194</w:t>
            </w: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(205,140)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74"/>
              <w:spacing w:after="0"/>
              <w:rPr>
                <w:sz w:val="20"/>
                <w:szCs w:val="20"/>
                <w:color w:val="auto"/>
              </w:rPr>
            </w:pPr>
            <w:r>
              <w:rPr>
                <w:rFonts w:ascii="Arial" w:cs="Arial" w:eastAsia="Arial" w:hAnsi="Arial"/>
                <w:sz w:val="5"/>
                <w:szCs w:val="5"/>
                <w:b w:val="1"/>
                <w:bCs w:val="1"/>
                <w:color w:val="auto"/>
                <w:w w:val="70"/>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65,488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20" w:type="dxa"/>
            <w:vAlign w:val="bottom"/>
            <w:gridSpan w:val="7"/>
          </w:tcPr>
          <w:p>
            <w:pPr>
              <w:jc w:val="right"/>
              <w:ind w:right="361"/>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29"/>
        </w:trPr>
        <w:tc>
          <w:tcPr>
            <w:tcW w:w="6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shd w:val="clear" w:color="auto" w:fill="CFF0FC"/>
          </w:tcPr>
          <w:p>
            <w:pPr>
              <w:jc w:val="right"/>
              <w:ind w:right="79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(5,948)</w:t>
            </w: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(10,227)</w:t>
            </w: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Patent impairment loss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Remeasurement and foreign currency transaction loss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Excess and obsolete inventory related charges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cost amortization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premium of marketable securities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and other receivables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BARDA receivables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Prepaids and other current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(453)</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Other long-term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Accrued wages and fringe benefits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operations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(49,550)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Cash paid for property and equipment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 filing fees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65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(49,638)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Principal repayment of finance lease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6540" w:type="dxa"/>
            <w:vAlign w:val="bottom"/>
          </w:tcPr>
          <w:p>
            <w:pPr>
              <w:ind w:left="500"/>
              <w:spacing w:after="0"/>
              <w:rPr>
                <w:sz w:val="20"/>
                <w:szCs w:val="20"/>
                <w:color w:val="auto"/>
              </w:rPr>
            </w:pPr>
            <w:r>
              <w:rPr>
                <w:rFonts w:ascii="Arial" w:cs="Arial" w:eastAsia="Arial" w:hAnsi="Arial"/>
                <w:sz w:val="18"/>
                <w:szCs w:val="18"/>
                <w:color w:val="auto"/>
              </w:rPr>
              <w:t>Net cash provided/(used) by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 and restricted cash</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(50,262)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(7,886)</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beginning of the period</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110,947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and restricted cash end of the period</w:t>
            </w:r>
          </w:p>
        </w:tc>
        <w:tc>
          <w:tcPr>
            <w:tcW w:w="118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9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65,954</w:t>
            </w:r>
          </w:p>
        </w:tc>
        <w:tc>
          <w:tcPr>
            <w:tcW w:w="120" w:type="dxa"/>
            <w:vAlign w:val="bottom"/>
            <w:tcBorders>
              <w:bottom w:val="single" w:sz="8" w:color="CFF0FC"/>
            </w:tcBorders>
          </w:tcPr>
          <w:p>
            <w:pPr>
              <w:spacing w:after="0"/>
              <w:rPr>
                <w:sz w:val="22"/>
                <w:szCs w:val="22"/>
                <w:color w:val="auto"/>
              </w:rPr>
            </w:pPr>
          </w:p>
        </w:tc>
      </w:tr>
      <w:tr>
        <w:trPr>
          <w:trHeight w:val="210"/>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14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2140" w:type="dxa"/>
            <w:vAlign w:val="bottom"/>
            <w:gridSpan w:val="2"/>
            <w:shd w:val="clear" w:color="auto" w:fill="CFF0FC"/>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Plant and equipment purchases not yet paid</w:t>
            </w:r>
          </w:p>
        </w:tc>
        <w:tc>
          <w:tcPr>
            <w:tcW w:w="214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3"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The AVITA group of companies (comprising AVITA Medical, Inc. (“</w:t>
      </w:r>
      <w:r>
        <w:rPr>
          <w:rFonts w:ascii="Arial" w:cs="Arial" w:eastAsia="Arial" w:hAnsi="Arial"/>
          <w:sz w:val="17"/>
          <w:szCs w:val="17"/>
          <w:b w:val="1"/>
          <w:bCs w:val="1"/>
          <w:color w:val="auto"/>
        </w:rPr>
        <w:t>AVITA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its subsidiaries, including AVITA Medical Pty Limited, previously known as AVITA Medical Limited, (“</w:t>
      </w:r>
      <w:r>
        <w:rPr>
          <w:rFonts w:ascii="Arial" w:cs="Arial" w:eastAsia="Arial" w:hAnsi="Arial"/>
          <w:sz w:val="17"/>
          <w:szCs w:val="17"/>
          <w:b w:val="1"/>
          <w:bCs w:val="1"/>
          <w:color w:val="auto"/>
        </w:rPr>
        <w:t>AVITA Medical</w:t>
      </w:r>
      <w:r>
        <w:rPr>
          <w:rFonts w:ascii="Arial" w:cs="Arial" w:eastAsia="Arial" w:hAnsi="Arial"/>
          <w:sz w:val="17"/>
          <w:szCs w:val="17"/>
          <w:color w:val="auto"/>
        </w:rPr>
        <w:t>”)) (collectively, “</w:t>
      </w:r>
      <w:r>
        <w:rPr>
          <w:rFonts w:ascii="Arial" w:cs="Arial" w:eastAsia="Arial" w:hAnsi="Arial"/>
          <w:sz w:val="17"/>
          <w:szCs w:val="17"/>
          <w:b w:val="1"/>
          <w:bCs w:val="1"/>
          <w:color w:val="auto"/>
        </w:rPr>
        <w:t>AVITA Group</w:t>
      </w:r>
      <w:r>
        <w:rPr>
          <w:rFonts w:ascii="Arial" w:cs="Arial" w:eastAsia="Arial" w:hAnsi="Arial"/>
          <w:sz w:val="17"/>
          <w:szCs w:val="17"/>
          <w:color w:val="auto"/>
        </w:rPr>
        <w:t>” or “</w:t>
      </w:r>
      <w:r>
        <w:rPr>
          <w:rFonts w:ascii="Arial" w:cs="Arial" w:eastAsia="Arial" w:hAnsi="Arial"/>
          <w:sz w:val="17"/>
          <w:szCs w:val="17"/>
          <w:b w:val="1"/>
          <w:bCs w:val="1"/>
          <w:color w:val="auto"/>
        </w:rPr>
        <w:t>we</w:t>
      </w:r>
      <w:r>
        <w:rPr>
          <w:rFonts w:ascii="Arial" w:cs="Arial" w:eastAsia="Arial" w:hAnsi="Arial"/>
          <w:sz w:val="17"/>
          <w:szCs w:val="17"/>
          <w:color w:val="auto"/>
        </w:rPr>
        <w:t>”, “</w:t>
      </w:r>
      <w:r>
        <w:rPr>
          <w:rFonts w:ascii="Arial" w:cs="Arial" w:eastAsia="Arial" w:hAnsi="Arial"/>
          <w:sz w:val="17"/>
          <w:szCs w:val="17"/>
          <w:b w:val="1"/>
          <w:bCs w:val="1"/>
          <w:color w:val="auto"/>
        </w:rPr>
        <w:t>us</w:t>
      </w:r>
      <w:r>
        <w:rPr>
          <w:rFonts w:ascii="Arial" w:cs="Arial" w:eastAsia="Arial" w:hAnsi="Arial"/>
          <w:sz w:val="17"/>
          <w:szCs w:val="17"/>
          <w:color w:val="auto"/>
        </w:rPr>
        <w:t>”, or “</w:t>
      </w:r>
      <w:r>
        <w:rPr>
          <w:rFonts w:ascii="Arial" w:cs="Arial" w:eastAsia="Arial" w:hAnsi="Arial"/>
          <w:sz w:val="17"/>
          <w:szCs w:val="17"/>
          <w:b w:val="1"/>
          <w:bCs w:val="1"/>
          <w:color w:val="auto"/>
        </w:rPr>
        <w:t>our</w:t>
      </w:r>
      <w:r>
        <w:rPr>
          <w:rFonts w:ascii="Arial" w:cs="Arial" w:eastAsia="Arial" w:hAnsi="Arial"/>
          <w:sz w:val="17"/>
          <w:szCs w:val="17"/>
          <w:color w:val="auto"/>
        </w:rPr>
        <w:t>”) is a commercial-stage regenerative tissue company focused on the treatment of burns, trauma and other acute injuries, together with skin defects like vitiligo. The Company’s lead product is the RECELL</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System, a device that enables healthcare professionals to produce a suspension of Spray-On Skin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Cells using a small sample of the patient’s own skin. In September 2018, the United States Food &amp; Drug Administration (“</w:t>
      </w:r>
      <w:r>
        <w:rPr>
          <w:rFonts w:ascii="Arial" w:cs="Arial" w:eastAsia="Arial" w:hAnsi="Arial"/>
          <w:sz w:val="17"/>
          <w:szCs w:val="17"/>
          <w:b w:val="1"/>
          <w:bCs w:val="1"/>
          <w:color w:val="auto"/>
        </w:rPr>
        <w:t>FDA</w:t>
      </w:r>
      <w:r>
        <w:rPr>
          <w:rFonts w:ascii="Arial" w:cs="Arial" w:eastAsia="Arial" w:hAnsi="Arial"/>
          <w:sz w:val="17"/>
          <w:szCs w:val="17"/>
          <w:color w:val="auto"/>
        </w:rPr>
        <w:t>”) granted premarket approval (“</w:t>
      </w:r>
      <w:r>
        <w:rPr>
          <w:rFonts w:ascii="Arial" w:cs="Arial" w:eastAsia="Arial" w:hAnsi="Arial"/>
          <w:sz w:val="17"/>
          <w:szCs w:val="17"/>
          <w:b w:val="1"/>
          <w:bCs w:val="1"/>
          <w:color w:val="auto"/>
        </w:rPr>
        <w:t>PMA</w:t>
      </w:r>
      <w:r>
        <w:rPr>
          <w:rFonts w:ascii="Arial" w:cs="Arial" w:eastAsia="Arial" w:hAnsi="Arial"/>
          <w:sz w:val="17"/>
          <w:szCs w:val="17"/>
          <w:color w:val="auto"/>
        </w:rPr>
        <w:t>”) to the RECELL System for use in the treatment of acute thermal burns in patients eighteen years and older and pediatric acute full thermal burns in 2021. Following receipt of the Company’s PMA, AVITA commenced commercializing the RECELL System in January 2019 in the United States. In addition, the FDA has granted the Company three Investigational Device Exemptions (“</w:t>
      </w:r>
      <w:r>
        <w:rPr>
          <w:rFonts w:ascii="Arial" w:cs="Arial" w:eastAsia="Arial" w:hAnsi="Arial"/>
          <w:sz w:val="17"/>
          <w:szCs w:val="17"/>
          <w:b w:val="1"/>
          <w:bCs w:val="1"/>
          <w:color w:val="auto"/>
        </w:rPr>
        <w:t>IDEs</w:t>
      </w:r>
      <w:r>
        <w:rPr>
          <w:rFonts w:ascii="Arial" w:cs="Arial" w:eastAsia="Arial" w:hAnsi="Arial"/>
          <w:sz w:val="17"/>
          <w:szCs w:val="17"/>
          <w:color w:val="auto"/>
        </w:rPr>
        <w:t>”) studies which have enabled the Company to initiate pivotal clinical investigational studies to seek expanded FDA (supplementary) PMA of the RECELL System for each of soft tissue reconstruction and vitiligo. Enrollment of those clinical studies is ongoing and, if successful, those studies would enable the Company to commence commercializing the RECELL System in the United States in each of those indications.</w:t>
      </w:r>
    </w:p>
    <w:p>
      <w:pPr>
        <w:spacing w:after="0" w:line="191"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In March 2020, the World Health Organization declared the outbreak of a novel strain of the coronavirus (“</w:t>
      </w:r>
      <w:r>
        <w:rPr>
          <w:rFonts w:ascii="Arial" w:cs="Arial" w:eastAsia="Arial" w:hAnsi="Arial"/>
          <w:sz w:val="16"/>
          <w:szCs w:val="16"/>
          <w:b w:val="1"/>
          <w:bCs w:val="1"/>
          <w:color w:val="auto"/>
        </w:rPr>
        <w:t>COVID-19</w:t>
      </w:r>
      <w:r>
        <w:rPr>
          <w:rFonts w:ascii="Arial" w:cs="Arial" w:eastAsia="Arial" w:hAnsi="Arial"/>
          <w:sz w:val="16"/>
          <w:szCs w:val="16"/>
          <w:color w:val="auto"/>
        </w:rPr>
        <w:t>”) a pandemic. COVID-19 is having, and will likely continue to have, an effect on the Company’s business, results of operations, financial condition, and cash flows, and its future impacts remain highly uncertain and unpredictable. The Company has considered the disruptions caused by COVID-19, including lower than forecasted sales, delays to the speed of enrollment in the Company’s clinical trials that may, if successful, support commercial approval and new revenues in additional markets, and macroeconomic factors, that may impact its estimates.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September 30, 2021 and through the date of this report. The Company’s business and operations have been impacted by COVID-19 as the effects of COVID-19 related travel restrictions have reduced accidents and the incidence of burns and burns admissions.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Redomiciliation</w:t>
      </w:r>
    </w:p>
    <w:p>
      <w:pPr>
        <w:spacing w:after="0" w:line="117"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w:t>
      </w:r>
    </w:p>
    <w:p>
      <w:pPr>
        <w:spacing w:after="0" w:line="110"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five CDIs in the Company for every 100 ordinary shares </w:t>
      </w:r>
      <w:r>
        <w:rPr>
          <w:rFonts w:ascii="Arial" w:cs="Arial" w:eastAsia="Arial" w:hAnsi="Arial"/>
          <w:sz w:val="21"/>
          <w:szCs w:val="21"/>
          <w:color w:val="auto"/>
        </w:rPr>
        <w:t>in AVITA Medical that were held by them; or</w:t>
      </w:r>
    </w:p>
    <w:p>
      <w:pPr>
        <w:spacing w:after="0" w:line="109"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ADSs in AVITA Medical that were held by them</w:t>
      </w:r>
      <w:r>
        <w:rPr>
          <w:rFonts w:ascii="Arial" w:cs="Arial" w:eastAsia="Arial" w:hAnsi="Arial"/>
          <w:sz w:val="21"/>
          <w:szCs w:val="21"/>
          <w:color w:val="auto"/>
        </w:rPr>
        <w:t>.</w:t>
      </w:r>
    </w:p>
    <w:p>
      <w:pPr>
        <w:spacing w:after="0" w:line="225"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184" w:lineRule="exact"/>
        <w:rPr>
          <w:sz w:val="20"/>
          <w:szCs w:val="20"/>
          <w:color w:val="auto"/>
        </w:rPr>
      </w:pPr>
    </w:p>
    <w:p>
      <w:pPr>
        <w:ind w:right="640" w:firstLine="749"/>
        <w:spacing w:after="0" w:line="277"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on issue in the Company (as set out in the consolidated financial statements) is less than the number of ordinary shares issued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20"/>
        <w:spacing w:after="0" w:line="263" w:lineRule="auto"/>
        <w:rPr>
          <w:sz w:val="20"/>
          <w:szCs w:val="20"/>
          <w:color w:val="auto"/>
        </w:rPr>
      </w:pPr>
      <w:r>
        <w:rPr>
          <w:rFonts w:ascii="Arial" w:cs="Arial" w:eastAsia="Arial" w:hAnsi="Arial"/>
          <w:sz w:val="18"/>
          <w:szCs w:val="18"/>
          <w:color w:val="auto"/>
        </w:rPr>
        <w:t>outstanding in AVITA Medical that was previously set out in the consolidated financial statements of AVITA Medical. All common stock amounts included in these financial statements have been retroactively reduced by a factor of one hundred and all per share amounts have been increased by a factor of one hundred, with the exception of the Company’s common stock par value.</w:t>
      </w:r>
    </w:p>
    <w:p>
      <w:pPr>
        <w:spacing w:after="0" w:line="184"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As a result of the Redomiciliation, the reporting currency of the AVITA Group has changed from the Australian dollar to the U.S. dollar. In accordance with SEC regulation, SX Rule 320 (e), the impact of the change in the reporting currency was included in a component of other comprehensive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generally accepted accounting principles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for interim financial information and with the instructions to Form 10-Q and Article 10 of Regulation S-X of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June 30, 2021 filed with the SEC on August 26, 2021 (United States) and the ASX on August 27, 2021 (Australia) (the “</w:t>
      </w:r>
      <w:r>
        <w:rPr>
          <w:rFonts w:ascii="Arial" w:cs="Arial" w:eastAsia="Arial" w:hAnsi="Arial"/>
          <w:sz w:val="17"/>
          <w:szCs w:val="17"/>
          <w:b w:val="1"/>
          <w:bCs w:val="1"/>
          <w:color w:val="auto"/>
        </w:rPr>
        <w:t>Annual Report</w:t>
      </w:r>
      <w:r>
        <w:rPr>
          <w:rFonts w:ascii="Arial" w:cs="Arial" w:eastAsia="Arial" w:hAnsi="Arial"/>
          <w:sz w:val="17"/>
          <w:szCs w:val="17"/>
          <w:color w:val="auto"/>
        </w:rPr>
        <w:t>”).</w:t>
      </w:r>
    </w:p>
    <w:p>
      <w:pPr>
        <w:spacing w:after="0" w:line="178" w:lineRule="exact"/>
        <w:rPr>
          <w:sz w:val="20"/>
          <w:szCs w:val="20"/>
          <w:color w:val="auto"/>
        </w:rPr>
      </w:pPr>
    </w:p>
    <w:p>
      <w:pPr>
        <w:ind w:right="300" w:firstLine="749"/>
        <w:spacing w:after="0" w:line="311" w:lineRule="auto"/>
        <w:rPr>
          <w:sz w:val="20"/>
          <w:szCs w:val="20"/>
          <w:color w:val="auto"/>
        </w:rPr>
      </w:pPr>
      <w:r>
        <w:rPr>
          <w:rFonts w:ascii="Arial" w:cs="Arial" w:eastAsia="Arial" w:hAnsi="Arial"/>
          <w:sz w:val="16"/>
          <w:szCs w:val="16"/>
          <w:color w:val="auto"/>
        </w:rPr>
        <w:t>There have been no changes to the Company’s significant accounting policies as described in the annual report on Form 10-K that have had a material impact on the Company’s consolidated financial statements, except for the investment in marketable securities as described below. See the summary of the Company’s significant accounting policies set forth in the notes to its consolidated financial statements included in the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Certain amounts in the prior period Consolidated Statement of Operations have been reclassified to conform to the presentation of the current period financial statements. These reclassifications had no effect on the previously reported operating expense, loss before taxes, net loss and earnings per share.</w:t>
      </w:r>
    </w:p>
    <w:p>
      <w:pPr>
        <w:spacing w:after="0" w:line="184"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After the issuance of the consolidated financial statements for the year ended June 30, 2020, and the quarter ended September 30, 2020, the Company concluded that the presentation of share-based compensation should be reclassified to the functional expense line items consistent with cash compensation in accordance with SAB Topic 14. The Company has determined that such change in presentation of prior period amounts in the Statement of Operations is not material to the consolidated financial statements.</w:t>
      </w:r>
    </w:p>
    <w:p>
      <w:pPr>
        <w:spacing w:after="0" w:line="187" w:lineRule="exact"/>
        <w:rPr>
          <w:sz w:val="20"/>
          <w:szCs w:val="20"/>
          <w:color w:val="auto"/>
        </w:rPr>
      </w:pPr>
    </w:p>
    <w:p>
      <w:pPr>
        <w:ind w:right="560" w:firstLine="749"/>
        <w:spacing w:after="0" w:line="342" w:lineRule="auto"/>
        <w:rPr>
          <w:sz w:val="20"/>
          <w:szCs w:val="20"/>
          <w:color w:val="auto"/>
        </w:rPr>
      </w:pPr>
      <w:r>
        <w:rPr>
          <w:rFonts w:ascii="Arial" w:cs="Arial" w:eastAsia="Arial" w:hAnsi="Arial"/>
          <w:sz w:val="16"/>
          <w:szCs w:val="16"/>
          <w:color w:val="auto"/>
        </w:rPr>
        <w:t>The Company reclassified share-based compensation expense of $3.3 million for the three months ended September 30, 2020 to sales and marketing expense of $330,000, general and administrative expense of $2.8 million and research and development expenses of $170,000.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9"/>
          </w:tcPr>
          <w:p>
            <w:pPr>
              <w:jc w:val="center"/>
              <w:ind w:right="34"/>
              <w:spacing w:after="0"/>
              <w:rPr>
                <w:sz w:val="20"/>
                <w:szCs w:val="20"/>
                <w:color w:val="auto"/>
              </w:rPr>
            </w:pPr>
            <w:r>
              <w:rPr>
                <w:rFonts w:ascii="Arial" w:cs="Arial" w:eastAsia="Arial" w:hAnsi="Arial"/>
                <w:sz w:val="14"/>
                <w:szCs w:val="14"/>
                <w:b w:val="1"/>
                <w:bCs w:val="1"/>
                <w:color w:val="auto"/>
                <w:w w:val="92"/>
              </w:rPr>
              <w:t>Quarter-ended September 30, 2020</w:t>
            </w: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268"/>
        </w:trPr>
        <w:tc>
          <w:tcPr>
            <w:tcW w:w="25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As previously</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w:t>
            </w:r>
          </w:p>
        </w:tc>
        <w:tc>
          <w:tcPr>
            <w:tcW w:w="2480" w:type="dxa"/>
            <w:vAlign w:val="bottom"/>
          </w:tcPr>
          <w:p>
            <w:pPr>
              <w:spacing w:after="0"/>
              <w:rPr>
                <w:sz w:val="23"/>
                <w:szCs w:val="23"/>
                <w:color w:val="auto"/>
              </w:rPr>
            </w:pPr>
          </w:p>
        </w:tc>
      </w:tr>
      <w:tr>
        <w:trPr>
          <w:trHeight w:val="171"/>
        </w:trPr>
        <w:tc>
          <w:tcPr>
            <w:tcW w:w="4800" w:type="dxa"/>
            <w:vAlign w:val="bottom"/>
            <w:gridSpan w:val="2"/>
          </w:tcPr>
          <w:p>
            <w:pPr>
              <w:ind w:left="2500"/>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reported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reclassified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Reported</w:t>
            </w:r>
          </w:p>
        </w:tc>
        <w:tc>
          <w:tcPr>
            <w:tcW w:w="2480" w:type="dxa"/>
            <w:vAlign w:val="bottom"/>
          </w:tcPr>
          <w:p>
            <w:pPr>
              <w:spacing w:after="0"/>
              <w:rPr>
                <w:sz w:val="14"/>
                <w:szCs w:val="14"/>
                <w:color w:val="auto"/>
              </w:rPr>
            </w:pPr>
          </w:p>
        </w:tc>
      </w:tr>
      <w:tr>
        <w:trPr>
          <w:trHeight w:val="209"/>
        </w:trPr>
        <w:tc>
          <w:tcPr>
            <w:tcW w:w="2500" w:type="dxa"/>
            <w:vAlign w:val="bottom"/>
          </w:tcPr>
          <w:p>
            <w:pPr>
              <w:spacing w:after="0"/>
              <w:rPr>
                <w:sz w:val="18"/>
                <w:szCs w:val="18"/>
                <w:color w:val="auto"/>
              </w:rPr>
            </w:pPr>
          </w:p>
        </w:tc>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(3,265)</w:t>
            </w:r>
          </w:p>
        </w:tc>
        <w:tc>
          <w:tcPr>
            <w:tcW w:w="2480" w:type="dxa"/>
            <w:vAlign w:val="bottom"/>
          </w:tcPr>
          <w:p>
            <w:pPr>
              <w:spacing w:after="0"/>
              <w:rPr>
                <w:sz w:val="20"/>
                <w:szCs w:val="20"/>
                <w:color w:val="auto"/>
              </w:rPr>
            </w:pPr>
          </w:p>
        </w:tc>
      </w:tr>
      <w:tr>
        <w:trPr>
          <w:trHeight w:val="215"/>
        </w:trPr>
        <w:tc>
          <w:tcPr>
            <w:tcW w:w="25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(8,302)</w:t>
            </w:r>
          </w:p>
        </w:tc>
        <w:tc>
          <w:tcPr>
            <w:tcW w:w="2480" w:type="dxa"/>
            <w:vAlign w:val="bottom"/>
          </w:tcPr>
          <w:p>
            <w:pPr>
              <w:spacing w:after="0"/>
              <w:rPr>
                <w:sz w:val="20"/>
                <w:szCs w:val="20"/>
                <w:color w:val="auto"/>
              </w:rPr>
            </w:pPr>
          </w:p>
        </w:tc>
      </w:tr>
      <w:tr>
        <w:trPr>
          <w:trHeight w:val="215"/>
        </w:trPr>
        <w:tc>
          <w:tcPr>
            <w:tcW w:w="250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500" w:type="dxa"/>
            <w:vAlign w:val="bottom"/>
          </w:tcPr>
          <w:p>
            <w:pPr>
              <w:spacing w:after="0"/>
              <w:rPr>
                <w:sz w:val="20"/>
                <w:szCs w:val="20"/>
                <w:color w:val="auto"/>
              </w:rPr>
            </w:pPr>
          </w:p>
        </w:tc>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3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(3,374)</w:t>
            </w:r>
          </w:p>
        </w:tc>
        <w:tc>
          <w:tcPr>
            <w:tcW w:w="2480" w:type="dxa"/>
            <w:vAlign w:val="bottom"/>
          </w:tcPr>
          <w:p>
            <w:pPr>
              <w:spacing w:after="0"/>
              <w:rPr>
                <w:sz w:val="20"/>
                <w:szCs w:val="20"/>
                <w:color w:val="auto"/>
              </w:rPr>
            </w:pPr>
          </w:p>
        </w:tc>
      </w:tr>
      <w:tr>
        <w:trPr>
          <w:trHeight w:val="230"/>
        </w:trPr>
        <w:tc>
          <w:tcPr>
            <w:tcW w:w="25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29"/>
        </w:trPr>
        <w:tc>
          <w:tcPr>
            <w:tcW w:w="25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(14,941)</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(10,214)</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(10,217)</w:t>
            </w:r>
          </w:p>
        </w:tc>
        <w:tc>
          <w:tcPr>
            <w:tcW w:w="2480" w:type="dxa"/>
            <w:vAlign w:val="bottom"/>
          </w:tcPr>
          <w:p>
            <w:pPr>
              <w:spacing w:after="0"/>
              <w:rPr>
                <w:sz w:val="19"/>
                <w:szCs w:val="19"/>
                <w:color w:val="auto"/>
              </w:rPr>
            </w:pPr>
          </w:p>
        </w:tc>
      </w:tr>
      <w:tr>
        <w:trPr>
          <w:trHeight w:val="230"/>
        </w:trPr>
        <w:tc>
          <w:tcPr>
            <w:tcW w:w="250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(10,227)</w:t>
            </w:r>
          </w:p>
        </w:tc>
        <w:tc>
          <w:tcPr>
            <w:tcW w:w="2480" w:type="dxa"/>
            <w:vAlign w:val="bottom"/>
          </w:tcPr>
          <w:p>
            <w:pPr>
              <w:spacing w:after="0"/>
              <w:rPr>
                <w:sz w:val="20"/>
                <w:szCs w:val="20"/>
                <w:color w:val="auto"/>
              </w:rPr>
            </w:pPr>
          </w:p>
        </w:tc>
      </w:tr>
      <w:tr>
        <w:trPr>
          <w:trHeight w:val="647"/>
        </w:trPr>
        <w:tc>
          <w:tcPr>
            <w:tcW w:w="2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41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749"/>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intercompany transactions and balances have been eliminated on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inventory obsolescence, accounting for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1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gain of $41,000 and loss of $37,000 for the three months ended September 30, 2021 and 2020, respectively.</w:t>
      </w:r>
    </w:p>
    <w:p>
      <w:pPr>
        <w:spacing w:after="0" w:line="178"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During the three months ended September 30, 2021 and 2020, the Company recorded losses of $14,000 and $43,000,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components of comprehensive income (loss) consist of net income (loss), foreign currency translation adjustments from its subsidiaries not using the U.S. dollar as their functional currency and unrealized gains and losses in investments available for sale. The Company did not have reclassifications from other comprehensive income (loss) to net loss during the quarter ended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firstLine="749"/>
        <w:spacing w:after="0" w:line="342" w:lineRule="auto"/>
        <w:rPr>
          <w:sz w:val="20"/>
          <w:szCs w:val="20"/>
          <w:color w:val="auto"/>
        </w:rPr>
      </w:pPr>
      <w:r>
        <w:rPr>
          <w:rFonts w:ascii="Arial" w:cs="Arial" w:eastAsia="Arial" w:hAnsi="Arial"/>
          <w:sz w:val="16"/>
          <w:szCs w:val="16"/>
          <w:color w:val="auto"/>
        </w:rPr>
        <w:t xml:space="preserve">Under Topic 606 –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Company recognizes revenue when its customers obtain control of promised goods or services, in an amount that reflects the consideration which the Company expects to be entitled in exchange for those goods or services.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w:t>
      </w:r>
    </w:p>
    <w:p>
      <w:pPr>
        <w:spacing w:after="0" w:line="129"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Recognize revenue when/as performance obligation(s) are satisfied</w:t>
      </w:r>
    </w:p>
    <w:p>
      <w:pPr>
        <w:spacing w:after="0" w:line="211"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57" w:lineRule="exact"/>
        <w:rPr>
          <w:sz w:val="20"/>
          <w:szCs w:val="20"/>
          <w:color w:val="auto"/>
        </w:rPr>
      </w:pPr>
    </w:p>
    <w:p>
      <w:pPr>
        <w:ind w:right="760" w:firstLine="749"/>
        <w:spacing w:after="0" w:line="286" w:lineRule="auto"/>
        <w:rPr>
          <w:sz w:val="20"/>
          <w:szCs w:val="20"/>
          <w:color w:val="auto"/>
        </w:rPr>
      </w:pPr>
      <w:r>
        <w:rPr>
          <w:rFonts w:ascii="Arial" w:cs="Arial" w:eastAsia="Arial" w:hAnsi="Arial"/>
          <w:sz w:val="17"/>
          <w:szCs w:val="17"/>
          <w:color w:val="auto"/>
        </w:rPr>
        <w:t>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1" w:name="page12"/>
    <w:bookmarkEnd w:id="11"/>
    <w:p>
      <w:pPr>
        <w:spacing w:after="0" w:line="263" w:lineRule="auto"/>
        <w:rPr>
          <w:sz w:val="20"/>
          <w:szCs w:val="20"/>
          <w:color w:val="auto"/>
        </w:rPr>
      </w:pPr>
      <w:r>
        <w:rPr>
          <w:rFonts w:ascii="Arial" w:cs="Arial" w:eastAsia="Arial" w:hAnsi="Arial"/>
          <w:sz w:val="18"/>
          <w:szCs w:val="18"/>
          <w:color w:val="auto"/>
        </w:rPr>
        <w:t>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84"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66"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i w:val="1"/>
          <w:iCs w:val="1"/>
          <w:color w:val="auto"/>
        </w:rPr>
        <w:t xml:space="preserve">Volume Discounts </w:t>
      </w:r>
      <w:r>
        <w:rPr>
          <w:rFonts w:ascii="Arial" w:cs="Arial" w:eastAsia="Arial" w:hAnsi="Arial"/>
          <w:sz w:val="16"/>
          <w:szCs w:val="16"/>
          <w:color w:val="auto"/>
        </w:rPr>
        <w:t>— The Company generally provides contracted customers with volume discounts that are explicitly stated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161" w:lineRule="exact"/>
        <w:rPr>
          <w:sz w:val="20"/>
          <w:szCs w:val="20"/>
          <w:color w:val="auto"/>
        </w:rPr>
      </w:pPr>
    </w:p>
    <w:p>
      <w:pPr>
        <w:ind w:right="60" w:firstLine="749"/>
        <w:spacing w:after="0" w:line="255" w:lineRule="auto"/>
        <w:rPr>
          <w:sz w:val="20"/>
          <w:szCs w:val="20"/>
          <w:color w:val="auto"/>
        </w:rPr>
      </w:pPr>
      <w:r>
        <w:rPr>
          <w:rFonts w:ascii="Arial" w:cs="Arial" w:eastAsia="Arial" w:hAnsi="Arial"/>
          <w:sz w:val="18"/>
          <w:szCs w:val="18"/>
          <w:color w:val="auto"/>
        </w:rPr>
        <w:t>For revenues related to the BARDA contract within the scope of ASC 606, the Company identified two performance obligations (i) the procurement of 5,614 RECELL units, (ii) emergency preparedness services. Through this contract the Company promises to sell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 time as services are consumed.</w:t>
      </w:r>
    </w:p>
    <w:p>
      <w:pPr>
        <w:spacing w:after="0" w:line="192"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2" w:lineRule="exact"/>
        <w:rPr>
          <w:sz w:val="20"/>
          <w:szCs w:val="20"/>
          <w:color w:val="auto"/>
        </w:rPr>
      </w:pPr>
    </w:p>
    <w:p>
      <w:pPr>
        <w:ind w:right="20" w:firstLine="749"/>
        <w:spacing w:after="0" w:line="273" w:lineRule="auto"/>
        <w:rPr>
          <w:sz w:val="20"/>
          <w:szCs w:val="20"/>
          <w:color w:val="auto"/>
        </w:rPr>
      </w:pPr>
      <w:r>
        <w:rPr>
          <w:rFonts w:ascii="Arial" w:cs="Arial" w:eastAsia="Arial" w:hAnsi="Arial"/>
          <w:sz w:val="17"/>
          <w:szCs w:val="17"/>
          <w:color w:val="auto"/>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Arial" w:cs="Arial" w:eastAsia="Arial" w:hAnsi="Arial"/>
          <w:sz w:val="17"/>
          <w:szCs w:val="17"/>
          <w:i w:val="1"/>
          <w:iCs w:val="1"/>
          <w:color w:val="auto"/>
        </w:rPr>
        <w:t>Securities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Exchange Commission (SEC) Interpretation, Commission Guidance regarding Accounting for Sale of Vaccines and BioTerror Countermeasures to the Federal Government for Placement into the Pediatric Vaccine Stockpile or the Strategic National Stockpile (SNS). </w:t>
      </w:r>
      <w:r>
        <w:rPr>
          <w:rFonts w:ascii="Arial" w:cs="Arial" w:eastAsia="Arial" w:hAnsi="Arial"/>
          <w:sz w:val="17"/>
          <w:szCs w:val="17"/>
          <w:color w:val="auto"/>
        </w:rPr>
        <w:t>Under this guidance,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Contract costs are included in other long-term assets.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$2.5 million and $54.2 million of which $318,000 and $273,000 is denominated in foreign currencies in foreign institutions as of September 30, 2021 and June 30, 2021, respectively. As of September 30, 20201 and June 30, 2021, the Company held cash equivalents in the amount of $58 million and $56.5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Pursuant to a contractual agreement to maintain the business credit card, the Company must maintain restricted cash deposits which amounted to approximately $201,000 and $201,000 as of September 30, 2021 and June 30, 2021,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17" w:lineRule="exact"/>
        <w:rPr>
          <w:sz w:val="20"/>
          <w:szCs w:val="20"/>
          <w:color w:val="auto"/>
        </w:rPr>
      </w:pPr>
    </w:p>
    <w:p>
      <w:pPr>
        <w:ind w:right="220" w:firstLine="749"/>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marketable securities, trade receivables, BARDA receivables and other receivables. As of September 30, 2021 and June 30,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pacing w:after="0" w:line="157" w:lineRule="exact"/>
        <w:rPr>
          <w:sz w:val="20"/>
          <w:szCs w:val="20"/>
          <w:color w:val="auto"/>
        </w:rPr>
      </w:pPr>
    </w:p>
    <w:p>
      <w:pPr>
        <w:ind w:right="180" w:firstLine="749"/>
        <w:spacing w:after="0" w:line="275" w:lineRule="auto"/>
        <w:rPr>
          <w:sz w:val="20"/>
          <w:szCs w:val="20"/>
          <w:color w:val="auto"/>
        </w:rPr>
      </w:pPr>
      <w:r>
        <w:rPr>
          <w:rFonts w:ascii="Arial" w:cs="Arial" w:eastAsia="Arial" w:hAnsi="Arial"/>
          <w:sz w:val="17"/>
          <w:szCs w:val="17"/>
          <w:color w:val="auto"/>
        </w:rPr>
        <w:t>As of September 30, 2021 no single commercial customer accounted for more than 10% of total revenues or net accounts receivable. BARDA service revenue for emergency deployment accounted for approximately 1.3% and 0% of total revenues for the three months ended September 30, 2021 and 2020, respectively. BARDA receivables for emergency preparedness services accounted for 14% and 91% of total BARDA receivables as of September 30, 2021 and June 30, 2021, respectively. As of June 30, 2021, no single commercial customer accounted for more than 10% of total revenues or net accounts receivable. See table below for breakdown of BARDA receivables (in thousands).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BARDA procurement and emergency preparedness services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BARDA expense reimbursements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BARDA receivables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603</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20" w:firstLine="749"/>
        <w:spacing w:after="0" w:line="275" w:lineRule="auto"/>
        <w:rPr>
          <w:sz w:val="20"/>
          <w:szCs w:val="20"/>
          <w:color w:val="auto"/>
        </w:rPr>
      </w:pPr>
      <w:r>
        <w:rPr>
          <w:rFonts w:ascii="Arial" w:cs="Arial" w:eastAsia="Arial" w:hAnsi="Arial"/>
          <w:sz w:val="17"/>
          <w:szCs w:val="17"/>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We account for our marketable securities as available-for-sale securities.</w:t>
      </w:r>
    </w:p>
    <w:p>
      <w:pPr>
        <w:spacing w:after="0" w:line="176"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interest and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70"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78"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Income and Receivables</w:t>
      </w:r>
    </w:p>
    <w:p>
      <w:pPr>
        <w:spacing w:after="0" w:line="113" w:lineRule="exact"/>
        <w:rPr>
          <w:sz w:val="20"/>
          <w:szCs w:val="20"/>
          <w:color w:val="auto"/>
        </w:rPr>
      </w:pPr>
    </w:p>
    <w:p>
      <w:pPr>
        <w:jc w:val="both"/>
        <w:ind w:right="140" w:firstLine="749"/>
        <w:spacing w:after="0" w:line="261" w:lineRule="auto"/>
        <w:rPr>
          <w:sz w:val="20"/>
          <w:szCs w:val="20"/>
          <w:color w:val="auto"/>
        </w:rPr>
      </w:pPr>
      <w:r>
        <w:rPr>
          <w:rFonts w:ascii="Arial" w:cs="Arial" w:eastAsia="Arial" w:hAnsi="Arial"/>
          <w:sz w:val="18"/>
          <w:szCs w:val="18"/>
          <w:color w:val="auto"/>
        </w:rPr>
        <w:t>The AVITA Group was awarded a Biomedical Advance Research and Development Authority (“</w:t>
      </w:r>
      <w:r>
        <w:rPr>
          <w:rFonts w:ascii="Arial" w:cs="Arial" w:eastAsia="Arial" w:hAnsi="Arial"/>
          <w:sz w:val="18"/>
          <w:szCs w:val="18"/>
          <w:b w:val="1"/>
          <w:bCs w:val="1"/>
          <w:color w:val="auto"/>
        </w:rPr>
        <w:t>BARDA</w:t>
      </w:r>
      <w:r>
        <w:rPr>
          <w:rFonts w:ascii="Arial" w:cs="Arial" w:eastAsia="Arial" w:hAnsi="Arial"/>
          <w:sz w:val="18"/>
          <w:szCs w:val="18"/>
          <w:color w:val="auto"/>
        </w:rPr>
        <w:t>”) contract in September 2015. Under this arrangement BARDA supported the Company’s research and development for the Company’s product, including the ongoing U.S. clinical regulatory program targeted towards PMA, our compassionate use program, clinical and health economics research. The BARDA contract supported the Company’s ongoing Pediatric Scalds clinical trial.</w:t>
      </w:r>
    </w:p>
    <w:p>
      <w:pPr>
        <w:spacing w:after="0" w:line="184" w:lineRule="exact"/>
        <w:rPr>
          <w:sz w:val="20"/>
          <w:szCs w:val="20"/>
          <w:color w:val="auto"/>
        </w:rPr>
      </w:pPr>
    </w:p>
    <w:p>
      <w:pPr>
        <w:ind w:right="20" w:firstLine="749"/>
        <w:spacing w:after="0" w:line="286" w:lineRule="auto"/>
        <w:rPr>
          <w:sz w:val="20"/>
          <w:szCs w:val="20"/>
          <w:color w:val="auto"/>
        </w:rPr>
      </w:pPr>
      <w:r>
        <w:rPr>
          <w:rFonts w:ascii="Arial" w:cs="Arial" w:eastAsia="Arial" w:hAnsi="Arial"/>
          <w:sz w:val="17"/>
          <w:szCs w:val="17"/>
          <w:color w:val="auto"/>
        </w:rPr>
        <w:t>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 xml:space="preserve">The Company has concluded that grants under the BARDA relationship is not within the scope of ASC 606, as it does not meet the definition of a contract with a “customer.” The Company has further concluded that Subtopic 958-605, </w:t>
      </w:r>
      <w:r>
        <w:rPr>
          <w:rFonts w:ascii="Arial" w:cs="Arial" w:eastAsia="Arial" w:hAnsi="Arial"/>
          <w:sz w:val="16"/>
          <w:szCs w:val="16"/>
          <w:i w:val="1"/>
          <w:iCs w:val="1"/>
          <w:color w:val="auto"/>
        </w:rPr>
        <w:t>Not-for-Profit-Entities-Revenue Recognition</w:t>
      </w:r>
      <w:r>
        <w:rPr>
          <w:rFonts w:ascii="Arial" w:cs="Arial" w:eastAsia="Arial" w:hAnsi="Arial"/>
          <w:sz w:val="16"/>
          <w:szCs w:val="16"/>
          <w:color w:val="auto"/>
        </w:rPr>
        <w:t xml:space="preserve"> also does not apply, as the Company is a business entity and the payments are with governmental agencies or units. With respect to the BARDA arrangement, we considered the guidance in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Company has operating leases for corporate office space, manufacturing and warehouse facility. During the current year the Company does not have any finance leases as they were repaid in the prior year. The Company’s operating leases have remaining lease terms of two year to three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spacing w:after="0" w:line="172" w:lineRule="exact"/>
        <w:rPr>
          <w:sz w:val="20"/>
          <w:szCs w:val="20"/>
          <w:color w:val="auto"/>
        </w:rPr>
      </w:pPr>
    </w:p>
    <w:p>
      <w:pPr>
        <w:ind w:right="80" w:firstLine="749"/>
        <w:spacing w:after="0" w:line="256" w:lineRule="auto"/>
        <w:rPr>
          <w:sz w:val="20"/>
          <w:szCs w:val="20"/>
          <w:color w:val="auto"/>
        </w:rPr>
      </w:pPr>
      <w:r>
        <w:rPr>
          <w:rFonts w:ascii="Arial" w:cs="Arial" w:eastAsia="Arial" w:hAnsi="Arial"/>
          <w:sz w:val="18"/>
          <w:szCs w:val="18"/>
          <w:color w:val="auto"/>
        </w:rPr>
        <w:t>Right of use (“</w:t>
      </w:r>
      <w:r>
        <w:rPr>
          <w:rFonts w:ascii="Arial" w:cs="Arial" w:eastAsia="Arial" w:hAnsi="Arial"/>
          <w:sz w:val="18"/>
          <w:szCs w:val="18"/>
          <w:b w:val="1"/>
          <w:bCs w:val="1"/>
          <w:color w:val="auto"/>
        </w:rPr>
        <w:t>ROU</w:t>
      </w:r>
      <w:r>
        <w:rPr>
          <w:rFonts w:ascii="Arial" w:cs="Arial" w:eastAsia="Arial" w:hAnsi="Arial"/>
          <w:sz w:val="18"/>
          <w:szCs w:val="18"/>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Arial" w:cs="Arial" w:eastAsia="Arial" w:hAnsi="Arial"/>
          <w:sz w:val="18"/>
          <w:szCs w:val="18"/>
          <w:b w:val="1"/>
          <w:bCs w:val="1"/>
          <w:color w:val="auto"/>
        </w:rPr>
        <w:t>IBR</w:t>
      </w:r>
      <w:r>
        <w:rPr>
          <w:rFonts w:ascii="Arial" w:cs="Arial" w:eastAsia="Arial" w:hAnsi="Arial"/>
          <w:sz w:val="18"/>
          <w:szCs w:val="18"/>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740"/>
        <w:spacing w:after="0" w:line="277" w:lineRule="auto"/>
        <w:rPr>
          <w:sz w:val="20"/>
          <w:szCs w:val="20"/>
          <w:color w:val="auto"/>
        </w:rPr>
      </w:pPr>
      <w:r>
        <w:rPr>
          <w:rFonts w:ascii="Arial" w:cs="Arial" w:eastAsia="Arial" w:hAnsi="Arial"/>
          <w:sz w:val="18"/>
          <w:szCs w:val="18"/>
          <w:color w:val="auto"/>
        </w:rPr>
        <w:t>required to pay for a collateralized loan over a similar term. The Company’s leases typically do not include any residual value guarantees or asset retirement obligations.</w:t>
      </w:r>
    </w:p>
    <w:p>
      <w:pPr>
        <w:spacing w:after="0" w:line="170"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61" w:lineRule="exact"/>
        <w:rPr>
          <w:sz w:val="20"/>
          <w:szCs w:val="20"/>
          <w:color w:val="auto"/>
        </w:rPr>
      </w:pPr>
    </w:p>
    <w:p>
      <w:pPr>
        <w:ind w:firstLine="749"/>
        <w:spacing w:after="0" w:line="311" w:lineRule="auto"/>
        <w:rPr>
          <w:sz w:val="20"/>
          <w:szCs w:val="20"/>
          <w:color w:val="auto"/>
        </w:rPr>
      </w:pPr>
      <w:r>
        <w:rPr>
          <w:rFonts w:ascii="Arial" w:cs="Arial" w:eastAsia="Arial" w:hAnsi="Arial"/>
          <w:sz w:val="16"/>
          <w:szCs w:val="16"/>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80" w:firstLine="749"/>
        <w:spacing w:after="0" w:line="273" w:lineRule="auto"/>
        <w:rPr>
          <w:sz w:val="20"/>
          <w:szCs w:val="20"/>
          <w:color w:val="auto"/>
        </w:rPr>
      </w:pPr>
      <w:r>
        <w:rPr>
          <w:rFonts w:ascii="Arial" w:cs="Arial" w:eastAsia="Arial" w:hAnsi="Arial"/>
          <w:sz w:val="17"/>
          <w:szCs w:val="17"/>
          <w:color w:val="auto"/>
        </w:rPr>
        <w:t xml:space="preserve">The Company records compensation expense for stock options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Arial" w:cs="Arial" w:eastAsia="Arial" w:hAnsi="Arial"/>
          <w:sz w:val="17"/>
          <w:szCs w:val="17"/>
          <w:i w:val="1"/>
          <w:iCs w:val="1"/>
          <w:color w:val="auto"/>
        </w:rPr>
        <w:t>Compensation – Stock Compensation (“ASC 718”) Improvements to Employee Share-Based Payment Accounting</w:t>
      </w:r>
      <w:r>
        <w:rPr>
          <w:rFonts w:ascii="Arial" w:cs="Arial" w:eastAsia="Arial" w:hAnsi="Arial"/>
          <w:sz w:val="17"/>
          <w:szCs w:val="17"/>
          <w:color w:val="auto"/>
        </w:rPr>
        <w:t>, the Company elected to account for forfeitures as they occur.</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were used in the valuation of stock options.</w:t>
      </w:r>
    </w:p>
    <w:p>
      <w:pPr>
        <w:spacing w:after="0" w:line="117" w:lineRule="exact"/>
        <w:rPr>
          <w:sz w:val="20"/>
          <w:szCs w:val="20"/>
          <w:color w:val="auto"/>
        </w:rPr>
      </w:pPr>
    </w:p>
    <w:p>
      <w:pPr>
        <w:ind w:left="740" w:right="6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volatility – determined using the average of the historical volatility using daily intervals over the expected term and the derived volatility using the longest term available of 12 months.</w:t>
      </w:r>
    </w:p>
    <w:p>
      <w:pPr>
        <w:spacing w:after="0" w:line="62"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dividends - based on the fact that the Company has never paid cash dividends and does not expect to pay any cash dividends in the foreseeable future</w:t>
      </w:r>
    </w:p>
    <w:p>
      <w:pPr>
        <w:spacing w:after="0" w:line="62" w:lineRule="exact"/>
        <w:rPr>
          <w:rFonts w:ascii="Arial" w:cs="Arial" w:eastAsia="Arial" w:hAnsi="Arial"/>
          <w:sz w:val="18"/>
          <w:szCs w:val="18"/>
          <w:color w:val="auto"/>
        </w:rPr>
      </w:pPr>
    </w:p>
    <w:p>
      <w:pPr>
        <w:ind w:left="740" w:right="1540" w:hanging="368"/>
        <w:spacing w:after="0" w:line="291"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term – the expected term of the Company’s stock options for tenure only vesting has been determined utilizing the “simplified” method as described in the SEC’s Staff Accounting Bulletin No. 107 relating to stock-based compensation.</w:t>
      </w:r>
    </w:p>
    <w:p>
      <w:pPr>
        <w:ind w:left="740" w:right="80"/>
        <w:spacing w:after="0" w:line="292" w:lineRule="auto"/>
        <w:rPr>
          <w:rFonts w:ascii="Arial" w:cs="Arial" w:eastAsia="Arial" w:hAnsi="Arial"/>
          <w:sz w:val="16"/>
          <w:szCs w:val="16"/>
          <w:color w:val="auto"/>
        </w:rPr>
      </w:pPr>
      <w:r>
        <w:rPr>
          <w:rFonts w:ascii="Arial" w:cs="Arial" w:eastAsia="Arial" w:hAnsi="Arial"/>
          <w:sz w:val="16"/>
          <w:szCs w:val="16"/>
          <w:color w:val="auto"/>
        </w:rPr>
        <w:t>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during 2020. The expected term of options with a performance condition was set to the contractual term of 10 years. The contractual term was used options with performance condition were awarded to C-Suite executives and the Company assumes that they will hold them longer than rank and file employees.</w:t>
      </w:r>
    </w:p>
    <w:p>
      <w:pPr>
        <w:spacing w:after="0" w:line="54" w:lineRule="exact"/>
        <w:rPr>
          <w:rFonts w:ascii="Arial" w:cs="Arial" w:eastAsia="Arial" w:hAnsi="Arial"/>
          <w:sz w:val="16"/>
          <w:szCs w:val="16"/>
          <w:color w:val="auto"/>
        </w:rPr>
      </w:pPr>
    </w:p>
    <w:p>
      <w:pPr>
        <w:ind w:left="740" w:right="40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Risk-free interest rate – the risk-free interest rate is based on the U.S. Treasury yield in effect at the time of grant for a period approximately equal to the expected term of the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00" w:firstLine="749"/>
        <w:spacing w:after="0" w:line="311" w:lineRule="auto"/>
        <w:rPr>
          <w:sz w:val="20"/>
          <w:szCs w:val="20"/>
          <w:color w:val="auto"/>
        </w:rPr>
      </w:pPr>
      <w:r>
        <w:rPr>
          <w:rFonts w:ascii="Arial" w:cs="Arial" w:eastAsia="Arial" w:hAnsi="Arial"/>
          <w:sz w:val="16"/>
          <w:szCs w:val="16"/>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Standards Update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60" w:firstLine="749"/>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or ASU 2019-12, which includes amendments to simplify the accounting for income taxes by removing certain exceptions to the general principles in ASC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The amendments also improve consistent application of and simplify U.S. GAAP for other areas of ASC 740 by clarifying and amending existing guidance. The new guidance is effective for the Company for annual periods beginning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right="200"/>
        <w:spacing w:after="0" w:line="342" w:lineRule="auto"/>
        <w:rPr>
          <w:sz w:val="20"/>
          <w:szCs w:val="20"/>
          <w:color w:val="auto"/>
        </w:rPr>
      </w:pPr>
      <w:r>
        <w:rPr>
          <w:rFonts w:ascii="Arial" w:cs="Arial" w:eastAsia="Arial" w:hAnsi="Arial"/>
          <w:sz w:val="16"/>
          <w:szCs w:val="16"/>
          <w:color w:val="auto"/>
        </w:rPr>
        <w:t>after December 15, 2021 and interim periods within fiscal years beginning after December 15, 2022. Early adoption of the amendments is permitted. The Company is currently evaluating the potential impact that the adoption of ASU 2019-12 will have on its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the amortized cost and estimates fair values of debt securities available for sale:</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2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Amortized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Holding</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Holding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Money market funds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58,038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marketable securities: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Commercial paper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19,577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Asset-backed securities</w:t>
            </w:r>
          </w:p>
        </w:tc>
        <w:tc>
          <w:tcPr>
            <w:tcW w:w="1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marketable securities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Long-term marketable securities:</w:t>
            </w:r>
          </w:p>
        </w:tc>
        <w:tc>
          <w:tcPr>
            <w:tcW w:w="1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18,053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September 30, 2021</w:t>
            </w:r>
          </w:p>
        </w:tc>
      </w:tr>
      <w:tr>
        <w:trPr>
          <w:trHeight w:val="133"/>
        </w:trPr>
        <w:tc>
          <w:tcPr>
            <w:tcW w:w="5420" w:type="dxa"/>
            <w:vAlign w:val="bottom"/>
          </w:tcPr>
          <w:p>
            <w:pPr>
              <w:spacing w:after="0"/>
              <w:rPr>
                <w:sz w:val="11"/>
                <w:szCs w:val="11"/>
                <w:color w:val="auto"/>
              </w:rPr>
            </w:pPr>
          </w:p>
        </w:tc>
        <w:tc>
          <w:tcPr>
            <w:tcW w:w="1280" w:type="dxa"/>
            <w:vAlign w:val="bottom"/>
            <w:tcBorders>
              <w:top w:val="single" w:sz="8" w:color="auto"/>
            </w:tcBorders>
            <w:gridSpan w:val="2"/>
          </w:tcPr>
          <w:p>
            <w:pPr>
              <w:ind w:left="200"/>
              <w:spacing w:after="0" w:line="133" w:lineRule="exact"/>
              <w:rPr>
                <w:sz w:val="20"/>
                <w:szCs w:val="20"/>
                <w:color w:val="auto"/>
              </w:rPr>
            </w:pPr>
            <w:r>
              <w:rPr>
                <w:rFonts w:ascii="Arial" w:cs="Arial" w:eastAsia="Arial" w:hAnsi="Arial"/>
                <w:sz w:val="14"/>
                <w:szCs w:val="14"/>
                <w:b w:val="1"/>
                <w:bCs w:val="1"/>
                <w:color w:val="auto"/>
              </w:rPr>
              <w:t>Amortized</w:t>
            </w:r>
          </w:p>
        </w:tc>
        <w:tc>
          <w:tcPr>
            <w:tcW w:w="10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80" w:type="dxa"/>
            <w:vAlign w:val="bottom"/>
          </w:tcPr>
          <w:p>
            <w:pPr>
              <w:spacing w:after="0"/>
              <w:rPr>
                <w:sz w:val="11"/>
                <w:szCs w:val="11"/>
                <w:color w:val="auto"/>
              </w:rPr>
            </w:pPr>
          </w:p>
        </w:tc>
      </w:tr>
      <w:tr>
        <w:trPr>
          <w:trHeight w:val="171"/>
        </w:trPr>
        <w:tc>
          <w:tcPr>
            <w:tcW w:w="5420" w:type="dxa"/>
            <w:vAlign w:val="bottom"/>
          </w:tcPr>
          <w:p>
            <w:pPr>
              <w:spacing w:after="0"/>
              <w:rPr>
                <w:sz w:val="14"/>
                <w:szCs w:val="14"/>
                <w:color w:val="auto"/>
              </w:rPr>
            </w:pPr>
          </w:p>
        </w:tc>
        <w:tc>
          <w:tcPr>
            <w:tcW w:w="1280" w:type="dxa"/>
            <w:vAlign w:val="bottom"/>
            <w:gridSpan w:val="2"/>
          </w:tcPr>
          <w:p>
            <w:pPr>
              <w:ind w:left="400"/>
              <w:spacing w:after="0"/>
              <w:rPr>
                <w:sz w:val="20"/>
                <w:szCs w:val="20"/>
                <w:color w:val="auto"/>
              </w:rPr>
            </w:pPr>
            <w:r>
              <w:rPr>
                <w:rFonts w:ascii="Arial" w:cs="Arial" w:eastAsia="Arial" w:hAnsi="Arial"/>
                <w:sz w:val="14"/>
                <w:szCs w:val="14"/>
                <w:b w:val="1"/>
                <w:bCs w:val="1"/>
                <w:color w:val="auto"/>
              </w:rPr>
              <w:t>Cost</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19,811</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19,801</w:t>
            </w:r>
          </w:p>
        </w:tc>
        <w:tc>
          <w:tcPr>
            <w:tcW w:w="80" w:type="dxa"/>
            <w:vAlign w:val="bottom"/>
          </w:tcPr>
          <w:p>
            <w:pPr>
              <w:spacing w:after="0"/>
              <w:rPr>
                <w:sz w:val="20"/>
                <w:szCs w:val="20"/>
                <w:color w:val="auto"/>
              </w:rPr>
            </w:pPr>
          </w:p>
        </w:tc>
      </w:tr>
    </w:tbl>
    <w:p>
      <w:pPr>
        <w:spacing w:after="0" w:line="228"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Gross unrealized gains and losses on the Company’s marketable securities were an unrealized gain of $2,000 and an unrealized loss of $12,000 as of September 30, 2021 which resulted in a net unrealized loss of $10,000. During the three months ended September 30, 2021, the Company did not recognize credit losses. For the year ended June 30, 2021, the Company did not have any marketable securities. The Company has accrued interest income of $59,000 as of September 30, 2021, recorded in Prepaids and Other Current Assets. Money market funds were included in the cash and cash equivalents line item.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749"/>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0" w:lineRule="exact"/>
        <w:rPr>
          <w:sz w:val="20"/>
          <w:szCs w:val="20"/>
          <w:color w:val="auto"/>
        </w:rPr>
      </w:pPr>
    </w:p>
    <w:p>
      <w:pPr>
        <w:ind w:left="760" w:right="640"/>
        <w:spacing w:after="0" w:line="277" w:lineRule="auto"/>
        <w:rPr>
          <w:sz w:val="20"/>
          <w:szCs w:val="20"/>
          <w:color w:val="auto"/>
        </w:rPr>
      </w:pPr>
      <w:r>
        <w:rPr>
          <w:rFonts w:ascii="Arial" w:cs="Arial" w:eastAsia="Arial" w:hAnsi="Arial"/>
          <w:sz w:val="18"/>
          <w:szCs w:val="18"/>
          <w:color w:val="auto"/>
        </w:rPr>
        <w:t>Level 1: Inputs are quoted prices (unadjusted) in active markets for identical assets or liabilities that the reporting entity can access at the measurement date.</w:t>
      </w:r>
    </w:p>
    <w:p>
      <w:pPr>
        <w:spacing w:after="0" w:line="62" w:lineRule="exact"/>
        <w:rPr>
          <w:sz w:val="20"/>
          <w:szCs w:val="20"/>
          <w:color w:val="auto"/>
        </w:rPr>
      </w:pPr>
    </w:p>
    <w:p>
      <w:pPr>
        <w:ind w:left="760" w:right="720"/>
        <w:spacing w:after="0" w:line="277"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color w:val="auto"/>
        </w:rPr>
        <w:t>Level 3: Inputs are unobservable inputs for the asset or liability</w:t>
      </w:r>
    </w:p>
    <w:p>
      <w:pPr>
        <w:spacing w:after="0" w:line="225"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As of September 30, 2021</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4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58,038</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cash equivalents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19,577</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Total short-term marketable securities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29,703</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29,703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18,045</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long-term marketable securities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19,801</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marketable securities and cash equivalents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58,038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49,504</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107,542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749"/>
        <w:spacing w:after="0" w:line="296" w:lineRule="auto"/>
        <w:rPr>
          <w:sz w:val="20"/>
          <w:szCs w:val="20"/>
          <w:color w:val="auto"/>
        </w:rPr>
      </w:pPr>
      <w:r>
        <w:rPr>
          <w:rFonts w:ascii="Arial" w:cs="Arial" w:eastAsia="Arial" w:hAnsi="Arial"/>
          <w:sz w:val="16"/>
          <w:szCs w:val="16"/>
          <w:color w:val="auto"/>
        </w:rPr>
        <w:t>The Company’s Level 1 assets include money market instruments and are valued based upon observable market prices. Level 2 assets consist of commercial paper, asset back securities, corporate debt securities and U.S Treasury securities. Level 2 securities are valued based upon observable inputs that include reported trades, broker/dealer quotes, bids and offers. As of September 30, 2021, the Company had no investments that were measured using unobservable (Level 3) inputs. There were no transfers between fair value measurement levels during the first quarter of 2022. For the year ended June 30, 2021, the Company did not have any marketable securities, cash equivalents consisted of money market funds and were classified as a level 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4" w:lineRule="exact"/>
        <w:rPr>
          <w:sz w:val="20"/>
          <w:szCs w:val="20"/>
          <w:color w:val="auto"/>
        </w:rPr>
      </w:pPr>
    </w:p>
    <w:p>
      <w:pPr>
        <w:ind w:right="700" w:firstLine="749"/>
        <w:spacing w:after="0" w:line="277" w:lineRule="auto"/>
        <w:rPr>
          <w:sz w:val="20"/>
          <w:szCs w:val="20"/>
          <w:color w:val="auto"/>
        </w:rPr>
      </w:pPr>
      <w:r>
        <w:rPr>
          <w:rFonts w:ascii="Arial" w:cs="Arial" w:eastAsia="Arial" w:hAnsi="Arial"/>
          <w:sz w:val="18"/>
          <w:szCs w:val="18"/>
          <w:color w:val="auto"/>
        </w:rPr>
        <w:t>The following table sets forth the Company’s operating lease expenses which are included in general and administrative expenses in the consolidated statements of operations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5"/>
        </w:trPr>
        <w:tc>
          <w:tcPr>
            <w:tcW w:w="342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9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19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19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Supplemental cash flow information related to operating leases for the three months ended September 30, 2021 and 2020 was as follows (in thousands):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Three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8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09"/>
        </w:trPr>
        <w:tc>
          <w:tcPr>
            <w:tcW w:w="1700" w:type="dxa"/>
            <w:vAlign w:val="bottom"/>
          </w:tcPr>
          <w:p>
            <w:pPr>
              <w:spacing w:after="0"/>
              <w:rPr>
                <w:sz w:val="18"/>
                <w:szCs w:val="18"/>
                <w:color w:val="auto"/>
              </w:rPr>
            </w:pPr>
          </w:p>
        </w:tc>
        <w:tc>
          <w:tcPr>
            <w:tcW w:w="48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89"/>
              </w:rPr>
              <w:t>Cash paid for amounts included in the measurement of lease</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486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1700" w:type="dxa"/>
            <w:vAlign w:val="bottom"/>
          </w:tcPr>
          <w:p>
            <w:pPr>
              <w:spacing w:after="0"/>
              <w:rPr>
                <w:sz w:val="20"/>
                <w:szCs w:val="20"/>
                <w:color w:val="auto"/>
              </w:rPr>
            </w:pPr>
          </w:p>
        </w:tc>
        <w:tc>
          <w:tcPr>
            <w:tcW w:w="4860" w:type="dxa"/>
            <w:vAlign w:val="bottom"/>
          </w:tcPr>
          <w:p>
            <w:pPr>
              <w:jc w:val="right"/>
              <w:ind w:right="1170"/>
              <w:spacing w:after="0"/>
              <w:rPr>
                <w:sz w:val="20"/>
                <w:szCs w:val="20"/>
                <w:color w:val="auto"/>
              </w:rPr>
            </w:pPr>
            <w:r>
              <w:rPr>
                <w:rFonts w:ascii="Arial" w:cs="Arial" w:eastAsia="Arial" w:hAnsi="Arial"/>
                <w:sz w:val="18"/>
                <w:szCs w:val="18"/>
                <w:color w:val="auto"/>
                <w:w w:val="96"/>
              </w:rPr>
              <w:t>Operating cash outflows from operating leases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7"/>
        </w:trPr>
        <w:tc>
          <w:tcPr>
            <w:tcW w:w="6560" w:type="dxa"/>
            <w:vAlign w:val="bottom"/>
            <w:gridSpan w:val="2"/>
          </w:tcPr>
          <w:p>
            <w:pPr>
              <w:jc w:val="right"/>
              <w:ind w:right="75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left="760"/>
        <w:spacing w:after="0"/>
        <w:rPr>
          <w:sz w:val="20"/>
          <w:szCs w:val="20"/>
          <w:color w:val="auto"/>
        </w:rPr>
      </w:pPr>
      <w:r>
        <w:rPr>
          <w:rFonts w:ascii="Arial" w:cs="Arial" w:eastAsia="Arial" w:hAnsi="Arial"/>
          <w:sz w:val="16"/>
          <w:szCs w:val="16"/>
          <w:color w:val="auto"/>
        </w:rPr>
        <w:t>Supplemental balance sheet information, as of September 30, 2021 and June 30, 2021 related to operating leases was as follows (in thousands):</w:t>
      </w:r>
    </w:p>
    <w:p>
      <w:pPr>
        <w:spacing w:after="0" w:line="2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5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short-term</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long term</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Operating lease weighted average remaining lease term</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(years)</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weighted average discount rate</w:t>
            </w: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maturities of the Company’s operating lease liabilities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gridSpan w:val="7"/>
          </w:tcPr>
          <w:p>
            <w:pPr>
              <w:spacing w:after="0"/>
              <w:rPr>
                <w:sz w:val="20"/>
                <w:szCs w:val="20"/>
                <w:color w:val="auto"/>
              </w:rPr>
            </w:pPr>
            <w:r>
              <w:rPr>
                <w:rFonts w:ascii="Arial" w:cs="Arial" w:eastAsia="Arial" w:hAnsi="Arial"/>
                <w:sz w:val="14"/>
                <w:szCs w:val="14"/>
                <w:b w:val="1"/>
                <w:bCs w:val="1"/>
                <w:color w:val="auto"/>
              </w:rPr>
              <w:t>Operating Leases</w:t>
            </w: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Remaining 2022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1,960</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400" w:type="dxa"/>
            <w:vAlign w:val="bottom"/>
            <w:gridSpan w:val="7"/>
          </w:tcPr>
          <w:p>
            <w:pPr>
              <w:ind w:left="760"/>
              <w:spacing w:after="0"/>
              <w:rPr>
                <w:sz w:val="20"/>
                <w:szCs w:val="20"/>
                <w:color w:val="auto"/>
              </w:rPr>
            </w:pPr>
            <w:r>
              <w:rPr>
                <w:rFonts w:ascii="Arial" w:cs="Arial" w:eastAsia="Arial" w:hAnsi="Arial"/>
                <w:sz w:val="18"/>
                <w:szCs w:val="18"/>
                <w:color w:val="auto"/>
              </w:rPr>
              <w:t>As of September 30, 2021, there were no leases entered into that had not yet commenced.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83"/>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7. Inventory</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920" w:type="dxa"/>
            <w:vAlign w:val="bottom"/>
            <w:gridSpan w:val="3"/>
          </w:tcPr>
          <w:p>
            <w:pPr>
              <w:ind w:left="760"/>
              <w:spacing w:after="0"/>
              <w:rPr>
                <w:sz w:val="20"/>
                <w:szCs w:val="20"/>
                <w:color w:val="auto"/>
              </w:rPr>
            </w:pPr>
            <w:r>
              <w:rPr>
                <w:rFonts w:ascii="Arial" w:cs="Arial" w:eastAsia="Arial" w:hAnsi="Arial"/>
                <w:sz w:val="18"/>
                <w:szCs w:val="18"/>
                <w:color w:val="auto"/>
              </w:rPr>
              <w:t>The composition of inventory is as follows (in thousands):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24"/>
                <w:szCs w:val="2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1700" w:type="dxa"/>
            <w:vAlign w:val="bottom"/>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4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left="177"/>
              <w:spacing w:after="0"/>
              <w:rPr>
                <w:sz w:val="20"/>
                <w:szCs w:val="20"/>
                <w:color w:val="auto"/>
              </w:rPr>
            </w:pPr>
            <w:r>
              <w:rPr>
                <w:rFonts w:ascii="Arial" w:cs="Arial" w:eastAsia="Arial" w:hAnsi="Arial"/>
                <w:sz w:val="14"/>
                <w:szCs w:val="14"/>
                <w:b w:val="1"/>
                <w:bCs w:val="1"/>
                <w:color w:val="auto"/>
                <w:w w:val="89"/>
              </w:rPr>
              <w:t>2021</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19"/>
                <w:szCs w:val="19"/>
                <w:color w:val="auto"/>
              </w:rPr>
            </w:pPr>
          </w:p>
        </w:tc>
      </w:tr>
      <w:tr>
        <w:trPr>
          <w:trHeight w:val="223"/>
        </w:trPr>
        <w:tc>
          <w:tcPr>
            <w:tcW w:w="6920" w:type="dxa"/>
            <w:vAlign w:val="bottom"/>
            <w:gridSpan w:val="3"/>
          </w:tcPr>
          <w:p>
            <w:pPr>
              <w:ind w:left="1700"/>
              <w:spacing w:after="0"/>
              <w:rPr>
                <w:sz w:val="20"/>
                <w:szCs w:val="20"/>
                <w:color w:val="auto"/>
              </w:rPr>
            </w:pPr>
            <w:r>
              <w:rPr>
                <w:rFonts w:ascii="Arial" w:cs="Arial" w:eastAsia="Arial" w:hAnsi="Arial"/>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 has reduced the carrying value of its inventories to reflect the lower of cost or net realizable value. Charges for estimated excess and obsolescence are recorded in cost of sales in the consolidated statement of operations and were $46,000 and a reversal of $77,000, three months ended September 30, 2021 and September 30, 2020, respectively.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8" w:right="4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intangible assets, net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As of September 30, 2021</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June 30, 2021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940" w:type="dxa"/>
            <w:vAlign w:val="bottom"/>
          </w:tcPr>
          <w:p>
            <w:pPr>
              <w:spacing w:after="0"/>
              <w:rPr>
                <w:sz w:val="11"/>
                <w:szCs w:val="11"/>
                <w:color w:val="auto"/>
              </w:rPr>
            </w:pPr>
          </w:p>
        </w:tc>
        <w:tc>
          <w:tcPr>
            <w:tcW w:w="21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2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56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5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Carry</w:t>
            </w: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2180" w:type="dxa"/>
            <w:vAlign w:val="bottom"/>
          </w:tcPr>
          <w:p>
            <w:pPr>
              <w:jc w:val="right"/>
              <w:ind w:right="74"/>
              <w:spacing w:after="0"/>
              <w:rPr>
                <w:sz w:val="20"/>
                <w:szCs w:val="20"/>
                <w:color w:val="auto"/>
              </w:rPr>
            </w:pPr>
            <w:r>
              <w:rPr>
                <w:rFonts w:ascii="Arial" w:cs="Arial" w:eastAsia="Arial" w:hAnsi="Arial"/>
                <w:sz w:val="14"/>
                <w:szCs w:val="14"/>
                <w:b w:val="1"/>
                <w:bCs w:val="1"/>
                <w:color w:val="auto"/>
              </w:rPr>
              <w:t>Average Life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1</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Patent 2</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3</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Patent 5</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Patent 6</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Arial" w:cs="Arial" w:eastAsia="Arial" w:hAnsi="Arial"/>
                <w:sz w:val="18"/>
                <w:szCs w:val="18"/>
                <w:color w:val="auto"/>
              </w:rPr>
              <w:t>Patent 8</w:t>
            </w:r>
          </w:p>
        </w:tc>
        <w:tc>
          <w:tcPr>
            <w:tcW w:w="2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b w:val="1"/>
                <w:bCs w:val="1"/>
                <w:color w:val="auto"/>
              </w:rPr>
              <w:t>Total intangible assets</w:t>
            </w: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100" w:firstLine="749"/>
        <w:spacing w:after="0" w:line="287" w:lineRule="auto"/>
        <w:rPr>
          <w:sz w:val="20"/>
          <w:szCs w:val="20"/>
          <w:color w:val="auto"/>
        </w:rPr>
      </w:pPr>
      <w:r>
        <w:rPr>
          <w:rFonts w:ascii="Arial" w:cs="Arial" w:eastAsia="Arial" w:hAnsi="Arial"/>
          <w:sz w:val="16"/>
          <w:szCs w:val="16"/>
          <w:color w:val="auto"/>
        </w:rPr>
        <w:t>During the three months ended September 30, 2021, the Company recorded an impairment charge of $19,000 for an abandoned patent. During the three months ended September 30, 2020, the Company did not identify any events or changes in circumstances that indicated that the carrying value of its intangibles may not be recoverable. As such, there was no impairment of intangibles assets recognized for the three ended September 30, 2020.</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Amortization expense of intangibles included in the consolidated statements of operations was $27,000 and $23,000 for the three months ended September 30, 2021 and 2020, respectively.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expects the future amortization of amortizable intangible assets held at September 30, 2021 to be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7880" w:type="dxa"/>
            <w:vAlign w:val="bottom"/>
            <w:gridSpan w:val="4"/>
          </w:tcPr>
          <w:p>
            <w:pPr>
              <w:jc w:val="center"/>
              <w:ind w:left="6076"/>
              <w:spacing w:after="0"/>
              <w:rPr>
                <w:sz w:val="20"/>
                <w:szCs w:val="20"/>
                <w:color w:val="auto"/>
              </w:rPr>
            </w:pPr>
            <w:r>
              <w:rPr>
                <w:rFonts w:ascii="Arial" w:cs="Arial" w:eastAsia="Arial" w:hAnsi="Arial"/>
                <w:sz w:val="14"/>
                <w:szCs w:val="14"/>
                <w:b w:val="1"/>
                <w:bCs w:val="1"/>
                <w:color w:val="auto"/>
                <w:w w:val="94"/>
              </w:rPr>
              <w:t>Estimated Amortization</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29"/>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Remaining 2022</w:t>
            </w:r>
          </w:p>
        </w:tc>
        <w:tc>
          <w:tcPr>
            <w:tcW w:w="6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2023</w:t>
            </w:r>
          </w:p>
        </w:tc>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2025</w:t>
            </w:r>
          </w:p>
        </w:tc>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6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2027</w:t>
            </w:r>
          </w:p>
        </w:tc>
        <w:tc>
          <w:tcPr>
            <w:tcW w:w="6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6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440" w:type="dxa"/>
            <w:vAlign w:val="bottom"/>
            <w:vMerge w:val="restart"/>
          </w:tcPr>
          <w:p>
            <w:pPr>
              <w:jc w:val="right"/>
              <w:ind w:right="3996"/>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36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6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Plant and Equipment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composition of property, plant and equipment, net is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4"/>
                <w:szCs w:val="14"/>
                <w:color w:val="auto"/>
              </w:rPr>
            </w:pPr>
          </w:p>
        </w:tc>
        <w:tc>
          <w:tcPr>
            <w:tcW w:w="11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As of June 30,</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3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Useful Lives</w:t>
            </w:r>
          </w:p>
        </w:tc>
        <w:tc>
          <w:tcPr>
            <w:tcW w:w="12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Computer software</w:t>
            </w:r>
          </w:p>
        </w:tc>
        <w:tc>
          <w:tcPr>
            <w:tcW w:w="1320" w:type="dxa"/>
            <w:vAlign w:val="bottom"/>
          </w:tcPr>
          <w:p>
            <w:pPr>
              <w:jc w:val="right"/>
              <w:spacing w:after="0"/>
              <w:rPr>
                <w:sz w:val="20"/>
                <w:szCs w:val="20"/>
                <w:color w:val="auto"/>
              </w:rPr>
            </w:pPr>
            <w:r>
              <w:rPr>
                <w:rFonts w:ascii="Arial" w:cs="Arial" w:eastAsia="Arial" w:hAnsi="Arial"/>
                <w:sz w:val="18"/>
                <w:szCs w:val="18"/>
                <w:color w:val="auto"/>
              </w:rPr>
              <w:t>3 years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20" w:type="dxa"/>
            <w:vAlign w:val="bottom"/>
          </w:tcPr>
          <w:p>
            <w:pPr>
              <w:jc w:val="right"/>
              <w:spacing w:after="0"/>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20" w:type="dxa"/>
            <w:vAlign w:val="bottom"/>
          </w:tcPr>
          <w:p>
            <w:pPr>
              <w:jc w:val="right"/>
              <w:spacing w:after="0"/>
              <w:rPr>
                <w:sz w:val="20"/>
                <w:szCs w:val="20"/>
                <w:color w:val="auto"/>
              </w:rPr>
            </w:pPr>
            <w:r>
              <w:rPr>
                <w:rFonts w:ascii="Arial" w:cs="Arial" w:eastAsia="Arial" w:hAnsi="Arial"/>
                <w:sz w:val="18"/>
                <w:szCs w:val="18"/>
                <w:color w:val="auto"/>
              </w:rPr>
              <w:t>Lesser of life or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lease term</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RECELL Moulds</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plant and equipment, net</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Depreciation expense related to plant and equipment for the three months ended September 30, 2021 and 2020 was $147,000 and $188,000,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Prepaids and Other Current Assets and Other long-term assets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Prepaids and other current assets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ind w:left="1700"/>
              <w:spacing w:after="0"/>
              <w:rPr>
                <w:sz w:val="20"/>
                <w:szCs w:val="20"/>
                <w:color w:val="auto"/>
              </w:rPr>
            </w:pPr>
            <w:r>
              <w:rPr>
                <w:rFonts w:ascii="Arial" w:cs="Arial" w:eastAsia="Arial" w:hAnsi="Arial"/>
                <w:sz w:val="18"/>
                <w:szCs w:val="18"/>
                <w:color w:val="auto"/>
              </w:rPr>
              <w:t>Total prepaids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760"/>
              <w:spacing w:after="0"/>
              <w:rPr>
                <w:sz w:val="20"/>
                <w:szCs w:val="20"/>
                <w:color w:val="auto"/>
              </w:rPr>
            </w:pPr>
            <w:r>
              <w:rPr>
                <w:rFonts w:ascii="Arial" w:cs="Arial" w:eastAsia="Arial" w:hAnsi="Arial"/>
                <w:sz w:val="18"/>
                <w:szCs w:val="18"/>
                <w:color w:val="auto"/>
              </w:rPr>
              <w:t>Prepaid expenses primarily consist of prepaid benefits and insurance.</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gridSpan w:val="2"/>
          </w:tcPr>
          <w:p>
            <w:pPr>
              <w:ind w:left="760"/>
              <w:spacing w:after="0"/>
              <w:rPr>
                <w:sz w:val="20"/>
                <w:szCs w:val="20"/>
                <w:color w:val="auto"/>
              </w:rPr>
            </w:pPr>
            <w:r>
              <w:rPr>
                <w:rFonts w:ascii="Arial" w:cs="Arial" w:eastAsia="Arial" w:hAnsi="Arial"/>
                <w:sz w:val="18"/>
                <w:szCs w:val="18"/>
                <w:color w:val="auto"/>
              </w:rPr>
              <w:t>Other long-term assets consisted of the following (in thousands):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BARDA contract costs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lease deposits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Long-term prepaids</w:t>
            </w:r>
          </w:p>
        </w:tc>
        <w:tc>
          <w:tcPr>
            <w:tcW w:w="1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ind w:left="1700"/>
              <w:spacing w:after="0"/>
              <w:rPr>
                <w:sz w:val="20"/>
                <w:szCs w:val="20"/>
                <w:color w:val="auto"/>
              </w:rPr>
            </w:pPr>
            <w:r>
              <w:rPr>
                <w:rFonts w:ascii="Arial" w:cs="Arial" w:eastAsia="Arial" w:hAnsi="Arial"/>
                <w:sz w:val="18"/>
                <w:szCs w:val="18"/>
                <w:color w:val="auto"/>
              </w:rPr>
              <w:t>Total other long-term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5540"/>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Reporting Segment and Geographic Information</w:t>
      </w:r>
    </w:p>
    <w:p>
      <w:pPr>
        <w:spacing w:after="0" w:line="121" w:lineRule="exact"/>
        <w:rPr>
          <w:sz w:val="20"/>
          <w:szCs w:val="20"/>
          <w:color w:val="auto"/>
        </w:rPr>
      </w:pPr>
    </w:p>
    <w:p>
      <w:pPr>
        <w:ind w:right="340" w:firstLine="749"/>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are primarily located in the United States as of September 30, 2021 and 2020 with an insignificant amount located in Australia and the United Kingdom.</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Revenue by region for the three ended September 30, 2021 and 2020 were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64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United States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6,924</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4,970</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7,020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Revenue and Cost of sales by Customer type for the three September 30, 2021 and 2020 were as follows (in thousands):</w:t>
      </w:r>
    </w:p>
    <w:p>
      <w:pPr>
        <w:spacing w:after="0" w:line="35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Commercial sales</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6,928</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5,060</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Product sales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Services for emergency preparedness</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7,020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52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Commercial cost</w:t>
            </w:r>
          </w:p>
        </w:tc>
        <w:tc>
          <w:tcPr>
            <w:tcW w:w="820" w:type="dxa"/>
            <w:vAlign w:val="bottom"/>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1,006</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BARDA:</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Product cost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Emergency preparedness service cost</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2021 and June 30, 2021, the Company did not have any outstanding or threatened litigation that would have a material impact to the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and Preferred Stock</w:t>
      </w:r>
    </w:p>
    <w:p>
      <w:pPr>
        <w:spacing w:after="0" w:line="12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Scheme</w:t>
      </w:r>
      <w:r>
        <w:rPr>
          <w:rFonts w:ascii="Arial" w:cs="Arial" w:eastAsia="Arial" w:hAnsi="Arial"/>
          <w:sz w:val="18"/>
          <w:szCs w:val="18"/>
          <w:color w:val="auto"/>
        </w:rPr>
        <w:t>”). The Scheme was approved by shareholders on June 15, 2020 and approved by the Federal Court of Australia on June 22, 2020.</w:t>
      </w:r>
    </w:p>
    <w:p>
      <w:pPr>
        <w:spacing w:after="0" w:line="184" w:lineRule="exact"/>
        <w:rPr>
          <w:sz w:val="20"/>
          <w:szCs w:val="20"/>
          <w:color w:val="auto"/>
        </w:rPr>
      </w:pPr>
    </w:p>
    <w:p>
      <w:pPr>
        <w:ind w:right="60" w:firstLine="749"/>
        <w:spacing w:after="0" w:line="275" w:lineRule="auto"/>
        <w:rPr>
          <w:sz w:val="20"/>
          <w:szCs w:val="20"/>
          <w:color w:val="auto"/>
        </w:rPr>
      </w:pPr>
      <w:r>
        <w:rPr>
          <w:rFonts w:ascii="Arial" w:cs="Arial" w:eastAsia="Arial" w:hAnsi="Arial"/>
          <w:sz w:val="17"/>
          <w:szCs w:val="17"/>
          <w:color w:val="auto"/>
        </w:rPr>
        <w:t>Pursuant to the Scheme, all ordinary shares in AVITA Medical, the former parent company of the AVITA Group, were exchanged for shares of common stock in AVITA Medical, Inc., which at the time was named AVITA Therapeutics, Inc. As a result, AVITA Medical, Inc. became the sole shareholder of AVITA Medical and the new parent company of the AVITA Group. In conjunction with the Scheme, an implicit reverse split on a 1 for 100 basis was implemented whereby shareholders of AVITA Medical received one share of common stock in AVITA Medical, Inc. for every 100 ordinary shares held in AVITA Medical. AVITA Therapeutics, Inc. changed its name to AVITA Medical, Inc. in December 2020.</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1" w:name="page22"/>
    <w:bookmarkEnd w:id="21"/>
    <w:p>
      <w:pPr>
        <w:ind w:left="760"/>
        <w:spacing w:after="0"/>
        <w:rPr>
          <w:sz w:val="20"/>
          <w:szCs w:val="20"/>
          <w:color w:val="auto"/>
        </w:rPr>
      </w:pPr>
      <w:r>
        <w:rPr>
          <w:rFonts w:ascii="Arial" w:cs="Arial" w:eastAsia="Arial" w:hAnsi="Arial"/>
          <w:sz w:val="18"/>
          <w:szCs w:val="18"/>
          <w:color w:val="auto"/>
        </w:rPr>
        <w:t>Under the Scheme, eligible shareholders in AVITA Medical received consideration in the form of:</w:t>
      </w:r>
    </w:p>
    <w:p>
      <w:pPr>
        <w:spacing w:after="0" w:line="117" w:lineRule="exact"/>
        <w:rPr>
          <w:sz w:val="20"/>
          <w:szCs w:val="20"/>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five CDIs in AVITA Medical, Inc. for every 100 ordinary shares in AVITA Medical that were held by them; or</w:t>
      </w:r>
    </w:p>
    <w:p>
      <w:pPr>
        <w:spacing w:after="0" w:line="113"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 share of common stock in AVITA Medical, Inc. for every 5 ADS</w:t>
      </w:r>
      <w:r>
        <w:rPr>
          <w:rFonts w:ascii="Arial" w:cs="Arial" w:eastAsia="Arial" w:hAnsi="Arial"/>
          <w:sz w:val="18"/>
          <w:szCs w:val="18"/>
          <w:b w:val="1"/>
          <w:bCs w:val="1"/>
          <w:color w:val="auto"/>
        </w:rPr>
        <w:t>s</w:t>
      </w:r>
      <w:r>
        <w:rPr>
          <w:rFonts w:ascii="Arial" w:cs="Arial" w:eastAsia="Arial" w:hAnsi="Arial"/>
          <w:sz w:val="18"/>
          <w:szCs w:val="18"/>
          <w:color w:val="auto"/>
        </w:rPr>
        <w:t xml:space="preserve"> in AVITA Medical that were held by them.</w:t>
      </w:r>
    </w:p>
    <w:p>
      <w:pPr>
        <w:spacing w:after="0" w:line="22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existing ASX ticker code, “AVH”. The Company’s shares of common stock are quoted on NASDAQ under AVITA Medical’s existing NASDAQ ticker code, “RCEL”. One share of common stock on NASDAQ is equivalent to five CDIs on the ASX.</w:t>
      </w:r>
    </w:p>
    <w:p>
      <w:pPr>
        <w:spacing w:after="0" w:line="184"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As a result of the ‘implicit consolidation’ that occurred under the Scheme, the number of shares of common stock on issue in the Company (as set out in the consolidated financial statements) is less than the number of ordinary shares in AVITA Medical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w:t>
      </w:r>
    </w:p>
    <w:p>
      <w:pPr>
        <w:spacing w:after="0" w:line="18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September 30, 2021, and June 30, 2021, 24,925,118 and 24,895,864 shares of common stock, respectively, were issued and outstanding and no shares of preferred stock were outstanding.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Company’s revenue consists of sale of the RECELL System to hospitals or other treatment centers and to BARDA (collectively</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customers</w:t>
      </w:r>
      <w:r>
        <w:rPr>
          <w:rFonts w:ascii="Arial" w:cs="Arial" w:eastAsia="Arial" w:hAnsi="Arial"/>
          <w:sz w:val="16"/>
          <w:szCs w:val="16"/>
          <w:color w:val="auto"/>
        </w:rPr>
        <w:t>”), predominately in the United States. In addition, the Company records service revenue for the emergency preparedness services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BARDA.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For commercial contracts, we identified the hospital or treatment center as the customer in Step 1 of the 5 step model of ASC 606 and have determined a contract exists with those customers. As these contracts typically have a single performance obligation (i.e. product delivery), no allocation of the transaction price is required in Step 4 of the model. Control of the product is transferred to the customer at a point in time, at the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161"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For the contract with BARDA, the Company identified two performance obligations (i) the procurement of 5,614 RECELL units; and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$343,000 and $343,000 as of September 30, 2021 and June 30, 2021, respectively, for the rotation cost of the product. Such amounts are recorded in other current liabilities and other long-term liabilities in the amounts of $77,000 and $266,000 as of September 30, 2021 and $77,000 and $266,000 as of June 30, 2021, respectively. The emergency preparedness services performance obligation is satisfied over time. Revenue for the emergency deployment will be recognized on a straight-line basis during the term of the contract as services are consumed over time. Services recognized for the three months ended September 30, 2021 and 2020 were $92,000 and $0, respectively, and are included in sales within the consolidated statement of operations. Contract costs to fulfil the performance obligation are incremental and expected to be recovered are capitalized and amortized on a straight-line basis over the term of the contract. As of September 30, 2021 and June 30, 2021 contract costs of $564,000 and $613,000 are included in other long-term assets,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right="300" w:firstLine="749"/>
        <w:spacing w:after="0" w:line="287" w:lineRule="auto"/>
        <w:rPr>
          <w:sz w:val="20"/>
          <w:szCs w:val="20"/>
          <w:color w:val="auto"/>
        </w:rPr>
      </w:pPr>
      <w:r>
        <w:rPr>
          <w:rFonts w:ascii="Arial" w:cs="Arial" w:eastAsia="Arial" w:hAnsi="Arial"/>
          <w:sz w:val="16"/>
          <w:szCs w:val="16"/>
          <w:color w:val="auto"/>
        </w:rPr>
        <w:t>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$1.0 million and $1.1 million as of September 30, 2021 and June 30, 2021,</w:t>
      </w:r>
    </w:p>
    <w:p>
      <w:pPr>
        <w:spacing w:after="0" w:line="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respectively. Approximately $583,000 for September 30, 2021 and $665,000 for June 30, 2021 of the total balance relates to our July 2020 contract with BARDA for the purchase, delivery and storage of RECELL Systems for emergency response preparedness for a period of three years. The Company expects to recognize this amount as services are provided to BARDA. For the remaining balance of $435,000 as of September 30, 2021 and June 30, 2021, the Company expects to recognize revenue upon receiving Japanese Pharmaceuticals and Medical Device Act approval of the RECELL System in Japan. For the contract with BARDA, we recognized $92,000 and $0 of service revenue related to the emergency readiness performance obligation during the three months ended September 30, 2021, and 2020. We are contracted to manage this inventory of product until the federal government requests shipment or at contract termination on December 31,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17" w:lineRule="exact"/>
        <w:rPr>
          <w:sz w:val="20"/>
          <w:szCs w:val="20"/>
          <w:color w:val="auto"/>
        </w:rPr>
      </w:pPr>
    </w:p>
    <w:p>
      <w:pPr>
        <w:ind w:right="320" w:firstLine="749"/>
        <w:spacing w:after="0" w:line="301" w:lineRule="auto"/>
        <w:rPr>
          <w:sz w:val="20"/>
          <w:szCs w:val="20"/>
          <w:color w:val="auto"/>
        </w:rPr>
      </w:pPr>
      <w:r>
        <w:rPr>
          <w:rFonts w:ascii="Arial" w:cs="Arial" w:eastAsia="Arial" w:hAnsi="Arial"/>
          <w:sz w:val="16"/>
          <w:szCs w:val="16"/>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Contract assets include amounts related to the Company’s contractual right to consideration for both completed and partially completed performance for which the Company does not have the right to payment. As of the period ended September 30, 2021 and June 30, 2021, the Company does not have any contract assets.</w:t>
      </w:r>
    </w:p>
    <w:p>
      <w:pPr>
        <w:spacing w:after="0" w:line="184"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Contract liabilities are recorded when the Company receives payment prior to satisfying its obligation to transfer goods to a customer. The Company had $1.0 million and $1.1 million of contract liabilities as of September 30, 2021 and June 30, 2021, respectively. Balance primarily relates to the unsatisfied performance obligation for emergency preparedness under the BARDA contract. Performance obligation will be recognized over time over the term of the contract. For the three months ended September 30, 2021 and 2020, the Company recognized $92,000 of revenue recognized from amounts included in the beginning balance of contract liabilities. For the three months ended September 30, 2020, the amounts were not significant.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to Obtain and Fulfill a Contract</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BARDA Contract Costs</w:t>
      </w:r>
    </w:p>
    <w:p>
      <w:pPr>
        <w:spacing w:after="0" w:line="117"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color w:val="auto"/>
        </w:rPr>
        <w:t>Cost to fulfil the BARDA emergency preparedness performance obligation, which primarily consist of billed costs to BARDA incurred in connection with the emergency deployment services, are incremental and expected to be recovered. Costs are capitalized and amortized on a straight-line basis over the term of the contract. As of September 30, 2021 and June 30, 2021, the Company had $564,000 and $613,000 of contracts costs included in other long-term assets. Amortization expense related to deferred contract costs were $82,000 and $0, during the three months ended September 30, 2021 and 2020, respectively, and are classified as cost of sales on the accompanying consolidated Statements of Operations. There was no impairment loss in relation to deferred contract costs during the three months ended September 30, 2021 and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17"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Share-Based Payment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Employee Share-Based Compensation Plans</w:t>
      </w:r>
    </w:p>
    <w:p>
      <w:pPr>
        <w:spacing w:after="0" w:line="113" w:lineRule="exact"/>
        <w:rPr>
          <w:sz w:val="20"/>
          <w:szCs w:val="20"/>
          <w:color w:val="auto"/>
        </w:rPr>
      </w:pPr>
    </w:p>
    <w:p>
      <w:pPr>
        <w:ind w:right="80" w:firstLine="749"/>
        <w:spacing w:after="0" w:line="258" w:lineRule="auto"/>
        <w:rPr>
          <w:sz w:val="20"/>
          <w:szCs w:val="20"/>
          <w:color w:val="auto"/>
        </w:rPr>
      </w:pPr>
      <w:r>
        <w:rPr>
          <w:rFonts w:ascii="Arial" w:cs="Arial" w:eastAsia="Arial" w:hAnsi="Arial"/>
          <w:sz w:val="18"/>
          <w:szCs w:val="18"/>
          <w:color w:val="auto"/>
        </w:rPr>
        <w:t>Our former parent company, AVITA Medical, adopted the Employee Share Plan and the Incentive Option Plan (collectively, the “</w:t>
      </w:r>
      <w:r>
        <w:rPr>
          <w:rFonts w:ascii="Arial" w:cs="Arial" w:eastAsia="Arial" w:hAnsi="Arial"/>
          <w:sz w:val="18"/>
          <w:szCs w:val="18"/>
          <w:b w:val="1"/>
          <w:bCs w:val="1"/>
          <w:color w:val="auto"/>
        </w:rPr>
        <w:t>2016 Plans</w:t>
      </w:r>
      <w:r>
        <w:rPr>
          <w:rFonts w:ascii="Arial" w:cs="Arial" w:eastAsia="Arial" w:hAnsi="Arial"/>
          <w:sz w:val="18"/>
          <w:szCs w:val="18"/>
          <w:color w:val="auto"/>
        </w:rPr>
        <w:t>”). Upon completion of the Redomiciliation, the 2016 Plans were terminated with respect to future grants and accordingly, there are no more shares available to be issued under the 2016 Plans.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Arial" w:cs="Arial" w:eastAsia="Arial" w:hAnsi="Arial"/>
          <w:sz w:val="18"/>
          <w:szCs w:val="18"/>
          <w:b w:val="1"/>
          <w:bCs w:val="1"/>
          <w:color w:val="auto"/>
        </w:rPr>
        <w:t>2020 Plan</w:t>
      </w:r>
      <w:r>
        <w:rPr>
          <w:rFonts w:ascii="Arial" w:cs="Arial" w:eastAsia="Arial" w:hAnsi="Arial"/>
          <w:sz w:val="18"/>
          <w:szCs w:val="18"/>
          <w:color w:val="auto"/>
        </w:rPr>
        <w:t>”).</w:t>
      </w:r>
    </w:p>
    <w:p>
      <w:pPr>
        <w:spacing w:after="0" w:line="187" w:lineRule="exact"/>
        <w:rPr>
          <w:sz w:val="20"/>
          <w:szCs w:val="20"/>
          <w:color w:val="auto"/>
        </w:rPr>
      </w:pPr>
    </w:p>
    <w:p>
      <w:pPr>
        <w:ind w:right="200" w:firstLine="749"/>
        <w:spacing w:after="0" w:line="291" w:lineRule="auto"/>
        <w:rPr>
          <w:sz w:val="20"/>
          <w:szCs w:val="20"/>
          <w:color w:val="auto"/>
        </w:rPr>
      </w:pPr>
      <w:r>
        <w:rPr>
          <w:rFonts w:ascii="Arial" w:cs="Arial" w:eastAsia="Arial" w:hAnsi="Arial"/>
          <w:sz w:val="16"/>
          <w:szCs w:val="16"/>
          <w:color w:val="auto"/>
        </w:rPr>
        <w:t>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16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contractual term of awards granted under the 2020 Plan is ten years from the date of its grant. Unless otherwise specified, the vesting period of awards under the 2020 Plan was: (i) vest over a four year period in four equal installments, 25% at the end of each year from the date of grant, and /or (ii) subject to other performance criteria and hurdles, as determined by the Compensation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 Expenses</w:t>
      </w:r>
    </w:p>
    <w:p>
      <w:pPr>
        <w:spacing w:after="0" w:line="117" w:lineRule="exact"/>
        <w:rPr>
          <w:sz w:val="20"/>
          <w:szCs w:val="20"/>
          <w:color w:val="auto"/>
        </w:rPr>
      </w:pPr>
    </w:p>
    <w:p>
      <w:pPr>
        <w:ind w:right="200" w:firstLine="749"/>
        <w:spacing w:after="0" w:line="279" w:lineRule="auto"/>
        <w:rPr>
          <w:sz w:val="20"/>
          <w:szCs w:val="20"/>
          <w:color w:val="auto"/>
        </w:rPr>
      </w:pPr>
      <w:r>
        <w:rPr>
          <w:rFonts w:ascii="Arial" w:cs="Arial" w:eastAsia="Arial" w:hAnsi="Arial"/>
          <w:sz w:val="16"/>
          <w:szCs w:val="16"/>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w:t>
      </w:r>
      <w:r>
        <w:rPr>
          <w:sz w:val="1"/>
          <w:szCs w:val="1"/>
          <w:color w:val="auto"/>
        </w:rPr>
        <w:drawing>
          <wp:inline distT="0" distB="0" distL="0" distR="0">
            <wp:extent cx="34290"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During the three months ended September 30, 2021 and 2020, the Company recorded share-based compensation expense of $1.8 million, and $3.3 million, respectively. No income tax benefit was recognized in the consolidated statement of operations for share-based payment arrangements for the three months ended September 30, 2021 and 2020.</w:t>
      </w:r>
    </w:p>
    <w:p>
      <w:pPr>
        <w:spacing w:after="0" w:line="17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Company has included share-based compensation expense as part of operating expenses in the accompanying consolidated statements of operations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3080" w:type="dxa"/>
            <w:vAlign w:val="bottom"/>
            <w:tcBorders>
              <w:bottom w:val="single" w:sz="8" w:color="auto"/>
            </w:tcBorders>
            <w:gridSpan w:val="5"/>
          </w:tcPr>
          <w:p>
            <w:pPr>
              <w:jc w:val="right"/>
              <w:ind w:right="127"/>
              <w:spacing w:after="0"/>
              <w:rPr>
                <w:sz w:val="20"/>
                <w:szCs w:val="20"/>
                <w:color w:val="auto"/>
              </w:rPr>
            </w:pPr>
            <w:r>
              <w:rPr>
                <w:rFonts w:ascii="Arial" w:cs="Arial" w:eastAsia="Arial" w:hAnsi="Arial"/>
                <w:sz w:val="14"/>
                <w:szCs w:val="14"/>
                <w:b w:val="1"/>
                <w:bCs w:val="1"/>
                <w:color w:val="auto"/>
              </w:rPr>
              <w:t>Three-months ended September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520" w:type="dxa"/>
            <w:vAlign w:val="bottom"/>
          </w:tcPr>
          <w:p>
            <w:pPr>
              <w:spacing w:after="0"/>
              <w:rPr>
                <w:sz w:val="13"/>
                <w:szCs w:val="13"/>
                <w:color w:val="auto"/>
              </w:rPr>
            </w:pPr>
          </w:p>
        </w:tc>
        <w:tc>
          <w:tcPr>
            <w:tcW w:w="1220" w:type="dxa"/>
            <w:vAlign w:val="bottom"/>
          </w:tcPr>
          <w:p>
            <w:pPr>
              <w:jc w:val="right"/>
              <w:ind w:right="107"/>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220" w:type="dxa"/>
            <w:vAlign w:val="bottom"/>
            <w:tcBorders>
              <w:top w:val="single" w:sz="8" w:color="auto"/>
            </w:tcBorders>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share option activity as of September 30, 2021 and changes during the period ended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8"/>
              </w:rPr>
              <w:t>Service Only Share</w:t>
            </w:r>
          </w:p>
        </w:tc>
        <w:tc>
          <w:tcPr>
            <w:tcW w:w="2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Performance Based</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 Share</w:t>
            </w:r>
          </w:p>
        </w:tc>
      </w:tr>
      <w:tr>
        <w:trPr>
          <w:trHeight w:val="234"/>
        </w:trPr>
        <w:tc>
          <w:tcPr>
            <w:tcW w:w="5060" w:type="dxa"/>
            <w:vAlign w:val="bottom"/>
          </w:tcPr>
          <w:p>
            <w:pPr>
              <w:spacing w:after="0"/>
              <w:rPr>
                <w:sz w:val="20"/>
                <w:szCs w:val="20"/>
                <w:color w:val="auto"/>
              </w:rPr>
            </w:pPr>
          </w:p>
        </w:tc>
        <w:tc>
          <w:tcPr>
            <w:tcW w:w="230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Options</w:t>
            </w:r>
          </w:p>
        </w:tc>
        <w:tc>
          <w:tcPr>
            <w:tcW w:w="22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 Options</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Options</w:t>
            </w: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shares at June 30, 2021</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997,826</w:t>
            </w:r>
          </w:p>
        </w:tc>
        <w:tc>
          <w:tcPr>
            <w:tcW w:w="5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495,669</w:t>
            </w:r>
          </w:p>
        </w:tc>
        <w:tc>
          <w:tcPr>
            <w:tcW w:w="4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1,493,495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94,100</w:t>
            </w:r>
          </w:p>
        </w:tc>
        <w:tc>
          <w:tcPr>
            <w:tcW w:w="5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92,875</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186,975</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3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(500)</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Expired</w:t>
            </w:r>
          </w:p>
        </w:tc>
        <w:tc>
          <w:tcPr>
            <w:tcW w:w="2300" w:type="dxa"/>
            <w:vAlign w:val="bottom"/>
            <w:gridSpan w:val="2"/>
          </w:tcPr>
          <w:p>
            <w:pPr>
              <w:jc w:val="right"/>
              <w:ind w:right="440"/>
              <w:spacing w:after="0"/>
              <w:rPr>
                <w:sz w:val="20"/>
                <w:szCs w:val="20"/>
                <w:color w:val="auto"/>
              </w:rPr>
            </w:pPr>
            <w:r>
              <w:rPr>
                <w:rFonts w:ascii="Arial" w:cs="Arial" w:eastAsia="Arial" w:hAnsi="Arial"/>
                <w:sz w:val="18"/>
                <w:szCs w:val="18"/>
                <w:color w:val="auto"/>
              </w:rPr>
              <w:t>(4,400)</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30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(15,225)</w:t>
            </w:r>
          </w:p>
        </w:tc>
        <w:tc>
          <w:tcPr>
            <w:tcW w:w="22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(2,350)</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(17,575)</w:t>
            </w:r>
          </w:p>
        </w:tc>
      </w:tr>
      <w:tr>
        <w:trPr>
          <w:trHeight w:val="26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shares at September 30, 2021</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1,071,801</w:t>
            </w:r>
          </w:p>
        </w:tc>
        <w:tc>
          <w:tcPr>
            <w:tcW w:w="500" w:type="dxa"/>
            <w:vAlign w:val="bottom"/>
            <w:tcBorders>
              <w:bottom w:val="single" w:sz="8" w:color="CFF0FC"/>
            </w:tcBorders>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586,194</w:t>
            </w:r>
          </w:p>
        </w:tc>
        <w:tc>
          <w:tcPr>
            <w:tcW w:w="420" w:type="dxa"/>
            <w:vAlign w:val="bottom"/>
            <w:tcBorders>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1,657,995</w:t>
            </w:r>
          </w:p>
        </w:tc>
        <w:tc>
          <w:tcPr>
            <w:tcW w:w="120" w:type="dxa"/>
            <w:vAlign w:val="bottom"/>
            <w:tcBorders>
              <w:bottom w:val="single" w:sz="8" w:color="CFF0FC"/>
            </w:tcBorders>
          </w:tcPr>
          <w:p>
            <w:pPr>
              <w:spacing w:after="0"/>
              <w:rPr>
                <w:sz w:val="22"/>
                <w:szCs w:val="22"/>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September 30, 2021</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447,699</w:t>
            </w:r>
          </w:p>
        </w:tc>
        <w:tc>
          <w:tcPr>
            <w:tcW w:w="5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307,332</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755,031</w:t>
            </w:r>
          </w:p>
        </w:tc>
        <w:tc>
          <w:tcPr>
            <w:tcW w:w="120" w:type="dxa"/>
            <w:vAlign w:val="bottom"/>
            <w:shd w:val="clear" w:color="auto" w:fill="CFF0FC"/>
          </w:tcPr>
          <w:p>
            <w:pPr>
              <w:spacing w:after="0"/>
              <w:rPr>
                <w:sz w:val="18"/>
                <w:szCs w:val="18"/>
                <w:color w:val="auto"/>
              </w:rPr>
            </w:pPr>
          </w:p>
        </w:tc>
      </w:tr>
      <w:tr>
        <w:trPr>
          <w:trHeight w:val="864"/>
        </w:trPr>
        <w:tc>
          <w:tcPr>
            <w:tcW w:w="5060" w:type="dxa"/>
            <w:vAlign w:val="bottom"/>
          </w:tcPr>
          <w:p>
            <w:pPr>
              <w:spacing w:after="0"/>
              <w:rPr>
                <w:sz w:val="24"/>
                <w:szCs w:val="24"/>
                <w:color w:val="auto"/>
              </w:rPr>
            </w:pPr>
          </w:p>
        </w:tc>
        <w:tc>
          <w:tcPr>
            <w:tcW w:w="1800" w:type="dxa"/>
            <w:vAlign w:val="bottom"/>
          </w:tcPr>
          <w:p>
            <w:pPr>
              <w:jc w:val="right"/>
              <w:ind w:right="105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3" w:lineRule="exact"/>
        <w:rPr>
          <w:sz w:val="20"/>
          <w:szCs w:val="20"/>
          <w:color w:val="auto"/>
        </w:rPr>
      </w:pPr>
    </w:p>
    <w:p>
      <w:pPr>
        <w:ind w:right="260" w:firstLine="749"/>
        <w:spacing w:after="0" w:line="256" w:lineRule="auto"/>
        <w:rPr>
          <w:sz w:val="20"/>
          <w:szCs w:val="20"/>
          <w:color w:val="auto"/>
        </w:rPr>
      </w:pPr>
      <w:r>
        <w:rPr>
          <w:rFonts w:ascii="Arial" w:cs="Arial" w:eastAsia="Arial" w:hAnsi="Arial"/>
          <w:sz w:val="18"/>
          <w:szCs w:val="18"/>
          <w:color w:val="auto"/>
        </w:rPr>
        <w:t>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are granted to executives as part of their long-term incentive compensation. RSUs granted prior to the current year and under the 2020 Plan, arise out of contracts between the Company and the holders of such securities. These RSU awards were approved by the Compensation Committee as determined necessary. They have a contractual term of 10 years and vest in accordance with the tenure or performance conditions as determined by the Compensation Committee. The grant date fair value is determined based on the price of the Company stock price on the date of grant (stock price determined on NASDAQ post redomiciliation and ASX prior to the redomiciliation). RSUs primarily consist of awards to the CEO and other executives.</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summary of the status of the Company’s unvested RSUs as of September 30, 2021, and changes during the period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Service Condition RSU</w:t>
            </w:r>
          </w:p>
        </w:tc>
        <w:tc>
          <w:tcPr>
            <w:tcW w:w="2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1"/>
              </w:rPr>
              <w:t>Performance Condition</w:t>
            </w:r>
          </w:p>
        </w:tc>
        <w:tc>
          <w:tcPr>
            <w:tcW w:w="160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Total RSU's</w:t>
            </w:r>
          </w:p>
        </w:tc>
        <w:tc>
          <w:tcPr>
            <w:tcW w:w="0" w:type="dxa"/>
            <w:vAlign w:val="bottom"/>
          </w:tcPr>
          <w:p>
            <w:pPr>
              <w:spacing w:after="0"/>
              <w:rPr>
                <w:sz w:val="1"/>
                <w:szCs w:val="1"/>
                <w:color w:val="auto"/>
              </w:rPr>
            </w:pPr>
          </w:p>
        </w:tc>
      </w:tr>
      <w:tr>
        <w:trPr>
          <w:trHeight w:val="126"/>
        </w:trPr>
        <w:tc>
          <w:tcPr>
            <w:tcW w:w="506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2280" w:type="dxa"/>
            <w:vAlign w:val="bottom"/>
            <w:gridSpan w:val="2"/>
            <w:vMerge w:val="restart"/>
          </w:tcPr>
          <w:p>
            <w:pPr>
              <w:jc w:val="right"/>
              <w:ind w:right="1180"/>
              <w:spacing w:after="0"/>
              <w:rPr>
                <w:sz w:val="20"/>
                <w:szCs w:val="20"/>
                <w:color w:val="auto"/>
              </w:rPr>
            </w:pPr>
            <w:r>
              <w:rPr>
                <w:rFonts w:ascii="Arial" w:cs="Arial" w:eastAsia="Arial" w:hAnsi="Arial"/>
                <w:sz w:val="18"/>
                <w:szCs w:val="18"/>
                <w:b w:val="1"/>
                <w:bCs w:val="1"/>
                <w:color w:val="auto"/>
              </w:rPr>
              <w:t>RSU</w:t>
            </w:r>
          </w:p>
        </w:tc>
        <w:tc>
          <w:tcPr>
            <w:tcW w:w="1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at June 30, 2021</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47,507</w:t>
            </w:r>
          </w:p>
        </w:tc>
        <w:tc>
          <w:tcPr>
            <w:tcW w:w="50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52,507</w:t>
            </w:r>
          </w:p>
        </w:tc>
        <w:tc>
          <w:tcPr>
            <w:tcW w:w="4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100,014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87,500</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22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(28,754)</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(28,754)</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FF0FC"/>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at September 30, 2021</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47,507</w:t>
            </w:r>
          </w:p>
        </w:tc>
        <w:tc>
          <w:tcPr>
            <w:tcW w:w="5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111,253</w:t>
            </w:r>
          </w:p>
        </w:tc>
        <w:tc>
          <w:tcPr>
            <w:tcW w:w="4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7" w:lineRule="exact"/>
        <w:rPr>
          <w:sz w:val="20"/>
          <w:szCs w:val="20"/>
          <w:color w:val="auto"/>
        </w:rPr>
      </w:pPr>
    </w:p>
    <w:p>
      <w:pPr>
        <w:ind w:right="80" w:firstLine="749"/>
        <w:spacing w:after="0" w:line="290" w:lineRule="auto"/>
        <w:rPr>
          <w:sz w:val="20"/>
          <w:szCs w:val="20"/>
          <w:color w:val="auto"/>
        </w:rPr>
      </w:pPr>
      <w:r>
        <w:rPr>
          <w:rFonts w:ascii="Arial" w:cs="Arial" w:eastAsia="Arial" w:hAnsi="Arial"/>
          <w:sz w:val="16"/>
          <w:szCs w:val="16"/>
          <w:color w:val="auto"/>
        </w:rPr>
        <w:t>At June 30, 2021, the Company and its subsidiaries had net operating loss carryforwards for federal, state, United Kingdom, and Australia income tax purposes of $111.8 million, $66.5 million, $32.8 million and $38.2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 The Company is forecasting current year losses and has full valuation allowances against its deferred tax assets. Tax expense for the three months ended September 30, 2021 and 2020 of $6,000 and $10,000, respectively, is related to state minimum taxes.</w:t>
      </w:r>
    </w:p>
    <w:p>
      <w:pPr>
        <w:spacing w:after="0" w:line="164"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$49.1 million and $41.9 million as of June 30, 2021 and 2020, respectively. The deferred tax assets are primarily net operating loss carryforwards for which management has determined it is more likely than not that the deferred tax assets will not be realized.</w:t>
      </w:r>
    </w:p>
    <w:p>
      <w:pPr>
        <w:spacing w:after="0" w:line="196"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not identified any uncertain tax positions as of September 30, 2021 or June 30, 2021.</w:t>
      </w:r>
    </w:p>
    <w:p>
      <w:pPr>
        <w:spacing w:after="0" w:line="225"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June 30, 2021, and for certain other U.S. state and local income taxes generally for the fiscal years ended June 30, 2018 through June 30, 2021.</w:t>
      </w:r>
    </w:p>
    <w:p>
      <w:pPr>
        <w:spacing w:after="0" w:line="167" w:lineRule="exact"/>
        <w:rPr>
          <w:sz w:val="20"/>
          <w:szCs w:val="20"/>
          <w:color w:val="auto"/>
        </w:rPr>
      </w:pPr>
    </w:p>
    <w:p>
      <w:pPr>
        <w:ind w:right="380" w:firstLine="749"/>
        <w:spacing w:after="0" w:line="266" w:lineRule="auto"/>
        <w:rPr>
          <w:sz w:val="20"/>
          <w:szCs w:val="20"/>
          <w:color w:val="auto"/>
        </w:rPr>
      </w:pPr>
      <w:r>
        <w:rPr>
          <w:rFonts w:ascii="Arial" w:cs="Arial" w:eastAsia="Arial" w:hAnsi="Arial"/>
          <w:sz w:val="18"/>
          <w:szCs w:val="18"/>
          <w:color w:val="auto"/>
        </w:rPr>
        <w:t>The Tax Cuts and Jobs Act (“</w:t>
      </w:r>
      <w:r>
        <w:rPr>
          <w:rFonts w:ascii="Arial" w:cs="Arial" w:eastAsia="Arial" w:hAnsi="Arial"/>
          <w:sz w:val="18"/>
          <w:szCs w:val="18"/>
          <w:b w:val="1"/>
          <w:bCs w:val="1"/>
          <w:color w:val="auto"/>
        </w:rPr>
        <w:t>the Tax Act</w:t>
      </w:r>
      <w:r>
        <w:rPr>
          <w:rFonts w:ascii="Arial" w:cs="Arial" w:eastAsia="Arial" w:hAnsi="Arial"/>
          <w:sz w:val="18"/>
          <w:szCs w:val="18"/>
          <w:color w:val="auto"/>
        </w:rPr>
        <w:t>”) was enacted on December 22, 2017 and reduced U.S. corporate income tax rates to 21% as of January 1, 2018. The rate change became effective during tax year June 30, 2018, resulting in a blended statutory tax rate of 28% and a decrease in the Company’s deferred tax assets and the associated valuation allowance in tax year June 30,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100" w:firstLine="749"/>
        <w:spacing w:after="0" w:line="303" w:lineRule="auto"/>
        <w:rPr>
          <w:sz w:val="20"/>
          <w:szCs w:val="20"/>
          <w:color w:val="auto"/>
        </w:rPr>
      </w:pPr>
      <w:r>
        <w:rPr>
          <w:rFonts w:ascii="Arial" w:cs="Arial" w:eastAsia="Arial" w:hAnsi="Arial"/>
          <w:sz w:val="16"/>
          <w:szCs w:val="16"/>
          <w:color w:val="auto"/>
        </w:rPr>
        <w:t>On March 27, 2020, the Coronavirus Aid, Relief, and Economic Security Act (“</w:t>
      </w:r>
      <w:r>
        <w:rPr>
          <w:rFonts w:ascii="Arial" w:cs="Arial" w:eastAsia="Arial" w:hAnsi="Arial"/>
          <w:sz w:val="16"/>
          <w:szCs w:val="16"/>
          <w:b w:val="1"/>
          <w:bCs w:val="1"/>
          <w:color w:val="auto"/>
        </w:rPr>
        <w:t>CARES Ac</w:t>
      </w:r>
      <w:r>
        <w:rPr>
          <w:rFonts w:ascii="Arial" w:cs="Arial" w:eastAsia="Arial" w:hAnsi="Arial"/>
          <w:sz w:val="16"/>
          <w:szCs w:val="16"/>
          <w:color w:val="auto"/>
        </w:rPr>
        <w:t>t”) was enacted in the United States. The CARES Act provides numerous tax provisions and other stimulus measures, including temporary changes regarding the prior and future utilization of net operating losses and technical corrections from prior tax legislation for tax depreciation of certain qualified improvement property. The Company evaluated the provisions of the CARES Act and does not anticipate the associated impacts, if any, will have a material effect on our financial position.</w:t>
      </w:r>
    </w:p>
    <w:p>
      <w:pPr>
        <w:spacing w:after="0" w:line="155" w:lineRule="exact"/>
        <w:rPr>
          <w:sz w:val="20"/>
          <w:szCs w:val="20"/>
          <w:color w:val="auto"/>
        </w:rPr>
      </w:pPr>
    </w:p>
    <w:p>
      <w:pPr>
        <w:ind w:right="100" w:firstLine="749"/>
        <w:spacing w:after="0" w:line="259" w:lineRule="auto"/>
        <w:rPr>
          <w:sz w:val="20"/>
          <w:szCs w:val="20"/>
          <w:color w:val="auto"/>
        </w:rPr>
      </w:pPr>
      <w:r>
        <w:rPr>
          <w:rFonts w:ascii="Arial" w:cs="Arial" w:eastAsia="Arial" w:hAnsi="Arial"/>
          <w:sz w:val="18"/>
          <w:szCs w:val="18"/>
          <w:color w:val="auto"/>
        </w:rPr>
        <w:t>On December 27, 2020, the Consolidated Appropriations Act, 2021 (CAA 2021) was signed into law which included a number of provisions including, but not limited to the extension of numerous CARES Act provisions such as employment tax credits and enhanced business meals deductions. Accordingly, the effects of the CCA have been incorporated into the income tax provision computation for the year ended June 30, 2021. These provisions did not have a material impact on the income tax provision.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reconciliation of the basic and diluted loss per share computations: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
        </w:trPr>
        <w:tc>
          <w:tcPr>
            <w:tcW w:w="7720" w:type="dxa"/>
            <w:vAlign w:val="bottom"/>
          </w:tcPr>
          <w:p>
            <w:pPr>
              <w:spacing w:after="0"/>
              <w:rPr>
                <w:sz w:val="3"/>
                <w:szCs w:val="3"/>
                <w:color w:val="auto"/>
              </w:rPr>
            </w:pPr>
          </w:p>
        </w:tc>
        <w:tc>
          <w:tcPr>
            <w:tcW w:w="2820" w:type="dxa"/>
            <w:vAlign w:val="bottom"/>
            <w:tcBorders>
              <w:bottom w:val="single" w:sz="8" w:color="auto"/>
            </w:tcBorders>
            <w:gridSpan w:val="4"/>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56"/>
        </w:trPr>
        <w:tc>
          <w:tcPr>
            <w:tcW w:w="7720" w:type="dxa"/>
            <w:vAlign w:val="bottom"/>
          </w:tcPr>
          <w:p>
            <w:pPr>
              <w:spacing w:after="0"/>
              <w:rPr>
                <w:sz w:val="13"/>
                <w:szCs w:val="13"/>
                <w:color w:val="auto"/>
              </w:rPr>
            </w:pPr>
          </w:p>
        </w:tc>
        <w:tc>
          <w:tcPr>
            <w:tcW w:w="282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(10,227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Weighted-average common shares – outstanding, basic</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24,905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21,504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 outstanding, diluted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24,905</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21,504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diluted</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months ended September 30, 2021 and 2020, diluted net loss per common share is the same as the basic net loss per share for those periods.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117" w:lineRule="exact"/>
        <w:rPr>
          <w:sz w:val="20"/>
          <w:szCs w:val="20"/>
          <w:color w:val="auto"/>
        </w:rPr>
      </w:pPr>
    </w:p>
    <w:p>
      <w:pPr>
        <w:ind w:right="40" w:firstLine="749"/>
        <w:spacing w:after="0" w:line="256" w:lineRule="auto"/>
        <w:rPr>
          <w:sz w:val="20"/>
          <w:szCs w:val="20"/>
          <w:color w:val="auto"/>
        </w:rPr>
      </w:pPr>
      <w:r>
        <w:rPr>
          <w:rFonts w:ascii="Arial" w:cs="Arial" w:eastAsia="Arial" w:hAnsi="Arial"/>
          <w:sz w:val="18"/>
          <w:szCs w:val="18"/>
          <w:color w:val="auto"/>
        </w:rPr>
        <w:t xml:space="preserve">The Company offers a 401(k)-retirement savings plan (the </w:t>
      </w:r>
      <w:r>
        <w:rPr>
          <w:rFonts w:ascii="Arial" w:cs="Arial" w:eastAsia="Arial" w:hAnsi="Arial"/>
          <w:sz w:val="18"/>
          <w:szCs w:val="18"/>
          <w:b w:val="1"/>
          <w:bCs w:val="1"/>
          <w:color w:val="auto"/>
        </w:rPr>
        <w:t>“401(k) Plan”</w:t>
      </w:r>
      <w:r>
        <w:rPr>
          <w:rFonts w:ascii="Arial" w:cs="Arial" w:eastAsia="Arial" w:hAnsi="Arial"/>
          <w:sz w:val="18"/>
          <w:szCs w:val="18"/>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$183,000 and $165,000 in the three months ended September 30, 2021 and 2020,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w:t>
      </w:r>
    </w:p>
    <w:p>
      <w:pPr>
        <w:spacing w:after="0" w:line="170"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170"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AVITA group of companies (comprising AVITA Medical, Inc. (“AVITA” or the “Company”) and its subsidiaries, including AVITA Medical Pty Limited, previously known as AVITA Medical Limited, (“AVITA Medical”)) (collectively, “AVITA Group” or “we”, “us”, or “our”) is a commercial-stage regenerative tissue company focused on the treatment of burns, trauma and other acute injuries, together with skin defects like vitiligo. The Company’s lead product is the RECELL® System, a device that enables healthcare professionals to produce a suspension of Spray-On Skin™ Cells using a small sample of the patient’s own skin. In September 2018, the United States Food &amp; Drug Administration (“FDA”) granted premarket approval (“PMA”) to the RECELL System for use in the treatment of acute thermal burns in patients eighteen years and older and pediatric acute full thermal burns in 2021. Following receipt of the Company’s PMA, AVITA commenced commercializing the RECELL System in January 2019 in the United States. In addition, the FDA has granted the Company three Investigational Device Exemptions (“IDEs”) studies which have enabled the Company to initiate pivotal clinical investigational studies to seek expanded FDA (supplementary) PMA of the RECELL System for each of soft tissue reconstruction, and vitiligo. Enrollment of those clinical studies is ongoing and, if successful, those studies would enable the Company to commence commercializing the RECELL System in the United States in each of those indications.</w:t>
      </w:r>
    </w:p>
    <w:p>
      <w:pPr>
        <w:spacing w:after="0" w:line="178" w:lineRule="exact"/>
        <w:rPr>
          <w:sz w:val="20"/>
          <w:szCs w:val="20"/>
          <w:color w:val="auto"/>
        </w:rPr>
      </w:pPr>
    </w:p>
    <w:p>
      <w:pPr>
        <w:ind w:right="100" w:firstLine="749"/>
        <w:spacing w:after="0" w:line="275" w:lineRule="auto"/>
        <w:rPr>
          <w:sz w:val="20"/>
          <w:szCs w:val="20"/>
          <w:color w:val="auto"/>
        </w:rPr>
      </w:pPr>
      <w:r>
        <w:rPr>
          <w:rFonts w:ascii="Arial" w:cs="Arial" w:eastAsia="Arial" w:hAnsi="Arial"/>
          <w:sz w:val="16"/>
          <w:szCs w:val="16"/>
          <w:color w:val="auto"/>
        </w:rPr>
        <w:t>The Company’s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80"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60" w:firstLine="749"/>
        <w:spacing w:after="0" w:line="261"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 registered in Australia cleared for use in the treatment of burns, acute wounds, scars and repigmentation (vitiligo). In Europe, the RECELL System received CE-mark approval for the treatment of burns, chronic wounds, scars and vitiligo. Presently, we are not actively marketing the RECELL System internationally and therefore do not derive meaningful revenue from the RECELL System in these markets.</w:t>
      </w:r>
    </w:p>
    <w:p>
      <w:pPr>
        <w:spacing w:after="0" w:line="184" w:lineRule="exact"/>
        <w:rPr>
          <w:sz w:val="20"/>
          <w:szCs w:val="20"/>
          <w:color w:val="auto"/>
        </w:rPr>
      </w:pPr>
    </w:p>
    <w:p>
      <w:pPr>
        <w:ind w:right="40" w:firstLine="749"/>
        <w:spacing w:after="0" w:line="275" w:lineRule="auto"/>
        <w:rPr>
          <w:sz w:val="20"/>
          <w:szCs w:val="20"/>
          <w:color w:val="auto"/>
        </w:rPr>
      </w:pPr>
      <w:r>
        <w:rPr>
          <w:rFonts w:ascii="Arial" w:cs="Arial" w:eastAsia="Arial" w:hAnsi="Arial"/>
          <w:sz w:val="17"/>
          <w:szCs w:val="17"/>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or with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right="120" w:firstLine="749"/>
        <w:spacing w:after="0" w:line="275" w:lineRule="auto"/>
        <w:rPr>
          <w:sz w:val="20"/>
          <w:szCs w:val="20"/>
          <w:color w:val="auto"/>
        </w:rPr>
      </w:pPr>
      <w:r>
        <w:rPr>
          <w:rFonts w:ascii="Arial" w:cs="Arial" w:eastAsia="Arial" w:hAnsi="Arial"/>
          <w:sz w:val="17"/>
          <w:szCs w:val="17"/>
          <w:color w:val="auto"/>
        </w:rPr>
        <w:t>AVITA Medical, the former parent company of the AVITA Group, began as a laboratory spin-off in the Australian State of Western Australia. AVITA Medical was formed under the laws of the Commonwealth of Australia in December 1992 and has operated as AVITA Medical since 2008. AVITA Medical’s ordinary shares originally began trading in Australia on the Australian Securities Exchange (“</w:t>
      </w:r>
      <w:r>
        <w:rPr>
          <w:rFonts w:ascii="Arial" w:cs="Arial" w:eastAsia="Arial" w:hAnsi="Arial"/>
          <w:sz w:val="17"/>
          <w:szCs w:val="17"/>
          <w:b w:val="1"/>
          <w:bCs w:val="1"/>
          <w:color w:val="auto"/>
        </w:rPr>
        <w:t>ASX</w:t>
      </w:r>
      <w:r>
        <w:rPr>
          <w:rFonts w:ascii="Arial" w:cs="Arial" w:eastAsia="Arial" w:hAnsi="Arial"/>
          <w:sz w:val="17"/>
          <w:szCs w:val="17"/>
          <w:color w:val="auto"/>
        </w:rPr>
        <w:t>”) on August 9, 1993. AVITA Medical’s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traded over the counter on the OTCQX under the ticker symbol “AVMXY” from May 14, 2012 through September 30, 2019 and its ADSs began trading on the NASDAQ on October 1, 2019, under the ticker symbol “RCEL”.</w:t>
      </w:r>
    </w:p>
    <w:p>
      <w:pPr>
        <w:spacing w:after="0" w:line="176"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On June 29, 2020, a statutory scheme of arrangement under Australian law to effect a redomiciliation of the AVITA Group from Australia to the United States of America was implemented (the “</w:t>
      </w:r>
      <w:r>
        <w:rPr>
          <w:rFonts w:ascii="Arial" w:cs="Arial" w:eastAsia="Arial" w:hAnsi="Arial"/>
          <w:sz w:val="18"/>
          <w:szCs w:val="18"/>
          <w:b w:val="1"/>
          <w:bCs w:val="1"/>
          <w:color w:val="auto"/>
        </w:rPr>
        <w:t>Redomiciliation</w:t>
      </w:r>
      <w:r>
        <w:rPr>
          <w:rFonts w:ascii="Arial" w:cs="Arial" w:eastAsia="Arial" w:hAnsi="Arial"/>
          <w:sz w:val="18"/>
          <w:szCs w:val="18"/>
          <w:color w:val="auto"/>
        </w:rPr>
        <w:t>”). The Redomiciliation was approved by shareholders on June 15, 2020 and approved by the Federal Court of Australia on June 22, 2020.</w:t>
      </w:r>
    </w:p>
    <w:p>
      <w:pPr>
        <w:spacing w:after="0" w:line="184" w:lineRule="exact"/>
        <w:rPr>
          <w:sz w:val="20"/>
          <w:szCs w:val="20"/>
          <w:color w:val="auto"/>
        </w:rPr>
      </w:pPr>
    </w:p>
    <w:p>
      <w:pPr>
        <w:ind w:right="280" w:firstLine="749"/>
        <w:spacing w:after="0" w:line="301" w:lineRule="auto"/>
        <w:rPr>
          <w:sz w:val="20"/>
          <w:szCs w:val="20"/>
          <w:color w:val="auto"/>
        </w:rPr>
      </w:pPr>
      <w:r>
        <w:rPr>
          <w:rFonts w:ascii="Arial" w:cs="Arial" w:eastAsia="Arial" w:hAnsi="Arial"/>
          <w:sz w:val="16"/>
          <w:szCs w:val="16"/>
          <w:color w:val="auto"/>
        </w:rPr>
        <w:t>Pursuant to the Redomiciliation, all ordinary shares in AVITA Medical, the former parent company of the AVITA Group, were exchanged for shares of common stock in the Company. As a result, the Company became the sole shareholder of AVITA Medical and the new parent company of the AVITA Group. In conjunction with the Redomiciliation, an implicit consolidation or reverse split on a 1 for 100 basis was implemented whereby shareholders of AVITA Medical received one share of common stock in the Company for every 100 shares held in AVITA Medical.</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Under the Redomiciliation, eligible shareholders in AVITA Medical received consideration in the form of :</w:t>
      </w:r>
    </w:p>
    <w:p>
      <w:pPr>
        <w:spacing w:after="0" w:line="113"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five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in the Company for every 100 ordinary shares in AVITA Medical that were held by them; or</w:t>
      </w:r>
    </w:p>
    <w:p>
      <w:pPr>
        <w:spacing w:after="0" w:line="159" w:lineRule="exact"/>
        <w:rPr>
          <w:rFonts w:ascii="Arial" w:cs="Arial" w:eastAsia="Arial" w:hAnsi="Arial"/>
          <w:sz w:val="17"/>
          <w:szCs w:val="17"/>
          <w:color w:val="auto"/>
        </w:rPr>
      </w:pPr>
    </w:p>
    <w:p>
      <w:pPr>
        <w:ind w:left="1120" w:hanging="370"/>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common stock in the Company for every 5 ADSs in AVITA Medical that were held by them.</w:t>
      </w:r>
    </w:p>
    <w:p>
      <w:pPr>
        <w:spacing w:after="0" w:line="252"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The Company’s CDI’s are quoted on the ASX under AVITA Medical’s former ASX ticker code, “AVH”. The Company’s shares of common stock are quoted on NASDAQ under AVITA Medical’s former NASDAQ ticker code, “RCEL”. One share of common stock on NASDAQ is equivalent to five CDIs on the ASX.</w:t>
      </w:r>
    </w:p>
    <w:p>
      <w:pPr>
        <w:spacing w:after="0" w:line="1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a result of the ‘implicit consolidation’ that occurred under the Redomiciliation, the number of shares of common stock issued and outstanding in the Company (as set out in the consolidated financial statements) is less than the number of ordinary shares in AVITA Medical that was set out in the consolidated financial statements of AVITA Medical prior to August 28,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 and Risks Associated with COVID-19</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coronavirus (“COVID-19”) pandemic has created significant disruptions to the global economies and financial markets. In the United States, State and Local Governmental authorities have responded by issuing orders, of varying degrees, requiring quarantines, restrictions on travel, mandatory closures of certain non-essential businesses, as well as providing recommendations to minimize social gatherings or interactions. The Company’s business and operations have been impacted by COVID-19 as the effects of COVID-19 related travel restrictions have reduced accidents and the incidence of burns and burns admissions. In addition, during the pandemic, our commercial team’s access to hospitals was limited to case attendance and training. As COVID-19 abates and the restrictions are lifted, we anticipate that burn related accidents will resume to pre-COVID levels. In response to the pandemic, we have taken certain business measures which include institution of various workplace protections to ensure the safety of our employees (e.g., wearing of masks, wiping down high touch areas, etc.), and the limiting of vendors and visitors to our facilities. We have limited activities at our corporate headquarters, encouraged our employees to work from home, encouraged virtual meetings, restricted non-essential business travel, made physical modifications and enhancements to our facilities to effect social distancing, and provided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jc w:val="both"/>
        <w:ind w:right="100"/>
        <w:spacing w:after="0" w:line="259" w:lineRule="auto"/>
        <w:rPr>
          <w:sz w:val="20"/>
          <w:szCs w:val="20"/>
          <w:color w:val="auto"/>
        </w:rPr>
      </w:pPr>
      <w:r>
        <w:rPr>
          <w:rFonts w:ascii="Arial" w:cs="Arial" w:eastAsia="Arial" w:hAnsi="Arial"/>
          <w:sz w:val="18"/>
          <w:szCs w:val="18"/>
          <w:color w:val="auto"/>
        </w:rPr>
        <w:t>personal protective equipment to our employees. We have increased safety stocks of our product, established temporary satellite product storage locations, and accelerated initiatives to increase sourcing options. Throughout the pandemic, we have remained focused on managing the business for the long-term, including maintaining our employee workforce as well as continuing to invest in critical research and development, clinical, and corporate infrastructure-related programs.</w:t>
      </w:r>
    </w:p>
    <w:p>
      <w:pPr>
        <w:spacing w:after="0" w:line="187" w:lineRule="exact"/>
        <w:rPr>
          <w:sz w:val="20"/>
          <w:szCs w:val="20"/>
          <w:color w:val="auto"/>
        </w:rPr>
      </w:pPr>
    </w:p>
    <w:p>
      <w:pPr>
        <w:ind w:right="280" w:firstLine="749"/>
        <w:spacing w:after="0" w:line="311" w:lineRule="auto"/>
        <w:rPr>
          <w:sz w:val="20"/>
          <w:szCs w:val="20"/>
          <w:color w:val="auto"/>
        </w:rPr>
      </w:pPr>
      <w:r>
        <w:rPr>
          <w:rFonts w:ascii="Arial" w:cs="Arial" w:eastAsia="Arial" w:hAnsi="Arial"/>
          <w:sz w:val="16"/>
          <w:szCs w:val="16"/>
          <w:color w:val="auto"/>
        </w:rPr>
        <w:t>The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w:t>
      </w:r>
    </w:p>
    <w:p>
      <w:pPr>
        <w:spacing w:after="0" w:line="149"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Beginning in March 2020, the COVID-19 pandemic began impacting our operations and financial results. For example, on March 19, 2020, the Executive Department of the State of California issued Executive Order N-33-20, ordering all individuals in the State of California to stay at home or at their place of residence except as needed to maintain continuity of operations of federal critical infrastructure sectors. Our primary operations are located in Santa Clarita and Ventura, California. We have taken a variety of steps to address the impact of the COVID-19 pandemic, while attempting to minimize business disruption. Essential staff in manufacturing and limited support functions have continued to work from our locations following appropriate hygiene and social distancing protocols. To reduce the risk to our employees and their families from potential exposure to COVID-19, all other staff have been required to work from home (excluding our field force). We continue to restrict non-essential travel to protect the health and safety of our employees and customers.</w:t>
      </w:r>
    </w:p>
    <w:p>
      <w:pPr>
        <w:spacing w:after="0" w:line="192" w:lineRule="exact"/>
        <w:rPr>
          <w:sz w:val="20"/>
          <w:szCs w:val="20"/>
          <w:color w:val="auto"/>
        </w:rPr>
      </w:pPr>
    </w:p>
    <w:p>
      <w:pPr>
        <w:ind w:right="60" w:firstLine="749"/>
        <w:spacing w:after="0" w:line="254" w:lineRule="auto"/>
        <w:rPr>
          <w:sz w:val="20"/>
          <w:szCs w:val="20"/>
          <w:color w:val="auto"/>
        </w:rPr>
      </w:pPr>
      <w:r>
        <w:rPr>
          <w:rFonts w:ascii="Arial" w:cs="Arial" w:eastAsia="Arial" w:hAnsi="Arial"/>
          <w:sz w:val="18"/>
          <w:szCs w:val="18"/>
          <w:color w:val="auto"/>
        </w:rPr>
        <w:t>Moreover, beginning in March 2020, access to hospitals and other customer sites was restricted to essential personnel, which has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reduction in the volume of burn procedures using the RECELL System in the immediate period following the implementation of those protective measures. In addition, more recently we have experienced periodic enrollment cessation due to COVID-19 as well as having individuals excluded because they have contracted COVID-19.</w:t>
      </w:r>
    </w:p>
    <w:p>
      <w:pPr>
        <w:spacing w:after="0" w:line="195"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Approximately 50% of the Company’s revenues (excluding BARDA) come from twenty accounts with physicians and hospitals. These accounts as well are susceptible to the effects of COVID-19 and COVID-19 restrictions. To the extent that COVID-19 or other factors cause such physicians or hospitals to be unable to treat patients or delay the treatment of patients using the RECELL System in a particular quarter, or make patients unavailable because of COVID-19, our revenues could be negatively affected.</w:t>
      </w:r>
    </w:p>
    <w:p>
      <w:pPr>
        <w:spacing w:after="0" w:line="187" w:lineRule="exact"/>
        <w:rPr>
          <w:sz w:val="20"/>
          <w:szCs w:val="20"/>
          <w:color w:val="auto"/>
        </w:rPr>
      </w:pPr>
    </w:p>
    <w:p>
      <w:pPr>
        <w:ind w:firstLine="749"/>
        <w:spacing w:after="0" w:line="270" w:lineRule="auto"/>
        <w:rPr>
          <w:sz w:val="20"/>
          <w:szCs w:val="20"/>
          <w:color w:val="auto"/>
        </w:rPr>
      </w:pPr>
      <w:r>
        <w:rPr>
          <w:rFonts w:ascii="Arial" w:cs="Arial" w:eastAsia="Arial" w:hAnsi="Arial"/>
          <w:sz w:val="17"/>
          <w:szCs w:val="17"/>
          <w:color w:val="auto"/>
        </w:rPr>
        <w:t>We are continuing to monitor the impact of the COVID-19 pandemic on our employees and customers and on the markets in which we operate and will take further actions that we consider prudent to address the COVID-19 pandemic, including reducing spending, while ensuring that we can support our customers and continue to develop our products. The ultimate extent of the impact of the COVID-19 pandemic on us, including the discovery and spread of highly contagious variants to COVID-19, including the Delta variant, remains highly uncertain and will depend on future developments and factors that continue to evolve. These factors, among others include the widespread vaccination of populations including recently approved booster regimens, especially in the U.S. and improvements in treatments and therapeutics for those with COVID-19, which are outside of our control, and could exist for an extended period of time even after the pandemic might end. Further imposition of quarantines, shelter-in-place and similar government orders which are outside of our control have also impacted and could continue to impact our third-party manufacturers and suppliers which could in turn adversely impact the availability or cost of materials, which could disrupt our supply chain.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 for the three months ended September 30, 2021 compared to the three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summarizes the results of our continuing operations for each of the periods presented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55"/>
        </w:trPr>
        <w:tc>
          <w:tcPr>
            <w:tcW w:w="55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3"/>
                <w:szCs w:val="13"/>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23"/>
        </w:trPr>
        <w:tc>
          <w:tcPr>
            <w:tcW w:w="55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3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BARDA income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Sales and marketing expenses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(3,265)</w:t>
            </w: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(5,349)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(8,302)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(3,374)</w:t>
            </w:r>
          </w:p>
        </w:tc>
        <w:tc>
          <w:tcPr>
            <w:tcW w:w="2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2,686</w:t>
            </w:r>
          </w:p>
        </w:tc>
        <w:tc>
          <w:tcPr>
            <w:tcW w:w="3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4,265</w:t>
            </w: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r>
      <w:tr>
        <w:trPr>
          <w:trHeight w:val="229"/>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300%</w:t>
            </w: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4,275</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23"/>
        </w:trPr>
        <w:tc>
          <w:tcPr>
            <w:tcW w:w="5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Total revenues for the three months ended September 30, 2021 was $7.0 million, an increase of $2.0 million or 39% over the $5.1 million reported for the three months ended September 30, 2020. The increase was largely driven by broader utilization among our customer base as well as deeper penetration within individual customer accounts.</w:t>
      </w:r>
    </w:p>
    <w:p>
      <w:pPr>
        <w:spacing w:after="0" w:line="184"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Gross profit margin for the three months ended September 30, 2021, was 85% compared to 82% for the same period in 2020 driven largely by the lower shipping costs and increased production at our Ventura facility.</w:t>
      </w:r>
    </w:p>
    <w:p>
      <w:pPr>
        <w:spacing w:after="0" w:line="17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BARDA income consisted of funding from the Biomedical Advanced Research and Development Authority, under the Assistant Secretary for Preparedness and Response, within the U.S. Department of Health and Human Services, under ongoing USG Contract No. HHSO100201500028C. Under the BARDA grant, income of $374,000 was recognized during the three months ended September 30, 2021, compared to income of $596,000 for the three months ended September 30, 2020. BARDA arrangement declined as a result of wind-down of certain activities associated with supporting the pivotal trials for the treatment of pediatric scald injuries.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operating expenses decreased 18% or $2.7 million to $12.3 million, compared with $14.9 million reported for the same period in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right="180" w:firstLine="749"/>
        <w:spacing w:after="0" w:line="308" w:lineRule="auto"/>
        <w:rPr>
          <w:sz w:val="20"/>
          <w:szCs w:val="20"/>
          <w:color w:val="auto"/>
        </w:rPr>
      </w:pPr>
      <w:r>
        <w:rPr>
          <w:rFonts w:ascii="Arial" w:cs="Arial" w:eastAsia="Arial" w:hAnsi="Arial"/>
          <w:sz w:val="17"/>
          <w:szCs w:val="17"/>
          <w:color w:val="auto"/>
        </w:rPr>
        <w:t>Sales and marketing expenses increased $0.3 million or 8% to $3.5 million compared to $3.3 million recognized in the same period in the prior year. Higher costs in the current year are driven by increased travel costs due to fewer COVID-19 related travel restrictions.</w:t>
      </w:r>
    </w:p>
    <w:p>
      <w:pPr>
        <w:spacing w:after="0" w:line="146" w:lineRule="exact"/>
        <w:rPr>
          <w:sz w:val="20"/>
          <w:szCs w:val="20"/>
          <w:color w:val="auto"/>
        </w:rPr>
      </w:pPr>
    </w:p>
    <w:p>
      <w:pPr>
        <w:ind w:right="220" w:firstLine="749"/>
        <w:spacing w:after="0" w:line="279" w:lineRule="auto"/>
        <w:rPr>
          <w:sz w:val="20"/>
          <w:szCs w:val="20"/>
          <w:color w:val="auto"/>
        </w:rPr>
      </w:pPr>
      <w:r>
        <w:rPr>
          <w:rFonts w:ascii="Arial" w:cs="Arial" w:eastAsia="Arial" w:hAnsi="Arial"/>
          <w:sz w:val="17"/>
          <w:szCs w:val="17"/>
          <w:color w:val="auto"/>
        </w:rPr>
        <w:t>General and administrative expenses decreased $3.0 million or 36% to $5.3 million compared to $8.3 million recognized in the same period in the prior year. The decrease was driven by higher share-based compensation expenses in the prior year associated with certain performance milestones being met along one-time professional services costs associated with establishing the Company as a domestic filer with the SEC following completion of the Redomiciliation, and severance costs associated with a former executive employee in the prior year.</w:t>
      </w:r>
    </w:p>
    <w:p>
      <w:pPr>
        <w:spacing w:after="0" w:line="171"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Research and development expenses were $3.4 million in the current year and flat to the same period in the prior year. Although research and development expenses were flat in the current year, we had higher costs in the prior year driven by research costs to further characterize and optimize our regenerative epidermal suspension, in addition to research and development costs for the new Ease of Use RECELL device which was submitted to the FDA for approval in July 2021. These higher costs in the prior year were offset with higher costs in the current year driven by the enrollment in our soft tissue reconstruction clinical trial, our preclinical research with Houston Methodist Research Institute to explore molecular reversal of cellular aging, along with further development of a next generation device for more automated implementation of the core Spray-On Skin technology for vitiligo.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749"/>
        <w:spacing w:after="0" w:line="301" w:lineRule="auto"/>
        <w:rPr>
          <w:sz w:val="20"/>
          <w:szCs w:val="20"/>
          <w:color w:val="auto"/>
        </w:rPr>
      </w:pPr>
      <w:r>
        <w:rPr>
          <w:rFonts w:ascii="Arial" w:cs="Arial" w:eastAsia="Arial" w:hAnsi="Arial"/>
          <w:sz w:val="16"/>
          <w:szCs w:val="16"/>
          <w:color w:val="auto"/>
        </w:rPr>
        <w:t>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If the Company is unable to raise capital in the future, the Company may need to curtail expenditures by scaling back certain research and development or other programs.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9"/>
              </w:rPr>
              <w:t>Three Months Ended</w:t>
            </w:r>
          </w:p>
        </w:tc>
      </w:tr>
      <w:tr>
        <w:trPr>
          <w:trHeight w:val="234"/>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(49,638)</w:t>
            </w: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Effect of foreign exchange rate on cash and restricted cash</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(50,262)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(7,886)</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and restricted cash at beginning of year</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110,947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73,840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at end of year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65,954</w:t>
            </w:r>
          </w:p>
        </w:tc>
        <w:tc>
          <w:tcPr>
            <w:tcW w:w="8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2021 and 2020.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Net cash used in operating activities was $572,000 and $7.7 million during the three months ended September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driven by lower operating costs along with collection of the BARDA receivables.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Net cash used in investing activities was $49.7 million and $296,000 during the three months ended September 30,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for investing activities was primarily attributable to our investments into marketable securities.</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cash provided by financing activities was relatively flat year in the comparative quarters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management.</w:t>
      </w:r>
    </w:p>
    <w:p>
      <w:pPr>
        <w:spacing w:after="0" w:line="117" w:lineRule="exact"/>
        <w:rPr>
          <w:sz w:val="20"/>
          <w:szCs w:val="20"/>
          <w:color w:val="auto"/>
        </w:rPr>
      </w:pPr>
    </w:p>
    <w:p>
      <w:pPr>
        <w:jc w:val="both"/>
        <w:ind w:right="60" w:firstLine="749"/>
        <w:spacing w:after="0" w:line="311" w:lineRule="auto"/>
        <w:rPr>
          <w:sz w:val="20"/>
          <w:szCs w:val="20"/>
          <w:color w:val="auto"/>
        </w:rPr>
      </w:pPr>
      <w:r>
        <w:rPr>
          <w:rFonts w:ascii="Arial" w:cs="Arial" w:eastAsia="Arial" w:hAnsi="Arial"/>
          <w:sz w:val="16"/>
          <w:szCs w:val="16"/>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49"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For the period ended September 30, 2021, there were no dividends paid and we have no plans to commence the payment of dividends.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184" w:lineRule="exact"/>
        <w:rPr>
          <w:sz w:val="20"/>
          <w:szCs w:val="20"/>
          <w:color w:val="auto"/>
        </w:rPr>
      </w:pPr>
    </w:p>
    <w:p>
      <w:pPr>
        <w:ind w:right="580" w:firstLine="749"/>
        <w:spacing w:after="0" w:line="277" w:lineRule="auto"/>
        <w:rPr>
          <w:sz w:val="20"/>
          <w:szCs w:val="20"/>
          <w:color w:val="auto"/>
        </w:rPr>
      </w:pPr>
      <w:r>
        <w:rPr>
          <w:rFonts w:ascii="Arial" w:cs="Arial" w:eastAsia="Arial" w:hAnsi="Arial"/>
          <w:sz w:val="18"/>
          <w:szCs w:val="18"/>
          <w:color w:val="auto"/>
        </w:rPr>
        <w:t>There is no significant external borrowing at the reporting date. Neither the Company nor any of the subsidiaries are subject to externally imposed capital requirement.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Our contractual obligations consist of operating leases as described in Footnote 8. During the three months ended September 30, 2021, the Company remeasured the lease liability for an office lease due to a change in the lease term.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7"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We are exposed to various market risks that may arise from adverse changes in market rates and prices, such as interest rates and foreign exchange fluctuations. We do not enter into derivatives or other financial instruments for trading or speculative purposes.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93" w:lineRule="exact"/>
        <w:rPr>
          <w:sz w:val="20"/>
          <w:szCs w:val="20"/>
          <w:color w:val="auto"/>
        </w:rPr>
      </w:pPr>
    </w:p>
    <w:p>
      <w:pPr>
        <w:ind w:right="20" w:firstLine="749"/>
        <w:spacing w:after="0" w:line="296" w:lineRule="auto"/>
        <w:rPr>
          <w:sz w:val="20"/>
          <w:szCs w:val="20"/>
          <w:color w:val="auto"/>
        </w:rPr>
      </w:pPr>
      <w:r>
        <w:rPr>
          <w:rFonts w:ascii="Arial" w:cs="Arial" w:eastAsia="Arial" w:hAnsi="Arial"/>
          <w:sz w:val="16"/>
          <w:szCs w:val="16"/>
          <w:color w:val="auto"/>
        </w:rPr>
        <w:t>Our exposure to market risk for changes in interest rates relates to the increase or decrease in the amount of interest income we can earn on our cash and cash equivalents and marketable securities. The carrying value of our cash equivalents approximated fair value. Marketable securities are recorded at fair value, therefore, declines in interest rates over time will reduce our interest income while increases in interest rates will increase our interest income. A hypothetical 100 basis point change in interest rates along the entire interest rate yield curve would increase or decrease our interest rate yields on our investments and interest income by approximately $100,000 for each $10.0 million in interest-bearing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80" w:firstLine="749"/>
        <w:spacing w:after="0" w:line="275" w:lineRule="auto"/>
        <w:rPr>
          <w:sz w:val="20"/>
          <w:szCs w:val="20"/>
          <w:color w:val="auto"/>
        </w:rPr>
      </w:pPr>
      <w:r>
        <w:rPr>
          <w:rFonts w:ascii="Arial" w:cs="Arial" w:eastAsia="Arial" w:hAnsi="Arial"/>
          <w:sz w:val="17"/>
          <w:szCs w:val="17"/>
          <w:color w:val="auto"/>
        </w:rPr>
        <w:t>A majority of our assets and liabilities are maintained in the United States in U.S. Dollars and a majority of our sales and expenditures are transacted in U.S. Dollars. However, we also transact with foreign customers in currencies other than the U.S. Dollar. These foreign currency revenues, when converted into U.S. Dollars, can vary depending on average exchange rates during a respective period. In addition, certain of our foreign subsidiaries transact in their respective country’s local currency, which is also their functional currency. As a result, expenses of these foreign subsidiaries, when converted into U.S. Dollars can also vary depending on average monthly exchange rates during a respective period.</w:t>
      </w:r>
    </w:p>
    <w:p>
      <w:pPr>
        <w:spacing w:after="0" w:line="244" w:lineRule="exact"/>
        <w:rPr>
          <w:sz w:val="20"/>
          <w:szCs w:val="20"/>
          <w:color w:val="auto"/>
        </w:rPr>
      </w:pPr>
    </w:p>
    <w:p>
      <w:pPr>
        <w:ind w:right="40" w:firstLine="749"/>
        <w:spacing w:after="0" w:line="279" w:lineRule="auto"/>
        <w:rPr>
          <w:sz w:val="20"/>
          <w:szCs w:val="20"/>
          <w:color w:val="auto"/>
        </w:rPr>
      </w:pPr>
      <w:r>
        <w:rPr>
          <w:rFonts w:ascii="Arial" w:cs="Arial" w:eastAsia="Arial" w:hAnsi="Arial"/>
          <w:sz w:val="17"/>
          <w:szCs w:val="17"/>
          <w:color w:val="auto"/>
        </w:rPr>
        <w:t>We are exposed to foreign currency gains or losses on outstanding foreign currency denominated receivables and payables, as well as our foreign currency denominated cash balances and certain intercompany transactions. In addition, other transactions between us or our subsidiaries and a third-party, denominated in a currency different from the functional currency, are foreign currency transactions. Realized and unrealized foreign currency gains or losses on these transactions are also included in our statements of operations as incurred.</w:t>
      </w:r>
    </w:p>
    <w:p>
      <w:pPr>
        <w:spacing w:after="0" w:line="171"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balance sheets of each of our foreign subsidiaries whose functional currency is not the U.S. Dollar are translated into U.S. Dollars at the rate of exchange at the balance sheet date and the statements of comprehensive income and cash flows are translated into U.S. Dollars using an approximation of the average quarterly exchange rates applicable during the period. Any foreign exchange gain or loss as a result of translating the balance sheets of our foreign subsidiaries whose functional currency is not the U.S. Dollar is included in equity as a component of accumulated other comprehensive income.</w:t>
      </w:r>
    </w:p>
    <w:p>
      <w:pPr>
        <w:spacing w:after="0" w:line="225" w:lineRule="exact"/>
        <w:rPr>
          <w:sz w:val="20"/>
          <w:szCs w:val="20"/>
          <w:color w:val="auto"/>
        </w:rPr>
      </w:pPr>
    </w:p>
    <w:p>
      <w:pPr>
        <w:ind w:right="220" w:firstLine="749"/>
        <w:spacing w:after="0" w:line="263" w:lineRule="auto"/>
        <w:rPr>
          <w:sz w:val="20"/>
          <w:szCs w:val="20"/>
          <w:color w:val="auto"/>
        </w:rPr>
      </w:pPr>
      <w:r>
        <w:rPr>
          <w:rFonts w:ascii="Arial" w:cs="Arial" w:eastAsia="Arial" w:hAnsi="Arial"/>
          <w:sz w:val="18"/>
          <w:szCs w:val="18"/>
          <w:color w:val="auto"/>
        </w:rPr>
        <w:t>Our foreign currency exchange rate exposures are primarily with the Australian Dollar and the British pound. Foreign currency exchange rates may experience significant volatility from one period to the next. During the three months ended September 30, 2021, we estimate fluctuations in the exchange rates between the U.S. Dollar and other foreign currencies, to be insignificant.</w:t>
      </w:r>
    </w:p>
    <w:p>
      <w:pPr>
        <w:spacing w:after="0" w:line="184"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We currently do not enter into forward exchange contracts to hedge exposures denominated in foreign currencies and do not use derivative financial instruments for trading or speculative purposes. The effect of additional changes in foreign currency exchange rates could have a material effect on our future operating results or cash flows, depending on which foreign currency exchange rates change and depending on the directional change (either a strengthening or weakening against the U.S. Dollar). We estimate that the potential impact of a hypothetical 10% adverse change in all applicable foreign currency exchange rates from the rates in effect as of September 30, 2021 would have resulted in an estimated reduction of $92,000 in reported pre-tax income for the three months ended September 30, 2021. As our foreign operations continue to grow, our exposure to foreign currency exchange rate risk may become more significant.</w:t>
      </w:r>
    </w:p>
    <w:p>
      <w:pPr>
        <w:spacing w:after="0" w:line="1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Our Chief Executive Officer and our Chief Financial Officer evaluated, with the participation of our management, the effectiveness of our disclosure controls and procedures as of the end of the period covered by this Quarterly Report on Form 10-Q. As of September 30, 2021, our Chief Executive Officer and our Chief Financial Officer concluded that our disclosure controls and procedures, as defined in Securities Exchange Act Rule 13a-15(e) and 15d-15(e), were effective.</w:t>
      </w:r>
    </w:p>
    <w:p>
      <w:pPr>
        <w:spacing w:after="0" w:line="18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Our disclosure controls and procedures have been formulated to ensure (i) that information that we are required to disclose in reports that we file or submit under the Securities Exchange Act of 1934 was recorded, processed, summarized and reported within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ind w:right="60"/>
        <w:spacing w:after="0" w:line="263" w:lineRule="auto"/>
        <w:rPr>
          <w:sz w:val="20"/>
          <w:szCs w:val="20"/>
          <w:color w:val="auto"/>
        </w:rPr>
      </w:pPr>
      <w:r>
        <w:rPr>
          <w:rFonts w:ascii="Arial" w:cs="Arial" w:eastAsia="Arial" w:hAnsi="Arial"/>
          <w:sz w:val="18"/>
          <w:szCs w:val="18"/>
          <w:color w:val="auto"/>
        </w:rPr>
        <w:t>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There was no change in our internal controls over financial reporting (as defined in Rules 13a-15(f) and 15d-15(f) under the Exchange Act) during the first quarter of fiscal year 2022 covered by this Quarterly Report on Form 10-Q that have materially affected, or are reasonably likely to materially affect, our internal controls over financial reporting. We have not experienced any material impact to our internal controls over financial reporting despite the fact that many of our employees are working remotely due to the COVID-19 pandemic. We are continually monitoring and assessing the impact of the COVID-19 situation on our internal controls to minimize any undesirable effect on control design and operating effectiveness.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Refer to “COVID-19 Business Update and Risks Associated with COVID-19” in Part 1 above.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6819"/>
        <w:spacing w:after="0"/>
        <w:tabs>
          <w:tab w:leader="none" w:pos="2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jc w:val="center"/>
        <w:ind w:right="6739"/>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359"/>
        <w:spacing w:after="0"/>
        <w:tabs>
          <w:tab w:leader="none" w:pos="2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jc w:val="center"/>
        <w:ind w:right="7459"/>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34" w:name="page35"/>
    <w:bookmarkEnd w:id="34"/>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the Quarterly Report on Form 10-Q:</w:t>
      </w:r>
    </w:p>
    <w:p>
      <w:pPr>
        <w:spacing w:after="0" w:line="2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Exhibit</w:t>
      </w:r>
    </w:p>
    <w:p>
      <w:pPr>
        <w:ind w:left="400"/>
        <w:spacing w:after="0"/>
        <w:tabs>
          <w:tab w:leader="none" w:pos="13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7">
        <w:r>
          <w:rPr>
            <w:rFonts w:ascii="Arial" w:cs="Arial" w:eastAsia="Arial" w:hAnsi="Arial"/>
            <w:sz w:val="16"/>
            <w:szCs w:val="16"/>
            <w:u w:val="single" w:color="auto"/>
            <w:color w:val="0000EE"/>
          </w:rPr>
          <w:t>Rule 13a-14(a) Certification of Chief Executive Officer</w:t>
        </w:r>
      </w:hyperlink>
    </w:p>
    <w:p>
      <w:pPr>
        <w:spacing w:after="0" w:line="131" w:lineRule="exact"/>
        <w:rPr>
          <w:sz w:val="20"/>
          <w:szCs w:val="20"/>
          <w:color w:val="auto"/>
        </w:rPr>
      </w:pPr>
    </w:p>
    <w:p>
      <w:pPr>
        <w:ind w:left="4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8">
        <w:r>
          <w:rPr>
            <w:rFonts w:ascii="Arial" w:cs="Arial" w:eastAsia="Arial" w:hAnsi="Arial"/>
            <w:sz w:val="16"/>
            <w:szCs w:val="16"/>
            <w:u w:val="single" w:color="auto"/>
            <w:color w:val="0000EE"/>
          </w:rPr>
          <w:t>Rule 13a-14(a) Certification of Chief Financial Officer</w:t>
        </w:r>
      </w:hyperlink>
    </w:p>
    <w:p>
      <w:pPr>
        <w:spacing w:after="0" w:line="131" w:lineRule="exact"/>
        <w:rPr>
          <w:sz w:val="20"/>
          <w:szCs w:val="20"/>
          <w:color w:val="auto"/>
        </w:rPr>
      </w:pPr>
    </w:p>
    <w:p>
      <w:pPr>
        <w:ind w:left="1180" w:hanging="749"/>
        <w:spacing w:after="0"/>
        <w:tabs>
          <w:tab w:leader="none" w:pos="1180" w:val="left"/>
        </w:tabs>
        <w:numPr>
          <w:ilvl w:val="0"/>
          <w:numId w:val="9"/>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18 U.S.C. Section 1350 Certifications</w:t>
        </w:r>
      </w:hyperlink>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101.INS</w:t>
            </w:r>
          </w:p>
        </w:tc>
        <w:tc>
          <w:tcPr>
            <w:tcW w:w="4300" w:type="dxa"/>
            <w:vAlign w:val="bottom"/>
          </w:tcPr>
          <w:p>
            <w:pPr>
              <w:ind w:left="140"/>
              <w:spacing w:after="0"/>
              <w:rPr>
                <w:sz w:val="20"/>
                <w:szCs w:val="20"/>
                <w:color w:val="auto"/>
              </w:rPr>
            </w:pPr>
            <w:r>
              <w:rPr>
                <w:rFonts w:ascii="Arial" w:cs="Arial" w:eastAsia="Arial" w:hAnsi="Arial"/>
                <w:sz w:val="18"/>
                <w:szCs w:val="18"/>
                <w:color w:val="auto"/>
              </w:rPr>
              <w:t>Inline XBRL Instance Document</w:t>
            </w:r>
          </w:p>
        </w:tc>
      </w:tr>
      <w:tr>
        <w:trPr>
          <w:trHeight w:val="337"/>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0"/>
              </w:rPr>
              <w:t>101.SCH</w:t>
            </w:r>
          </w:p>
        </w:tc>
        <w:tc>
          <w:tcPr>
            <w:tcW w:w="4300" w:type="dxa"/>
            <w:vAlign w:val="bottom"/>
          </w:tcPr>
          <w:p>
            <w:pPr>
              <w:ind w:left="140"/>
              <w:spacing w:after="0"/>
              <w:rPr>
                <w:sz w:val="20"/>
                <w:szCs w:val="20"/>
                <w:color w:val="auto"/>
              </w:rPr>
            </w:pPr>
            <w:r>
              <w:rPr>
                <w:rFonts w:ascii="Arial" w:cs="Arial" w:eastAsia="Arial" w:hAnsi="Arial"/>
                <w:sz w:val="18"/>
                <w:szCs w:val="18"/>
                <w:color w:val="auto"/>
              </w:rPr>
              <w:t>Inline XBRL Taxonomy Extension Schema</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7"/>
              </w:rPr>
              <w:t>101.CAL</w:t>
            </w:r>
          </w:p>
        </w:tc>
        <w:tc>
          <w:tcPr>
            <w:tcW w:w="4300" w:type="dxa"/>
            <w:vAlign w:val="bottom"/>
          </w:tcPr>
          <w:p>
            <w:pPr>
              <w:ind w:left="14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338"/>
        </w:trPr>
        <w:tc>
          <w:tcPr>
            <w:tcW w:w="820" w:type="dxa"/>
            <w:vAlign w:val="bottom"/>
          </w:tcPr>
          <w:p>
            <w:pPr>
              <w:jc w:val="center"/>
              <w:ind w:right="30"/>
              <w:spacing w:after="0"/>
              <w:rPr>
                <w:sz w:val="20"/>
                <w:szCs w:val="20"/>
                <w:color w:val="auto"/>
              </w:rPr>
            </w:pPr>
            <w:r>
              <w:rPr>
                <w:rFonts w:ascii="Arial" w:cs="Arial" w:eastAsia="Arial" w:hAnsi="Arial"/>
                <w:sz w:val="18"/>
                <w:szCs w:val="18"/>
                <w:color w:val="auto"/>
                <w:w w:val="92"/>
              </w:rPr>
              <w:t>101.DEF</w:t>
            </w:r>
          </w:p>
        </w:tc>
        <w:tc>
          <w:tcPr>
            <w:tcW w:w="4300" w:type="dxa"/>
            <w:vAlign w:val="bottom"/>
          </w:tcPr>
          <w:p>
            <w:pPr>
              <w:ind w:left="14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98"/>
              </w:rPr>
              <w:t>101.LAB</w:t>
            </w:r>
          </w:p>
        </w:tc>
        <w:tc>
          <w:tcPr>
            <w:tcW w:w="430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w:t>
            </w:r>
          </w:p>
        </w:tc>
      </w:tr>
      <w:tr>
        <w:trPr>
          <w:trHeight w:val="338"/>
        </w:trPr>
        <w:tc>
          <w:tcPr>
            <w:tcW w:w="820" w:type="dxa"/>
            <w:vAlign w:val="bottom"/>
          </w:tcPr>
          <w:p>
            <w:pPr>
              <w:jc w:val="center"/>
              <w:ind w:right="50"/>
              <w:spacing w:after="0"/>
              <w:rPr>
                <w:sz w:val="20"/>
                <w:szCs w:val="20"/>
                <w:color w:val="auto"/>
              </w:rPr>
            </w:pPr>
            <w:r>
              <w:rPr>
                <w:rFonts w:ascii="Arial" w:cs="Arial" w:eastAsia="Arial" w:hAnsi="Arial"/>
                <w:sz w:val="18"/>
                <w:szCs w:val="18"/>
                <w:color w:val="auto"/>
                <w:w w:val="88"/>
              </w:rPr>
              <w:t>101.PRE</w:t>
            </w:r>
          </w:p>
        </w:tc>
        <w:tc>
          <w:tcPr>
            <w:tcW w:w="4300" w:type="dxa"/>
            <w:vAlign w:val="bottom"/>
          </w:tcPr>
          <w:p>
            <w:pPr>
              <w:ind w:left="140"/>
              <w:spacing w:after="0"/>
              <w:rPr>
                <w:sz w:val="20"/>
                <w:szCs w:val="20"/>
                <w:color w:val="auto"/>
              </w:rPr>
            </w:pPr>
            <w:r>
              <w:rPr>
                <w:rFonts w:ascii="Arial" w:cs="Arial" w:eastAsia="Arial" w:hAnsi="Arial"/>
                <w:sz w:val="18"/>
                <w:szCs w:val="18"/>
                <w:color w:val="auto"/>
                <w:w w:val="91"/>
              </w:rPr>
              <w:t>Inline XBRL Taxonomy Extension Presentation Linkbase</w:t>
            </w:r>
          </w:p>
        </w:tc>
      </w:tr>
    </w:tbl>
    <w:p>
      <w:pPr>
        <w:spacing w:after="0" w:line="107" w:lineRule="exact"/>
        <w:rPr>
          <w:sz w:val="20"/>
          <w:szCs w:val="20"/>
          <w:color w:val="auto"/>
        </w:rPr>
      </w:pPr>
    </w:p>
    <w:p>
      <w:pPr>
        <w:ind w:left="5540" w:right="3179" w:hanging="5109"/>
        <w:spacing w:after="0" w:line="778" w:lineRule="auto"/>
        <w:tabs>
          <w:tab w:leader="none" w:pos="1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November 8, 2021</w:t>
      </w:r>
      <w:r>
        <w:rPr>
          <w:sz w:val="20"/>
          <w:szCs w:val="20"/>
          <w:color w:val="auto"/>
        </w:rPr>
        <w:tab/>
      </w:r>
      <w:r>
        <w:rPr>
          <w:rFonts w:ascii="Arial" w:cs="Arial" w:eastAsia="Arial" w:hAnsi="Arial"/>
          <w:sz w:val="17"/>
          <w:szCs w:val="17"/>
          <w:color w:val="auto"/>
        </w:rPr>
        <w:t>AVITA MEDICAL, INC.</w:t>
      </w:r>
    </w:p>
    <w:p>
      <w:pPr>
        <w:spacing w:after="0" w:line="2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Dr.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Dr. Michael Perry</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Michael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14605</wp:posOffset>
            </wp:positionV>
            <wp:extent cx="31032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Michael Holder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553" w:right="5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Dr. Michael Perry, certify that:</w:t>
      </w:r>
    </w:p>
    <w:p>
      <w:pPr>
        <w:spacing w:after="0" w:line="11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40" w:hanging="498"/>
        <w:spacing w:after="0" w:line="263"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20" w:hanging="498"/>
        <w:spacing w:after="0" w:line="263"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8, 2021</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Michael Perry</w:t>
            </w:r>
          </w:p>
        </w:tc>
      </w:tr>
      <w:tr>
        <w:trPr>
          <w:trHeight w:val="195"/>
        </w:trPr>
        <w:tc>
          <w:tcPr>
            <w:tcW w:w="56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 Dr. Michael Perry</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64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Holder, certify that:</w:t>
      </w:r>
    </w:p>
    <w:p>
      <w:pPr>
        <w:spacing w:after="0" w:line="11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AVITA Medical,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640" w:right="580" w:hanging="498"/>
        <w:spacing w:after="0" w:line="263"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640" w:right="160" w:hanging="498"/>
        <w:spacing w:after="0" w:line="263"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40" w:right="200" w:hanging="498"/>
        <w:spacing w:after="0" w:line="263"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40" w:right="20" w:hanging="498"/>
        <w:spacing w:after="0" w:line="263"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640" w:right="160" w:hanging="498"/>
        <w:spacing w:after="0" w:line="342" w:lineRule="auto"/>
        <w:tabs>
          <w:tab w:leader="none" w:pos="16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40" w:right="440" w:hanging="498"/>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November 8, 2021</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Holder</w:t>
            </w:r>
          </w:p>
        </w:tc>
      </w:tr>
      <w:tr>
        <w:trPr>
          <w:trHeight w:val="195"/>
        </w:trPr>
        <w:tc>
          <w:tcPr>
            <w:tcW w:w="564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Name: Michael Holder</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Title:  Chief Financial Offer</w:t>
            </w: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AVITA Medical, Inc. (the “Company”), does hereby certify, to such officer’s knowledge, that:</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Quarterly Report on Form 10-Q for the period ended September 30, 2021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Dated: November 8,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Michael Perry</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Dr. Michael Perry</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9"/>
        </w:trPr>
        <w:tc>
          <w:tcPr>
            <w:tcW w:w="5640" w:type="dxa"/>
            <w:vAlign w:val="bottom"/>
          </w:tcPr>
          <w:p>
            <w:pPr>
              <w:spacing w:after="0"/>
              <w:rPr>
                <w:sz w:val="20"/>
                <w:szCs w:val="20"/>
                <w:color w:val="auto"/>
              </w:rPr>
            </w:pPr>
            <w:r>
              <w:rPr>
                <w:rFonts w:ascii="Arial" w:cs="Arial" w:eastAsia="Arial" w:hAnsi="Arial"/>
                <w:sz w:val="18"/>
                <w:szCs w:val="18"/>
                <w:color w:val="auto"/>
              </w:rPr>
              <w:t>Dated: November 8, 2021</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Holder</w:t>
            </w:r>
          </w:p>
        </w:tc>
      </w:tr>
      <w:tr>
        <w:trPr>
          <w:trHeight w:val="242"/>
        </w:trPr>
        <w:tc>
          <w:tcPr>
            <w:tcW w:w="564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ind w:left="80"/>
              <w:spacing w:after="0"/>
              <w:rPr>
                <w:sz w:val="20"/>
                <w:szCs w:val="20"/>
                <w:color w:val="auto"/>
              </w:rPr>
            </w:pPr>
            <w:r>
              <w:rPr>
                <w:rFonts w:ascii="Arial" w:cs="Arial" w:eastAsia="Arial" w:hAnsi="Arial"/>
                <w:sz w:val="18"/>
                <w:szCs w:val="18"/>
                <w:color w:val="auto"/>
              </w:rPr>
              <w:t>Michael Holder</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both"/>
        <w:ind w:right="140"/>
        <w:spacing w:after="0" w:line="281" w:lineRule="auto"/>
        <w:rPr>
          <w:sz w:val="20"/>
          <w:szCs w:val="20"/>
          <w:color w:val="auto"/>
        </w:rPr>
      </w:pPr>
      <w:r>
        <w:rPr>
          <w:rFonts w:ascii="Arial" w:cs="Arial" w:eastAsia="Arial" w:hAnsi="Arial"/>
          <w:sz w:val="17"/>
          <w:szCs w:val="17"/>
          <w:b w:val="1"/>
          <w:bCs w:val="1"/>
          <w:color w:val="auto"/>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2021-11-08T15:26:10Z</dcterms:created>
  <dcterms:modified xsi:type="dcterms:W3CDTF">2021-11-08T15:26:10Z</dcterms:modified>
</cp:coreProperties>
</file>