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900" w:type="dxa"/>
            <w:vAlign w:val="bottom"/>
          </w:tcPr>
          <w:p>
            <w:pPr>
              <w:jc w:val="center"/>
              <w:ind w:right="11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4060" w:type="dxa"/>
            <w:vAlign w:val="bottom"/>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8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8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6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780" w:type="dxa"/>
            <w:vAlign w:val="bottom"/>
            <w:gridSpan w:val="2"/>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9"/>
              </w:rPr>
              <w:t>28159 Avenue Stanford, Suite 220, Valencia, CA 91355</w:t>
            </w:r>
          </w:p>
        </w:tc>
        <w:tc>
          <w:tcPr>
            <w:tcW w:w="4060" w:type="dxa"/>
            <w:vAlign w:val="bottom"/>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661.367.9170</w:t>
            </w:r>
          </w:p>
        </w:tc>
      </w:tr>
      <w:tr>
        <w:trPr>
          <w:trHeight w:val="190"/>
        </w:trPr>
        <w:tc>
          <w:tcPr>
            <w:tcW w:w="5780" w:type="dxa"/>
            <w:vAlign w:val="bottom"/>
            <w:gridSpan w:val="2"/>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406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Resignation of Chief Financial Officer</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November 5, 2020, AVITA Therapeutics, Inc. (the “Company”), announced that David McIntyre notified the Company of his intention to resign as the Company’s Chief Financial Officer in order to pursue life sciences opportunities in his home state of New Jersey. The effective date of his resignation is November 23, 2020. Mr. McIntyre has also agreed to provide consultancy services to the Company through December 31, 2020 so as to support a smooth transition of his responsibilities.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will immediately commence an external search for its next Chief Financial Officer who will be based at the Company’s headquarters in Valencia, CA.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Company’s Vice President of Finance</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Mr. McIntyre’s responsibilities as the Company’s principal financial officer and principal accounting officer will transition to Mr. Sean Ekins, the Company’s Vice President of Finance, with effect from November 9, 2020.</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Mr. Ekins and any director, executive officer or person nominated or chosen by the Company to become a director or executive officer at the Company. The Company has not entered into any transactions with Mr. Ekins that would require disclosure pursuant to Item 404(a) of Regulation S-K under the Securities Exchange Act of 1934, as amended.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300" w:type="dxa"/>
            <w:vAlign w:val="bottom"/>
            <w:gridSpan w:val="3"/>
          </w:tcPr>
          <w:p>
            <w:pPr>
              <w:ind w:left="420"/>
              <w:spacing w:after="0"/>
              <w:rPr>
                <w:rFonts w:ascii="Times New Roman" w:cs="Times New Roman" w:eastAsia="Times New Roman" w:hAnsi="Times New Roman"/>
                <w:sz w:val="18"/>
                <w:szCs w:val="18"/>
                <w:u w:val="single" w:color="auto"/>
                <w:color w:val="0000EE"/>
                <w:w w:val="98"/>
              </w:rPr>
            </w:pPr>
            <w:hyperlink w:anchor="page4">
              <w:r>
                <w:rPr>
                  <w:rFonts w:ascii="Times New Roman" w:cs="Times New Roman" w:eastAsia="Times New Roman" w:hAnsi="Times New Roman"/>
                  <w:sz w:val="18"/>
                  <w:szCs w:val="18"/>
                  <w:u w:val="single" w:color="auto"/>
                  <w:color w:val="0000EE"/>
                  <w:w w:val="98"/>
                </w:rPr>
                <w:t>Press release of AVITA Therapeutics, Inc. dated November 5, 2020.</w:t>
              </w:r>
            </w:hyperlink>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2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75704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704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Therapeutics, Inc. Announces Executive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Valencia, Calif, USA, November 5, 2020 / Melbourne, Australia, November 6, 2020 </w:t>
      </w:r>
      <w:r>
        <w:rPr>
          <w:rFonts w:ascii="Times New Roman" w:cs="Times New Roman" w:eastAsia="Times New Roman" w:hAnsi="Times New Roman"/>
          <w:sz w:val="18"/>
          <w:szCs w:val="18"/>
          <w:color w:val="auto"/>
        </w:rPr>
        <w:t>— AVITA Therapeutics, Inc. (NASDAQ: RCEL, ASX: AVH),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regenerative medicine company that is developing and commercializing a technology platform that enables point-of-care autologous skin restoration for multiple unmet needs, announced today that David McIntyre notified the Company of his intention to resign as the Company’s Chief Financial Officer in order to pursue life sciences opportunities in his home state of New Jersey. The effective date of his resignation is November 23, 2020. Mr. McIntyre has also agreed to provide consultancy services to the Company through December 31, 2020 so as to support a smooth transition of his responsibilities. The Company wishes to thank David for successfully leading and completing the redomiciliation project during his tenure as well as for his many valuable contributions to AVITA’s executive leadership team.</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Mr. McIntyre’s responsibilities as the Company’s principal financial officer and principal accounting officer will transition to Mr. Sean Ekins, the Company’s Vice President of Finance, with effect from November 9, 2020.</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will immediately commence an external search for its next Chief Financial Officer who will be based at AVITA’s headquarters in Valencia, CA.</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Mr. Ekins and any director, executive officer or person nominated or chosen by the Company to become a director or executive officer at the Company. The Company has not entered into any transactions with Mr. Ekins that would require disclosure pursuant to Item 404(a) of Regulation S-K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for release by the Chief Executive Officer of AVITA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THERAPEUTICS,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Therapeutics’ first U.S. product, the 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Autologous Cell Harvesting Device (https://recellsystem.com/) for a full description of indications for use and important safety information including contraindications, warnings and precautions.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1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7"/>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408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4080" w:type="dxa"/>
            <w:vAlign w:val="bottom"/>
            <w:gridSpan w:val="2"/>
          </w:tcPr>
          <w:p>
            <w:pPr>
              <w:ind w:left="1720"/>
              <w:spacing w:after="0"/>
              <w:rPr>
                <w:sz w:val="20"/>
                <w:szCs w:val="20"/>
                <w:color w:val="auto"/>
              </w:rPr>
            </w:pPr>
            <w:r>
              <w:rPr>
                <w:rFonts w:ascii="Times New Roman" w:cs="Times New Roman" w:eastAsia="Times New Roman" w:hAnsi="Times New Roman"/>
                <w:sz w:val="18"/>
                <w:szCs w:val="18"/>
                <w:b w:val="1"/>
                <w:bCs w:val="1"/>
                <w:color w:val="auto"/>
              </w:rPr>
              <w:t>Westwicke Partners</w:t>
            </w: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40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40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1800" w:type="dxa"/>
            <w:vAlign w:val="bottom"/>
          </w:tcPr>
          <w:p>
            <w:pPr>
              <w:spacing w:after="0"/>
              <w:rPr>
                <w:sz w:val="16"/>
                <w:szCs w:val="16"/>
                <w:color w:val="auto"/>
              </w:rPr>
            </w:pPr>
          </w:p>
        </w:tc>
        <w:tc>
          <w:tcPr>
            <w:tcW w:w="4080" w:type="dxa"/>
            <w:vAlign w:val="bottom"/>
            <w:gridSpan w:val="2"/>
          </w:tcPr>
          <w:p>
            <w:pPr>
              <w:ind w:left="1720"/>
              <w:spacing w:after="0" w:line="194" w:lineRule="exact"/>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457"/>
        </w:trPr>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O.U.S Media</w:t>
            </w: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20"/>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tc>
        <w:tc>
          <w:tcPr>
            <w:tcW w:w="17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Rudi Michelson</w:t>
            </w: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+61 (0)3 9620 3333</w:t>
            </w: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Mobile +61 (0)411 402 737</w:t>
            </w:r>
          </w:p>
        </w:tc>
        <w:tc>
          <w:tcPr>
            <w:tcW w:w="172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194"/>
        </w:trPr>
        <w:tc>
          <w:tcPr>
            <w:tcW w:w="40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rudim@monsoon.com.au</w:t>
            </w:r>
          </w:p>
        </w:tc>
        <w:tc>
          <w:tcPr>
            <w:tcW w:w="17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466"/>
        </w:trPr>
        <w:tc>
          <w:tcPr>
            <w:tcW w:w="1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 #</w:t>
            </w:r>
          </w:p>
        </w:tc>
        <w:tc>
          <w:tcPr>
            <w:tcW w:w="236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0080"/>
        <w:spacing w:after="0"/>
        <w:rPr>
          <w:sz w:val="20"/>
          <w:szCs w:val="20"/>
          <w:color w:val="auto"/>
        </w:rPr>
      </w:pPr>
      <w:r>
        <w:rPr>
          <w:rFonts w:ascii="Times New Roman" w:cs="Times New Roman" w:eastAsia="Times New Roman" w:hAnsi="Times New Roman"/>
          <w:sz w:val="17"/>
          <w:szCs w:val="17"/>
          <w:color w:val="auto"/>
        </w:rPr>
        <w:t>PR20201105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Therapeutics, Inc. (ARBN 641 28 155) c/o Mertons Corporate Services Pty Ltd Level 7, 330 Collins Street, Melbourne Victoria 3000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2020-11-06T05:41:09Z</dcterms:created>
  <dcterms:modified xsi:type="dcterms:W3CDTF">2020-11-06T05:41:09Z</dcterms:modified>
</cp:coreProperties>
</file>