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31109.htm"/>
      <w:bookmarkStart w:id="1" w:name="ksrcel202311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09, 2023</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80" w:after="283"/>
        <w:ind w:left="0" w:right="0" w:hanging="490"/>
        <w:jc w:val="left"/>
        <w:rPr/>
      </w:pPr>
      <w:r>
        <w:rPr/>
        <w:t>☐</w:t>
      </w:r>
      <w:r>
        <w:rPr>
          <w:rFonts w:ascii="Times New Roman" w:hAnsi="Times New Roman"/>
          <w:b w:val="false"/>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b w:val="false"/>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Stock Market LLC</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November 9, 2023, AVITA Medical, Inc. issued a press release announcing its financial results for the quarter ended September 30, 2023. A copy of the press release is furnished as Exhibit 99.1 to this Current Report on Form 8-K.</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0"/>
        <w:gridCol w:w="146"/>
        <w:gridCol w:w="9029"/>
      </w:tblGrid>
      <w:tr>
        <w:trPr/>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9" w:type="dxa"/>
            <w:tcBorders/>
            <w:vAlign w:val="center"/>
          </w:tcPr>
          <w:p>
            <w:pPr>
              <w:pStyle w:val="TableContents"/>
              <w:bidi w:val="0"/>
              <w:spacing w:before="0" w:after="283"/>
              <w:jc w:val="left"/>
              <w:rPr>
                <w:sz w:val="4"/>
                <w:szCs w:val="4"/>
              </w:rPr>
            </w:pPr>
            <w:r>
              <w:rPr>
                <w:sz w:val="4"/>
                <w:szCs w:val="4"/>
              </w:rPr>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9"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b w:val="false"/>
                  <w:color w:val="0000FF"/>
                  <w:sz w:val="20"/>
                  <w:u w:val="single"/>
                </w:rPr>
                <w:t>Press release titled “AVITA Medical Reports Third Quarter Financial Results with 51% Revenue Growth over the same period in the prior year"</w:t>
              </w:r>
            </w:hyperlink>
          </w:p>
        </w:tc>
      </w:tr>
      <w:tr>
        <w:trPr/>
        <w:tc>
          <w:tcPr>
            <w:tcW w:w="1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tbl>
      <w:tblPr>
        <w:tblW w:w="4564" w:type="dxa"/>
        <w:jc w:val="left"/>
        <w:tblInd w:w="0" w:type="dxa"/>
        <w:tblLayout w:type="fixed"/>
        <w:tblCellMar>
          <w:top w:w="28" w:type="dxa"/>
          <w:left w:w="28" w:type="dxa"/>
          <w:bottom w:w="28" w:type="dxa"/>
          <w:right w:w="28" w:type="dxa"/>
        </w:tblCellMar>
      </w:tblPr>
      <w:tblGrid>
        <w:gridCol w:w="556"/>
        <w:gridCol w:w="1711"/>
        <w:gridCol w:w="451"/>
        <w:gridCol w:w="1846"/>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val="false"/>
                <w:color w:val="000000"/>
                <w:sz w:val="20"/>
              </w:rPr>
            </w:pPr>
            <w:r>
              <w:rPr>
                <w:rFonts w:ascii="Times New Roman" w:hAnsi="Times New Roman"/>
                <w:b w:val="false"/>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Date:</w:t>
            </w:r>
          </w:p>
        </w:tc>
        <w:tc>
          <w:tcPr>
            <w:tcW w:w="17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November 09, 2023</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18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/s/ Donna Shiroma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val="false"/>
                <w:color w:val="000000"/>
                <w:sz w:val="20"/>
              </w:rPr>
            </w:pPr>
            <w:r>
              <w:rPr>
                <w:rFonts w:ascii="Times New Roman" w:hAnsi="Times New Roman"/>
                <w:b w:val="false"/>
                <w:color w:val="000000"/>
                <w:sz w:val="20"/>
              </w:rPr>
              <w:t>Donna Shiroma</w:t>
              <w:br/>
              <w:t>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99_1.htm"/>
      <w:bookmarkStart w:id="3" w:name="ksrcel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9144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09537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Reports Third Quarter Financial Results with 51% Revenue Growth over the Same Period the Prior Year</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November 9, 2023 </w:t>
      </w:r>
      <w:r>
        <w:rPr>
          <w:rFonts w:ascii="Times New Roman" w:hAnsi="Times New Roman"/>
          <w:color w:val="000000"/>
          <w:sz w:val="20"/>
        </w:rPr>
        <w:t xml:space="preserve">— </w:t>
      </w:r>
      <w:r>
        <w:rPr>
          <w:rFonts w:ascii="Times New Roman" w:hAnsi="Times New Roman"/>
          <w:b w:val="false"/>
          <w:color w:val="000000"/>
          <w:sz w:val="20"/>
        </w:rPr>
        <w:t>AVITA Medical, Inc. (NASDAQ: RCEL, ASX: AVH) (the “</w:t>
      </w:r>
      <w:r>
        <w:rPr>
          <w:rFonts w:ascii="Times New Roman" w:hAnsi="Times New Roman"/>
          <w:b/>
          <w:color w:val="000000"/>
          <w:sz w:val="20"/>
        </w:rPr>
        <w:t>Company</w:t>
      </w:r>
      <w:r>
        <w:rPr>
          <w:rFonts w:ascii="Times New Roman" w:hAnsi="Times New Roman"/>
          <w:color w:val="000000"/>
          <w:sz w:val="20"/>
        </w:rPr>
        <w:t>”</w:t>
      </w:r>
      <w:r>
        <w:rPr>
          <w:rFonts w:ascii="Times New Roman" w:hAnsi="Times New Roman"/>
          <w:b w:val="false"/>
          <w:color w:val="000000"/>
          <w:sz w:val="20"/>
        </w:rPr>
        <w:t>), a regenerative medicine company leading the development and commercialization of first-in-class devices and autologous cellular therapies for skin restoration, today reported financial results for the third quarter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Highlights and Recent Updates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Commercial revenue of $13.5 million, an approximately 51% increase compared to $9.0 million for the same period in 2022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Gross margin of 84.5% for the 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Announced international expansion plan; engaged first European distribution partner, PolyMedics Innovations GmbH, to lead expansion into Germany, Austria, and Switzerland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October, secured a debt financing facility for up to $90.0 million, of which $40.0 million was borrowed at closing. Together with the cash on hand of $60.1 million as of September 30, 2023, the Company believes it has sufficient capital to meet its goals and to reach profitability during 2025.</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b w:val="false"/>
          <w:color w:val="000000"/>
          <w:sz w:val="20"/>
        </w:rPr>
        <w:t>We continue to execute our growth strategy, paving the way to profitability,” said Jim Corbett, Chief Executive Officer of AVITA. “We are diligently working through supplemental in-house testing to support the FDA’s review of our PMA supplement for RECELL GO. Once complete, we expect to submit a response to the FDA’s open questions on February 28, 2024. Under the Breakthrough Device program, we anticipate FDA approval on May 30, 2024, which positions us for a launch the following day.”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Future Milestones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val="false"/>
          <w:color w:val="000000"/>
          <w:sz w:val="20"/>
        </w:rPr>
        <w:t>Expect FDA real-time review of the PMA Supplement for RECELL GO</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to resume on March 1, 2024, day 91 of the 180-day review cycle, with FDA approval anticipated on May 30,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Reaffirming high growth potential of full-thickness skin defect indication, which presents a market 10 times the size of original burns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Plan to actively identify new international distributor partnerships, including Australia, Japan, and European Union, over the next 6 to 12 months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Expect full enrollment of post-market study, TONE, by end of February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Initiating health care economics study to capture longitudinal healthcare costs of vitiligo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Expect initial reimbursement coverage for vitiligo in Q3 2025</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Expect to reach profitability in 2025</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b w:val="false"/>
          <w:color w:val="000000"/>
          <w:sz w:val="20"/>
        </w:rPr>
        <w:t>We have achieved significant commercial revenue growth rates for the last three quarters of 40%, 42% and 51%, respectively, over the same periods in the previous year,” said David O’Toole, Chief Financial Officer of AVITA Medical. “Further, we remain confident that our cash reserves position us to achieve our goals and reach profitability in 2025.”</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val="false"/>
          <w:color w:val="000000"/>
          <w:sz w:val="18"/>
        </w:rPr>
      </w:pPr>
      <w:r>
        <w:rPr>
          <w:rFonts w:ascii="Times New Roman" w:hAnsi="Times New Roman"/>
          <w:b w:val="false"/>
          <w:color w:val="000000"/>
          <w:sz w:val="18"/>
        </w:rPr>
        <w:t>Page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Financial Guidance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Commercial revenue for the fourth quarter 2023 is expected to be in the range of $15.3 to $16.3 million, reflecting a lower bound of 64% and upper bound of 73% growth over the same period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Commercial revenue for the full year 2023 is expected to be in the range of $51 to $53 million, reflecting a lower bound of 50% and upper bound of 56% growth over the same period in the prior year</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Gross margin for the full year 2023 expected to be in the range of 83% to 85%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Third Quarter 2023 Financial Results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commercial revenue, which excludes Biomedical Advanced Research and Development Authority (BARDA) revenue, increased by 51% to $13.5 million in the three-months ended September 30, 2023, compared to $9.0 million in the same period in 2022. Total revenue, which includes BARDA revenue, increased by 50% to $13.6 million compared to $9.1 million in the same period in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Gross profit margin increased by 1.3% to 84.5% compared to 83.2% for the third quarter of 2022. The increase was largely driven by higher production associated with our increase in revenues and lower shipping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Total operating expenses for the quarter were $21.0 million, compared to $14.2 million in the same period in 2022. The increase in operating expenses is primarily attributable to an increase of $5.1 million in sales and marketing costs. The increase in sales and marketing costs is a result of the expansion of our commercial organization in preparation of the commercial launch of full-thickness skin defects that happened in the second quarter. In addition, the increase in operating expenses included an increase of $0.6 million in R&amp;D costs, and an increase of $1.1 million in G&amp;A costs, primarily due to an increase in stock compensation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Net loss was $8.7 million, or a loss of $0.34 per basic and diluted share, compared to a net loss of $5.6 million, or a loss of $0.22 per basic and diluted share, in the same period in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the Company had approximately $60.1 million in cash, cash equivalents, and marketable securities.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BARDA income consisted of funding from the Biomedical Advanced Research and Development Authority, under the Assistant Secretary for Preparedness and Response, within the U.S. Department of Health and Human Services, under ongoing USG Contract No. HHSO100201500028C.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Webcast and Conference Call Information</w:t>
        <w:br/>
      </w:r>
      <w:r>
        <w:rPr>
          <w:rFonts w:ascii="Times New Roman" w:hAnsi="Times New Roman"/>
          <w:b w:val="false"/>
          <w:color w:val="000000"/>
          <w:sz w:val="20"/>
        </w:rPr>
        <w:t xml:space="preserve">The Company will host a conference call to discuss the third quarter financial results and, recent business highlights on Thursday, November 9, 2023, at 1:30 p.m. Pacific Time. To access the live call via telephone, please register in advance using the link </w:t>
      </w:r>
      <w:r>
        <w:rPr>
          <w:rFonts w:ascii="Times New Roman" w:hAnsi="Times New Roman"/>
          <w:b w:val="false"/>
          <w:sz w:val="20"/>
        </w:rPr>
        <w:t>here</w:t>
      </w:r>
      <w:r>
        <w:rPr>
          <w:rFonts w:ascii="Times New Roman" w:hAnsi="Times New Roman"/>
          <w:b w:val="false"/>
          <w:color w:val="000000"/>
          <w:sz w:val="20"/>
        </w:rPr>
        <w:t>. Upon registering, each participant will receive an email confirmation with dial-in numbers and a unique personal PIN that can be used to join the call. A simultaneous webcast of the call will be available via the Company’s website at https://ir.avitamedical.com.</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rFonts w:ascii="Times New Roman" w:hAnsi="Times New Roman"/>
          <w:sz w:val="20"/>
        </w:rPr>
      </w:pPr>
      <w:r>
        <w:rPr>
          <w:rFonts w:ascii="Times New Roman" w:hAnsi="Times New Roman"/>
          <w:b w:val="false"/>
          <w:color w:val="000000"/>
          <w:sz w:val="20"/>
        </w:rPr>
        <w:t>AVITA Medical® is a regenerative medicine company leading the development and commercialization of devices and autologous cellular therapies for skin restoration. The RECELL® System technology platform, approved by the FDA for the treatment of thermal burn wounds and full-thickness skin defects and for repigmentation of stable depigmented vitiligo lesions, harnesses the regenerative properties of a patient’s own skin to create Spray-On Skin cells. Delivered at the point-of-care, RECELL enables improved clinical outcomes. RECELL is the catalyst of a new treatment paradigm and AVITA Medical is leveraging its proven and differentiated capabilities to develop first-in-class cellular therapies for multiple indications.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international markets, our products are approved under the RECELL System brand to promote skin healing in a wide range of applications including burns, full-thickness skin defects, and vitiligo. The RECELL System is TGA-registered in Australia, received CE-mark approval in Europe and has PMDA approval in Japan.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 learn more, visit www.avitamedical.com.</w:t>
      </w:r>
    </w:p>
    <w:p>
      <w:pPr>
        <w:pStyle w:val="TextBody"/>
        <w:bidi w:val="0"/>
        <w:jc w:val="both"/>
        <w:rPr/>
      </w:pPr>
      <w:r>
        <w:rPr/>
        <w:t> </w:t>
      </w:r>
    </w:p>
    <w:p>
      <w:pPr>
        <w:pStyle w:val="TextBody"/>
        <w:bidi w:val="0"/>
        <w:jc w:val="right"/>
        <w:rPr>
          <w:rFonts w:ascii="Times New Roman" w:hAnsi="Times New Roman"/>
          <w:b w:val="false"/>
          <w:color w:val="000000"/>
          <w:sz w:val="18"/>
        </w:rPr>
      </w:pPr>
      <w:r>
        <w:rPr>
          <w:rFonts w:ascii="Times New Roman" w:hAnsi="Times New Roman"/>
          <w:b w:val="false"/>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Forward-Looking Statements</w:t>
        <w:br/>
      </w:r>
      <w:r>
        <w:rPr>
          <w:rFonts w:ascii="Times New Roman" w:hAnsi="Times New Roman"/>
          <w:b w:val="false"/>
          <w:i/>
          <w:color w:val="000000"/>
          <w:sz w:val="20"/>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Jessica Ekeberg</w:t>
      </w:r>
    </w:p>
    <w:p>
      <w:pPr>
        <w:pStyle w:val="TextBody"/>
        <w:bidi w:val="0"/>
        <w:jc w:val="left"/>
        <w:rPr>
          <w:rFonts w:ascii="Times New Roman" w:hAnsi="Times New Roman"/>
          <w:sz w:val="20"/>
        </w:rPr>
      </w:pPr>
      <w:r>
        <w:rPr>
          <w:rFonts w:ascii="Times New Roman" w:hAnsi="Times New Roman"/>
          <w:b w:val="false"/>
          <w:color w:val="000000"/>
          <w:sz w:val="20"/>
        </w:rPr>
        <w:t>Phone +1-661-904-9269</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invesotr@avitamedical.com</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media@avitamedical.com</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Authorized for release by the Chief Financial Officer of AVITA Medical, Inc.</w:t>
      </w:r>
    </w:p>
    <w:p>
      <w:pPr>
        <w:pStyle w:val="TextBody"/>
        <w:bidi w:val="0"/>
        <w:jc w:val="left"/>
        <w:rPr/>
      </w:pPr>
      <w:r>
        <w:rPr/>
        <w:t> </w:t>
      </w:r>
    </w:p>
    <w:p>
      <w:pPr>
        <w:pStyle w:val="TextBody"/>
        <w:bidi w:val="0"/>
        <w:jc w:val="right"/>
        <w:rPr>
          <w:rFonts w:ascii="Times New Roman" w:hAnsi="Times New Roman"/>
          <w:b w:val="false"/>
          <w:color w:val="000000"/>
          <w:sz w:val="18"/>
        </w:rPr>
      </w:pPr>
      <w:r>
        <w:rPr>
          <w:rFonts w:ascii="Times New Roman" w:hAnsi="Times New Roman"/>
          <w:b w:val="false"/>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22"/>
        <w:gridCol w:w="146"/>
        <w:gridCol w:w="252"/>
        <w:gridCol w:w="966"/>
        <w:gridCol w:w="166"/>
        <w:gridCol w:w="146"/>
        <w:gridCol w:w="246"/>
        <w:gridCol w:w="947"/>
        <w:gridCol w:w="414"/>
      </w:tblGrid>
      <w:tr>
        <w:trPr/>
        <w:tc>
          <w:tcPr>
            <w:tcW w:w="6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3"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18,164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Marketable securities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61,178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receivable,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BARDA receivables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87,458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Marketable securities long-term</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6,930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Plant and equipment,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Corporate-owned life insurance ("COLI") asset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long-term assets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98,264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3,002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6,623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10,693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Non-qualified deferred compensation liability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w:t>
            </w:r>
          </w:p>
        </w:tc>
        <w:tc>
          <w:tcPr>
            <w:tcW w:w="414" w:type="dxa"/>
            <w:tcBorders/>
            <w:shd w:fill="FFFFFF" w:val="cle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12,967</w:t>
            </w:r>
          </w:p>
        </w:tc>
        <w:tc>
          <w:tcPr>
            <w:tcW w:w="4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Non-qualified deferred compensation plan share awards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557</w:t>
            </w:r>
          </w:p>
        </w:tc>
        <w:tc>
          <w:tcPr>
            <w:tcW w:w="414" w:type="dxa"/>
            <w:tcBorders/>
            <w:shd w:fill="FFFFFF" w:val="cle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3"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sz w:val="19"/>
              </w:rPr>
            </w:pPr>
            <w:r>
              <w:rPr>
                <w:rFonts w:ascii="Times New Roman" w:hAnsi="Times New Roman"/>
                <w:b w:val="false"/>
                <w:color w:val="000000"/>
                <w:sz w:val="18"/>
              </w:rPr>
              <w:t xml:space="preserve">Common stock, $0.0001 par value per share, 200,000,000 shares authorized, </w:t>
            </w:r>
            <w:r>
              <w:rPr>
                <w:rFonts w:ascii="Times New Roman" w:hAnsi="Times New Roman"/>
                <w:b w:val="false"/>
                <w:color w:val="000000"/>
                <w:sz w:val="19"/>
              </w:rPr>
              <w:t>25,550,694</w:t>
            </w:r>
            <w:r>
              <w:rPr>
                <w:rFonts w:ascii="Times New Roman" w:hAnsi="Times New Roman"/>
                <w:color w:val="000000"/>
                <w:sz w:val="19"/>
              </w:rPr>
              <w:t> </w:t>
            </w:r>
            <w:r>
              <w:rPr>
                <w:rFonts w:ascii="Times New Roman" w:hAnsi="Times New Roman"/>
                <w:b w:val="false"/>
                <w:color w:val="000000"/>
                <w:sz w:val="18"/>
              </w:rPr>
              <w:t>and 25,208,436 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Preferred stock, $0.0001 par value per share, 10,000,000 shares authorized, no shares issued or outstanding at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Company common stock held by the non-qualified deferred compensation plan ("NQDC Plan")</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347,192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339,825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7,627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(262,588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84,740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98,264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b w:val="false"/>
          <w:color w:val="000000"/>
          <w:sz w:val="18"/>
        </w:rPr>
      </w:pPr>
      <w:r>
        <w:rPr>
          <w:rFonts w:ascii="Times New Roman" w:hAnsi="Times New Roman"/>
          <w:b w:val="false"/>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bookmarkStart w:id="4" w:name="range_a5_i27"/>
      <w:bookmarkEnd w:id="4"/>
      <w:r>
        <w:rPr/>
        <w:t> </w:t>
      </w:r>
    </w:p>
    <w:tbl>
      <w:tblPr>
        <w:tblW w:w="10205" w:type="dxa"/>
        <w:jc w:val="left"/>
        <w:tblInd w:w="0" w:type="dxa"/>
        <w:tblLayout w:type="fixed"/>
        <w:tblCellMar>
          <w:top w:w="28" w:type="dxa"/>
          <w:left w:w="28" w:type="dxa"/>
          <w:bottom w:w="28" w:type="dxa"/>
          <w:right w:w="28" w:type="dxa"/>
        </w:tblCellMar>
      </w:tblPr>
      <w:tblGrid>
        <w:gridCol w:w="2637"/>
        <w:gridCol w:w="146"/>
        <w:gridCol w:w="267"/>
        <w:gridCol w:w="1250"/>
        <w:gridCol w:w="166"/>
        <w:gridCol w:w="146"/>
        <w:gridCol w:w="267"/>
        <w:gridCol w:w="1250"/>
        <w:gridCol w:w="166"/>
        <w:gridCol w:w="146"/>
        <w:gridCol w:w="267"/>
        <w:gridCol w:w="1250"/>
        <w:gridCol w:w="166"/>
        <w:gridCol w:w="146"/>
        <w:gridCol w:w="267"/>
        <w:gridCol w:w="1250"/>
        <w:gridCol w:w="418"/>
      </w:tblGrid>
      <w:tr>
        <w:trPr/>
        <w:tc>
          <w:tcPr>
            <w:tcW w:w="2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418" w:type="dxa"/>
            <w:tcBorders/>
            <w:shd w:fill="FFFFFF" w:val="clear"/>
            <w:vAlign w:val="center"/>
          </w:tcPr>
          <w:p>
            <w:pPr>
              <w:pStyle w:val="TableContents"/>
              <w:bidi w:val="0"/>
              <w:spacing w:before="0" w:after="283"/>
              <w:jc w:val="center"/>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24,966</w:t>
            </w:r>
          </w:p>
        </w:tc>
        <w:tc>
          <w:tcPr>
            <w:tcW w:w="418" w:type="dxa"/>
            <w:tcBorders/>
            <w:shd w:fill="CFF0FC" w:val="clear"/>
            <w:vAlign w:val="center"/>
          </w:tcPr>
          <w:p>
            <w:pPr>
              <w:pStyle w:val="TableContents"/>
              <w:bidi w:val="0"/>
              <w:spacing w:before="0" w:after="283"/>
              <w:jc w:val="left"/>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(4,694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20,272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2,189</w:t>
            </w:r>
          </w:p>
        </w:tc>
        <w:tc>
          <w:tcPr>
            <w:tcW w:w="418" w:type="dxa"/>
            <w:tcBorders/>
            <w:shd w:fill="FFFFFF" w:val="clear"/>
            <w:vAlign w:val="center"/>
          </w:tcPr>
          <w:p>
            <w:pPr>
              <w:pStyle w:val="TableContents"/>
              <w:bidi w:val="0"/>
              <w:spacing w:before="0" w:after="283"/>
              <w:jc w:val="left"/>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200"/>
              <w:jc w:val="left"/>
              <w:rPr/>
            </w:pPr>
            <w:r>
              <w:rPr/>
              <w:t> </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(15,571</w:t>
            </w:r>
          </w:p>
        </w:tc>
        <w:tc>
          <w:tcPr>
            <w:tcW w:w="41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(18,009</w:t>
            </w:r>
          </w:p>
        </w:tc>
        <w:tc>
          <w:tcPr>
            <w:tcW w:w="4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(10,478</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(44,058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(21,597</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(21,312</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per common share:</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200"/>
              <w:jc w:val="left"/>
              <w:rPr/>
            </w:pPr>
            <w:r>
              <w:rPr/>
              <w:t> </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(0.85</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Weighted-average common shares:</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25,401,754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25,006,995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25,281,920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24,972,331</w:t>
            </w:r>
          </w:p>
        </w:tc>
        <w:tc>
          <w:tcPr>
            <w:tcW w:w="418"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pPr>
      <w:bookmarkStart w:id="5" w:name="range_a34_l39"/>
      <w:bookmarkEnd w:id="5"/>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b w:val="false"/>
          <w:color w:val="000000"/>
          <w:sz w:val="18"/>
        </w:rPr>
      </w:pPr>
      <w:r>
        <w:rPr>
          <w:rFonts w:ascii="Times New Roman" w:hAnsi="Times New Roman"/>
          <w:b w:val="false"/>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2370</Words>
  <Characters>13114</Characters>
  <CharactersWithSpaces>15626</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