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firstLine="440"/>
        <w:spacing w:after="0" w:line="224" w:lineRule="auto"/>
        <w:rPr>
          <w:sz w:val="20"/>
          <w:szCs w:val="20"/>
          <w:color w:val="auto"/>
        </w:rPr>
      </w:pPr>
      <w:r>
        <w:rPr>
          <w:rFonts w:ascii="Times New Roman" w:cs="Times New Roman" w:eastAsia="Times New Roman" w:hAnsi="Times New Roman"/>
          <w:sz w:val="18"/>
          <w:szCs w:val="18"/>
          <w:color w:val="auto"/>
        </w:rPr>
        <w:t>On September 12, 2022, AVITA Medical, Inc. issued a press release announcing positive topline results from a pivotal randomized, controlled trial evaluating the safety and effectiveness of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for repigmentation of stable vitiligo lesions. A copy of the press release is attached hereto as Exhibit 99.1.</w:t>
      </w:r>
    </w:p>
    <w:p>
      <w:pPr>
        <w:spacing w:after="0" w:line="19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information under Items 8.01 and in Item 9.01 below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99.1</w:t>
      </w:r>
      <w:r>
        <w:rPr>
          <w:sz w:val="20"/>
          <w:szCs w:val="20"/>
          <w:color w:val="auto"/>
        </w:rPr>
        <w:tab/>
      </w:r>
      <w:r>
        <w:rPr>
          <w:rFonts w:ascii="Times New Roman" w:cs="Times New Roman" w:eastAsia="Times New Roman" w:hAnsi="Times New Roman"/>
          <w:sz w:val="17"/>
          <w:szCs w:val="17"/>
          <w:b w:val="1"/>
          <w:bCs w:val="1"/>
          <w:u w:val="single" w:color="auto"/>
          <w:color w:val="0000EE"/>
        </w:rPr>
        <w:t>AVITA Medical Achieves Positive Topline Pivotal Trial Results for Treatment of Stable Vitiligo Using the RECELL</w:t>
      </w:r>
      <w:r>
        <w:rPr>
          <w:rFonts w:ascii="Times New Roman" w:cs="Times New Roman" w:eastAsia="Times New Roman" w:hAnsi="Times New Roman"/>
          <w:sz w:val="25"/>
          <w:szCs w:val="25"/>
          <w:b w:val="1"/>
          <w:bCs w:val="1"/>
          <w:u w:val="single" w:color="auto"/>
          <w:color w:val="0000EE"/>
          <w:vertAlign w:val="superscript"/>
        </w:rPr>
        <w:t>®</w:t>
      </w:r>
      <w:r>
        <w:rPr>
          <w:rFonts w:ascii="Times New Roman" w:cs="Times New Roman" w:eastAsia="Times New Roman" w:hAnsi="Times New Roman"/>
          <w:sz w:val="17"/>
          <w:szCs w:val="17"/>
          <w:b w:val="1"/>
          <w:bCs w:val="1"/>
          <w:u w:val="single" w:color="auto"/>
          <w:color w:val="0000EE"/>
        </w:rPr>
        <w:t xml:space="preserve"> System</w:t>
      </w:r>
    </w:p>
    <w:p>
      <w:pPr>
        <w:spacing w:after="0" w:line="6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8"/>
          <w:szCs w:val="18"/>
          <w:b w:val="1"/>
          <w:bCs w:val="1"/>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Donna Shiroma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4871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Achieves Positive Topline Pivotal Trial Results for Treatment of Stable Vitiligo Using the RECELL</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System</w:t>
      </w:r>
    </w:p>
    <w:p>
      <w:pPr>
        <w:spacing w:after="0" w:line="63"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study achieved its primary effectiveness endpoint of super-superiority</w:t>
      </w:r>
    </w:p>
    <w:p>
      <w:pPr>
        <w:spacing w:after="0" w:line="10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AVITA Medical continues to plan for submission to FDA by the end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both"/>
        <w:ind w:right="34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VALENCIA, Calif. 12 SEPTEMBER 2022 and MELBOURNE, Australia, 13 SEPTEMBER 2022 </w:t>
      </w:r>
      <w:r>
        <w:rPr>
          <w:rFonts w:ascii="Times New Roman" w:cs="Times New Roman" w:eastAsia="Times New Roman" w:hAnsi="Times New Roman"/>
          <w:sz w:val="18"/>
          <w:szCs w:val="18"/>
          <w:color w:val="auto"/>
        </w:rPr>
        <w:t>— AVITA Medical, Inc. (NASDAQ: RCEL,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ASX: AVH) (Company), a regenerative medicine company leading the development and commercialization of first-in-class devices and autologous cellular therapies for skin restoration, today announced positive topline results from a pivotal randomized, controlled trial evaluating the safety and effectiveness of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for repigmentation of stable vitiligo lesions.</w:t>
      </w:r>
    </w:p>
    <w:p>
      <w:pPr>
        <w:spacing w:after="0" w:line="4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study compared repigmentation success rates, in a design where each patient randomly received RECELL treatment in one portion of depigmented area and treatment with the study control in another portion of depigmented area. The study control treatment was the standard of care narrowband ultraviolet-B phototherapy, which is typical first-line treatment for vitiligo. Repigmentation was evaluated 6 months after treatment by an expert central review committee (CRC).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CRC reported the following:</w:t>
      </w:r>
    </w:p>
    <w:p>
      <w:pPr>
        <w:spacing w:after="0" w:line="131" w:lineRule="exact"/>
        <w:rPr>
          <w:sz w:val="20"/>
          <w:szCs w:val="20"/>
          <w:color w:val="auto"/>
        </w:rPr>
      </w:pPr>
    </w:p>
    <w:p>
      <w:pPr>
        <w:ind w:left="960" w:right="3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Fifty-six percent (56%) of RECELL treatments (versus 12% of control treatments) resulted in repigmentation of more than 50% of the treated area</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Thirty-six percent (36%) of RECELL treatments (versus 0% of control treatments) resulted in repigmentation of at least 80% of the treated area, establishing super-superiority for the primary endpoint (p&lt;0.025)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RECELL’s compelling safety profile to date is reflected in preliminary review of adverse events in this study.</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These are the first results from a U.S. randomized, controlled trial of the RECELL System in treating patients with segmental and nonsegmental stable vitiligo and provide a foundation for communicating favorable clinical benefit in pursuit of FDA approval via submission of a PMA supplement for this indication later this year.</w:t>
      </w:r>
    </w:p>
    <w:p>
      <w:pPr>
        <w:sectPr>
          <w:pgSz w:w="11900" w:h="16838" w:orient="portrait"/>
          <w:cols w:equalWidth="0" w:num="1">
            <w:col w:w="11020"/>
          </w:cols>
          <w:pgMar w:left="440" w:top="117" w:right="439" w:bottom="1440" w:gutter="0" w:footer="0" w:header="0"/>
        </w:sectPr>
      </w:pPr>
    </w:p>
    <w:bookmarkStart w:id="4" w:name="page5"/>
    <w:bookmarkEnd w:id="4"/>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“Vitiligo often has a severe impact on quality of life and is a therapeutic area within which there have been very limited treatment options. We are excited by our topline data, as we are now closer to our goal of providing patients with a durable, clinically meaningful, one-time treatment for repigmentation,” said Dr. Mike Perry, Chief Executive Officer of AVITA Medical. “RECELL has the potential to address the unmet medical need for an estimated 1.3 million people in the U.S. who suffer from stable vitiligo, and further, we envision a potential opportunity for RECELL as part of a multi-modal treatment plan for patients achieving stability with JAK inhibitor treatment.”</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“Repigmentation is challenging to manage and burdensome for patients with vitiligo,” said Iltefat Hamzavi, MD, of Henry Ford Hospital (Detroit, MI), lead investigator of the trial. “These are encouraging results that underscore the potential for RECELL to address repigmentation in patients with stable vitiligo in a rapid and sustained fashion which is distinct from existing therapies.”</w:t>
      </w:r>
    </w:p>
    <w:p>
      <w:pPr>
        <w:spacing w:after="0" w:line="176" w:lineRule="exact"/>
        <w:rPr>
          <w:sz w:val="20"/>
          <w:szCs w:val="20"/>
          <w:color w:val="auto"/>
        </w:rPr>
      </w:pPr>
    </w:p>
    <w:p>
      <w:pPr>
        <w:ind w:right="520"/>
        <w:spacing w:after="0" w:line="224" w:lineRule="auto"/>
        <w:rPr>
          <w:sz w:val="20"/>
          <w:szCs w:val="20"/>
          <w:color w:val="auto"/>
        </w:rPr>
      </w:pPr>
      <w:r>
        <w:rPr>
          <w:rFonts w:ascii="Times New Roman" w:cs="Times New Roman" w:eastAsia="Times New Roman" w:hAnsi="Times New Roman"/>
          <w:sz w:val="17"/>
          <w:szCs w:val="17"/>
          <w:color w:val="auto"/>
        </w:rPr>
        <w:t>Vitiligo is a disease that attacks pigment-producing cells, called melanocytes, resulting in their destruction or malfunction. The result is a loss of pigmentation in patches of skin. Vitiligo affects up to 2% of the population worldwide,</w:t>
      </w:r>
      <w:r>
        <w:rPr>
          <w:rFonts w:ascii="Times New Roman" w:cs="Times New Roman" w:eastAsia="Times New Roman" w:hAnsi="Times New Roman"/>
          <w:sz w:val="25"/>
          <w:szCs w:val="25"/>
          <w:color w:val="auto"/>
          <w:vertAlign w:val="superscript"/>
        </w:rPr>
        <w:t>i</w:t>
      </w:r>
      <w:r>
        <w:rPr>
          <w:rFonts w:ascii="Times New Roman" w:cs="Times New Roman" w:eastAsia="Times New Roman" w:hAnsi="Times New Roman"/>
          <w:sz w:val="17"/>
          <w:szCs w:val="17"/>
          <w:color w:val="auto"/>
        </w:rPr>
        <w:t xml:space="preserve"> including up to 6.5 million Americans,</w:t>
      </w:r>
      <w:r>
        <w:rPr>
          <w:rFonts w:ascii="Times New Roman" w:cs="Times New Roman" w:eastAsia="Times New Roman" w:hAnsi="Times New Roman"/>
          <w:sz w:val="25"/>
          <w:szCs w:val="25"/>
          <w:color w:val="auto"/>
          <w:vertAlign w:val="superscript"/>
        </w:rPr>
        <w:t>ii</w:t>
      </w:r>
      <w:r>
        <w:rPr>
          <w:rFonts w:ascii="Times New Roman" w:cs="Times New Roman" w:eastAsia="Times New Roman" w:hAnsi="Times New Roman"/>
          <w:sz w:val="17"/>
          <w:szCs w:val="17"/>
          <w:color w:val="auto"/>
        </w:rPr>
        <w:t xml:space="preserve"> with an estimated</w:t>
      </w:r>
    </w:p>
    <w:p>
      <w:pPr>
        <w:spacing w:after="0" w:line="1"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1.3 million suffering from stable vitiligo. Vitiligo has a comparable psychosocial impact to other major dermatology diseases including psoriasis (thick, scaly skin) and atopic dermatitis (red, cracked skin).</w:t>
      </w:r>
      <w:r>
        <w:rPr>
          <w:rFonts w:ascii="Times New Roman" w:cs="Times New Roman" w:eastAsia="Times New Roman" w:hAnsi="Times New Roman"/>
          <w:sz w:val="26"/>
          <w:szCs w:val="26"/>
          <w:color w:val="auto"/>
          <w:vertAlign w:val="superscript"/>
        </w:rPr>
        <w:t>iii, iv, v</w:t>
      </w:r>
      <w:r>
        <w:rPr>
          <w:rFonts w:ascii="Times New Roman" w:cs="Times New Roman" w:eastAsia="Times New Roman" w:hAnsi="Times New Roman"/>
          <w:sz w:val="18"/>
          <w:szCs w:val="18"/>
          <w:color w:val="auto"/>
        </w:rPr>
        <w:t xml:space="preserve"> Like these diseases, those living with vitiligo may suffer from poor body image along with low self-esteem, leading to an impaired quality of life.</w:t>
      </w:r>
      <w:r>
        <w:rPr>
          <w:rFonts w:ascii="Times New Roman" w:cs="Times New Roman" w:eastAsia="Times New Roman" w:hAnsi="Times New Roman"/>
          <w:sz w:val="26"/>
          <w:szCs w:val="26"/>
          <w:color w:val="auto"/>
          <w:vertAlign w:val="superscript"/>
        </w:rPr>
        <w:t>vi</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ABOUT AVITA MEDICAL, INC. </w:t>
      </w:r>
      <w:r>
        <w:rPr>
          <w:rFonts w:ascii="Times New Roman" w:cs="Times New Roman" w:eastAsia="Times New Roman" w:hAnsi="Times New Roman"/>
          <w:sz w:val="18"/>
          <w:szCs w:val="18"/>
          <w:color w:val="auto"/>
        </w:rPr>
        <w:t>AVITA Medical is a regenerative medicine company leading the development and commercialization of devices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autologous cellular therapies for skin restoration.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technology platform, approved by the FDA for the treatment of acute thermal burns in both adults and children, harnesses the regenerative properties of a patient’s own skin to create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Delivered at the point-of-care, RECELL enables improved clinical outcomes and validated cost savings. RECELL is the catalyst of a new treatment paradigm and AVITA Medical is leveraging its proven and differentiated capabilities to develop first-in-class cellular therapies for multiple indications, including acute traumatic wounds and repigmentation of stable vitiligo lesions.</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pacing w:after="0" w:line="18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The RECELL System is used to prepare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USE—RECELL Autologous Cell Harvesting Device (</w:t>
      </w:r>
      <w:r>
        <w:rPr>
          <w:rFonts w:ascii="Times New Roman" w:cs="Times New Roman" w:eastAsia="Times New Roman" w:hAnsi="Times New Roman"/>
          <w:sz w:val="18"/>
          <w:szCs w:val="18"/>
          <w:u w:val="single" w:color="auto"/>
          <w:color w:val="auto"/>
        </w:rPr>
        <w:t>https://recellsystem.com</w:t>
      </w:r>
      <w:r>
        <w:rPr>
          <w:rFonts w:ascii="Times New Roman" w:cs="Times New Roman" w:eastAsia="Times New Roman" w:hAnsi="Times New Roman"/>
          <w:sz w:val="18"/>
          <w:szCs w:val="18"/>
          <w:color w:val="auto"/>
        </w:rPr>
        <w:t>) for a full description of indications for use and important safety information including contraindications, warnings, and precautions.</w:t>
      </w:r>
    </w:p>
    <w:p>
      <w:pPr>
        <w:sectPr>
          <w:pgSz w:w="11900" w:h="16838" w:orient="portrait"/>
          <w:cols w:equalWidth="0" w:num="1">
            <w:col w:w="11020"/>
          </w:cols>
          <w:pgMar w:left="440" w:top="270" w:right="439" w:bottom="1440" w:gutter="0" w:footer="0" w:header="0"/>
        </w:sectPr>
      </w:pPr>
    </w:p>
    <w:bookmarkStart w:id="5" w:name="page6"/>
    <w:bookmarkEnd w:id="5"/>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international markets, our products are approved under the RECELL System brand to promote skin healing in a wide range of applications including burns, acute traumatic wounds, vitiligo, and aesthetics. The RECELL System is TGA-registered in Australia, received CE-mark approval in Europe and has PMDA approval in Japan. To learn more, visit www.avitamedical.com.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press release was authorized by the review committee of AVITA Medical, Inc.</w:t>
      </w:r>
    </w:p>
    <w:p>
      <w:pPr>
        <w:sectPr>
          <w:pgSz w:w="11900" w:h="16838" w:orient="portrait"/>
          <w:cols w:equalWidth="0" w:num="1">
            <w:col w:w="10980"/>
          </w:cols>
          <w:pgMar w:left="440" w:top="270" w:right="47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tc>
        <w:tc>
          <w:tcPr>
            <w:tcW w:w="4080" w:type="dxa"/>
            <w:vAlign w:val="bottom"/>
          </w:tcPr>
          <w:p>
            <w:pPr>
              <w:spacing w:after="0"/>
              <w:rPr>
                <w:sz w:val="20"/>
                <w:szCs w:val="20"/>
                <w:color w:val="auto"/>
              </w:rPr>
            </w:pPr>
          </w:p>
        </w:tc>
      </w:tr>
      <w:tr>
        <w:trPr>
          <w:trHeight w:val="441"/>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Media</w:t>
            </w:r>
          </w:p>
        </w:tc>
        <w:tc>
          <w:tcPr>
            <w:tcW w:w="408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Brown, Inc.</w:t>
            </w:r>
          </w:p>
        </w:tc>
        <w:tc>
          <w:tcPr>
            <w:tcW w:w="40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Westwicke Partners</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Curran</w:t>
            </w:r>
          </w:p>
        </w:tc>
        <w:tc>
          <w:tcPr>
            <w:tcW w:w="40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Caroline Corner</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+1-615-414-8668</w:t>
            </w:r>
          </w:p>
        </w:tc>
        <w:tc>
          <w:tcPr>
            <w:tcW w:w="40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Phone +1-415-202-5678</w:t>
            </w:r>
          </w:p>
        </w:tc>
      </w:tr>
      <w:tr>
        <w:trPr>
          <w:trHeight w:val="23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christycurran@sambrown.com</w:t>
            </w:r>
          </w:p>
        </w:tc>
        <w:tc>
          <w:tcPr>
            <w:tcW w:w="408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8"/>
              </w:rPr>
              <w:t>caroline.corner@westwicke.com</w:t>
            </w:r>
          </w:p>
        </w:tc>
      </w:tr>
      <w:tr>
        <w:trPr>
          <w:trHeight w:val="441"/>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O.U.S. Media</w:t>
            </w:r>
          </w:p>
        </w:tc>
        <w:tc>
          <w:tcPr>
            <w:tcW w:w="4080" w:type="dxa"/>
            <w:vAlign w:val="bottom"/>
          </w:tcPr>
          <w:p>
            <w:pPr>
              <w:spacing w:after="0"/>
              <w:rPr>
                <w:sz w:val="24"/>
                <w:szCs w:val="24"/>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Rudi Michelson</w:t>
            </w:r>
          </w:p>
        </w:tc>
        <w:tc>
          <w:tcPr>
            <w:tcW w:w="408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+61 (0)3 9620 3333</w:t>
            </w:r>
          </w:p>
        </w:tc>
        <w:tc>
          <w:tcPr>
            <w:tcW w:w="408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Mobile +61 (0)411 402 737</w:t>
            </w:r>
          </w:p>
        </w:tc>
        <w:tc>
          <w:tcPr>
            <w:tcW w:w="4080" w:type="dxa"/>
            <w:vAlign w:val="bottom"/>
          </w:tcPr>
          <w:p>
            <w:pPr>
              <w:spacing w:after="0"/>
              <w:rPr>
                <w:sz w:val="18"/>
                <w:szCs w:val="18"/>
                <w:color w:val="auto"/>
              </w:rPr>
            </w:pPr>
          </w:p>
        </w:tc>
      </w:tr>
      <w:tr>
        <w:trPr>
          <w:trHeight w:val="194"/>
        </w:trPr>
        <w:tc>
          <w:tcPr>
            <w:tcW w:w="4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rudim@monsoon.com.au</w:t>
            </w:r>
          </w:p>
        </w:tc>
        <w:tc>
          <w:tcPr>
            <w:tcW w:w="4080" w:type="dxa"/>
            <w:vAlign w:val="bottom"/>
          </w:tcPr>
          <w:p>
            <w:pPr>
              <w:spacing w:after="0"/>
              <w:rPr>
                <w:sz w:val="16"/>
                <w:szCs w:val="16"/>
                <w:color w:val="auto"/>
              </w:rPr>
            </w:pPr>
          </w:p>
        </w:tc>
      </w:tr>
      <w:tr>
        <w:trPr>
          <w:trHeight w:val="466"/>
        </w:trPr>
        <w:tc>
          <w:tcPr>
            <w:tcW w:w="182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40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Picardo et al. Vitiligo. Nature Reviews Disease Primers. 2015.</w:t>
      </w:r>
    </w:p>
    <w:p>
      <w:pPr>
        <w:spacing w:after="0" w:line="1" w:lineRule="exact"/>
        <w:rPr>
          <w:sz w:val="20"/>
          <w:szCs w:val="20"/>
          <w:color w:val="auto"/>
        </w:rPr>
      </w:pPr>
    </w:p>
    <w:p>
      <w:pPr>
        <w:ind w:left="424" w:hanging="424"/>
        <w:spacing w:after="0" w:line="199" w:lineRule="auto"/>
        <w:tabs>
          <w:tab w:leader="none" w:pos="4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John Harris, MD, PhD – Presentation as part of Incyte Corporate presentation. (Harris, UMass, is a global leader in Vitiligo; AVITA collaborator). https://investor.incyte.com/static-files/01f77a1c-6351-4348-adc2-597e2bc1f42eSERT</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0" w:lineRule="auto"/>
        <w:tabs>
          <w:tab w:leader="none" w:pos="424"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National Psoriasis Foundation – Statistics, https://www.psoriasis.org/psoriasis-statistics/ Accessed 10/5/2020</w:t>
      </w:r>
    </w:p>
    <w:p>
      <w:pPr>
        <w:spacing w:after="0" w:line="2" w:lineRule="exact"/>
        <w:rPr>
          <w:rFonts w:ascii="Times New Roman" w:cs="Times New Roman" w:eastAsia="Times New Roman" w:hAnsi="Times New Roman"/>
          <w:sz w:val="25"/>
          <w:szCs w:val="25"/>
          <w:color w:val="auto"/>
          <w:vertAlign w:val="superscript"/>
        </w:rPr>
      </w:pPr>
    </w:p>
    <w:p>
      <w:pPr>
        <w:ind w:left="424" w:hanging="424"/>
        <w:spacing w:after="0" w:line="186" w:lineRule="auto"/>
        <w:tabs>
          <w:tab w:leader="none" w:pos="424"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burden of vitiligo: Patient characteristics associated with quality of life. Homan, et al. JAAD. 2009</w:t>
      </w:r>
    </w:p>
    <w:p>
      <w:pPr>
        <w:ind w:left="424" w:hanging="424"/>
        <w:spacing w:after="0" w:line="180" w:lineRule="auto"/>
        <w:tabs>
          <w:tab w:leader="none" w:pos="424"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Comparison of the Psychological Impacts of Asymptomatic and Symptomatic Cutaneous Diseases: Vitiligo and Atopic Dermatitis.Noh, et al.</w:t>
      </w:r>
    </w:p>
    <w:p>
      <w:pPr>
        <w:spacing w:after="0" w:line="122"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Willingness-to-pay and quality of life in patients with vitiligo. Radtke, et al. BJD. 2009</w:t>
      </w:r>
    </w:p>
    <w:sectPr>
      <w:pgSz w:w="11900" w:h="16838" w:orient="portrait"/>
      <w:cols w:equalWidth="0" w:num="1">
        <w:col w:w="10944"/>
      </w:cols>
      <w:pgMar w:left="436"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i"/>
      <w:numFmt w:val="bullet"/>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v"/>
      <w:numFmt w:val="bullet"/>
      <w:start w:val="1"/>
    </w:lvl>
  </w:abstractNum>
  <w:abstractNum w:abstractNumId="6">
    <w:nsid w:val="41B71EFB"/>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2022-09-13T08:22:54Z</dcterms:created>
  <dcterms:modified xsi:type="dcterms:W3CDTF">2022-09-13T08:22:54Z</dcterms:modified>
</cp:coreProperties>
</file>