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rcel-20250331.htm"/>
      <w:bookmarkStart w:id="1" w:name="ksrcel202503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quarterly period ended</w:t>
      </w:r>
      <w:r>
        <w:rPr>
          <w:rFonts w:ascii="Times New Roman" w:hAnsi="Times New Roman"/>
          <w:color w:val="000000"/>
          <w:sz w:val="20"/>
        </w:rPr>
        <w:t xml:space="preserve"> </w:t>
      </w:r>
      <w:r>
        <w:rPr>
          <w:rFonts w:ascii="Times New Roman" w:hAnsi="Times New Roman"/>
          <w:b/>
          <w:color w:val="000000"/>
          <w:sz w:val="18"/>
        </w:rPr>
        <w:t>March 31, 2025</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Commission File Number: 001-39059</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1430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371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4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rFonts w:ascii="Times New Roman" w:hAnsi="Times New Roman"/>
          <w:sz w:val="20"/>
        </w:rPr>
      </w:pPr>
      <w:r>
        <w:rPr>
          <w:rFonts w:ascii="Times New Roman" w:hAnsi="Times New Roman"/>
          <w:b/>
          <w:color w:val="000000"/>
          <w:sz w:val="18"/>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Valencia, CA</w:t>
      </w:r>
      <w:r>
        <w:rPr>
          <w:rFonts w:ascii="Times New Roman" w:hAnsi="Times New Roman"/>
          <w:color w:val="000000"/>
          <w:sz w:val="20"/>
        </w:rPr>
        <w:t xml:space="preserve"> </w:t>
      </w:r>
      <w:r>
        <w:rPr>
          <w:rFonts w:ascii="Times New Roman" w:hAnsi="Times New Roman"/>
          <w:b/>
          <w:color w:val="000000"/>
          <w:sz w:val="18"/>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(Address of principal executive offices and 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(661)</w:t>
      </w:r>
      <w:r>
        <w:rPr>
          <w:rFonts w:ascii="Times New Roman" w:hAnsi="Times New Roman"/>
          <w:color w:val="000000"/>
          <w:sz w:val="20"/>
        </w:rPr>
        <w:t xml:space="preserve"> </w:t>
      </w:r>
      <w:r>
        <w:rPr>
          <w:rFonts w:ascii="Times New Roman" w:hAnsi="Times New Roman"/>
          <w:b/>
          <w:color w:val="000000"/>
          <w:sz w:val="18"/>
        </w:rPr>
        <w:t>367-9170</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591" w:type="dxa"/>
        <w:jc w:val="left"/>
        <w:tblInd w:w="0" w:type="dxa"/>
        <w:tblLayout w:type="fixed"/>
        <w:tblCellMar>
          <w:top w:w="28" w:type="dxa"/>
          <w:left w:w="28" w:type="dxa"/>
          <w:bottom w:w="28" w:type="dxa"/>
          <w:right w:w="28" w:type="dxa"/>
        </w:tblCellMar>
      </w:tblPr>
      <w:tblGrid>
        <w:gridCol w:w="3708"/>
        <w:gridCol w:w="328"/>
        <w:gridCol w:w="798"/>
        <w:gridCol w:w="146"/>
        <w:gridCol w:w="2611"/>
      </w:tblGrid>
      <w:tr>
        <w:trP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rPr/>
        <w:tc>
          <w:tcPr>
            <w:tcW w:w="3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370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328" w:type="dxa"/>
            <w:tcBorders/>
            <w:tcMar>
              <w:top w:w="0" w:type="dxa"/>
              <w:left w:w="0" w:type="dxa"/>
              <w:bottom w:w="0" w:type="dxa"/>
              <w:right w:w="0" w:type="dxa"/>
            </w:tcMar>
            <w:vAlign w:val="center"/>
          </w:tcPr>
          <w:p>
            <w:pPr>
              <w:pStyle w:val="TableContents"/>
              <w:bidi w:val="0"/>
              <w:spacing w:before="0" w:after="283"/>
              <w:ind w:left="0" w:right="0" w:firstLine="182"/>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RCEL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The Nasdaq</w:t>
            </w:r>
            <w:r>
              <w:rPr>
                <w:rFonts w:ascii="Times New Roman" w:hAnsi="Times New Roman"/>
                <w:color w:val="000000"/>
                <w:sz w:val="20"/>
              </w:rPr>
              <w:t> </w:t>
            </w:r>
            <w:r>
              <w:rPr>
                <w:rFonts w:ascii="Times New Roman" w:hAnsi="Times New Roman"/>
                <w:b/>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number of shares of the registrant’s common stock, par value $0.0001, outstanding as of May 5, 2025 was 26,434,658.</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4"/>
        <w:gridCol w:w="8213"/>
        <w:gridCol w:w="146"/>
        <w:gridCol w:w="912"/>
      </w:tblGrid>
      <w:tr>
        <w:trPr/>
        <w:tc>
          <w:tcPr>
            <w:tcW w:w="934" w:type="dxa"/>
            <w:tcBorders/>
            <w:vAlign w:val="center"/>
          </w:tcPr>
          <w:p>
            <w:pPr>
              <w:pStyle w:val="TableContents"/>
              <w:bidi w:val="0"/>
              <w:spacing w:before="0" w:after="283"/>
              <w:jc w:val="left"/>
              <w:rPr>
                <w:sz w:val="4"/>
                <w:szCs w:val="4"/>
              </w:rPr>
            </w:pPr>
            <w:r>
              <w:rPr>
                <w:sz w:val="4"/>
                <w:szCs w:val="4"/>
              </w:rPr>
            </w:r>
          </w:p>
        </w:tc>
        <w:tc>
          <w:tcPr>
            <w:tcW w:w="8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b/>
                  <w:color w:val="0000FF"/>
                  <w:sz w:val="20"/>
                  <w:u w:val="single"/>
                </w:rPr>
                <w:t>NOTE REGARDING FORWARD-LOOKING STATEMENTS</w:t>
              </w:r>
            </w:hyperlink>
            <w:hyperlink w:anchor="special_note_regarding_forward_lookin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b/>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Consolidated Balance Sheets – As of March 31, 2025 (unaudited) and December 31,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Times New Roman" w:hAnsi="Times New Roman"/>
                  <w:color w:val="0000FF"/>
                  <w:sz w:val="20"/>
                  <w:u w:val="single"/>
                </w:rPr>
                <w:t>Consolidated Statements of Operations for the three-months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omprehensive_lo">
              <w:r>
                <w:rPr>
                  <w:rStyle w:val="InternetLink"/>
                  <w:rFonts w:ascii="Times New Roman" w:hAnsi="Times New Roman"/>
                  <w:color w:val="0000FF"/>
                  <w:sz w:val="20"/>
                  <w:u w:val="single"/>
                </w:rPr>
                <w:t>Consolidated Statements of Comprehensive Loss for the three-months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shareholders_equ">
              <w:r>
                <w:rPr>
                  <w:rStyle w:val="InternetLink"/>
                  <w:rFonts w:ascii="Times New Roman" w:hAnsi="Times New Roman"/>
                  <w:color w:val="0000FF"/>
                  <w:sz w:val="20"/>
                  <w:u w:val="single"/>
                </w:rPr>
                <w:t>Consolidated Statements of Stockholders’ Equity (Deficit) for the three-months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7</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Consolidated Statements of Cash Flows for the three-months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8</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31</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1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33</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pecial_note_regarding_forward_looking"/>
      <w:bookmarkEnd w:id="2"/>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uncertainties associated with our expectations regarding future revenue, or future growth in revenue, profit, or gross and/or operating margins; the ability to achieve or sustain profitability; industry market conditions; increased competition; changes in our production capacity; failure to obtain, maintain and enforce our intellectual property rights, including our expectations regarding the future scope of such rights; failure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mergers and acquisitions (and related integration activities); if third parties fail to uphold their contractual duties or meet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 and interest rates; inflationary pressures on the U.S. and global economies, respectively; changes in the legal or regulatory environments; the impact of a cybersecurity breach, terrorist attack or other geopolitical instability, pandemic or epidemic, or natural disaster; and future working capital, costs, productivity, business process, rationalization, investment (including rates), consulting, operational, financial, and capital projects and/or initiatives.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Moreover, we operate in an evolving environment. New risk factors and uncertainties may emerge from time to time, and it is not possible for our management to predict all risk factors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8"/>
        <w:gridCol w:w="146"/>
        <w:gridCol w:w="239"/>
        <w:gridCol w:w="953"/>
        <w:gridCol w:w="166"/>
        <w:gridCol w:w="146"/>
        <w:gridCol w:w="259"/>
        <w:gridCol w:w="1035"/>
        <w:gridCol w:w="413"/>
      </w:tblGrid>
      <w:tr>
        <w:trPr/>
        <w:tc>
          <w:tcPr>
            <w:tcW w:w="6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26,434,658 and 26,354,042, shares issued and outstanding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(359,814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perations"/>
      <w:bookmarkEnd w:id="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6705" w:type="dxa"/>
        <w:jc w:val="left"/>
        <w:tblInd w:w="0" w:type="dxa"/>
        <w:tblLayout w:type="fixed"/>
        <w:tblCellMar>
          <w:top w:w="28" w:type="dxa"/>
          <w:left w:w="28" w:type="dxa"/>
          <w:bottom w:w="28" w:type="dxa"/>
          <w:right w:w="28" w:type="dxa"/>
        </w:tblCellMar>
      </w:tblPr>
      <w:tblGrid>
        <w:gridCol w:w="2956"/>
        <w:gridCol w:w="146"/>
        <w:gridCol w:w="243"/>
        <w:gridCol w:w="1197"/>
        <w:gridCol w:w="166"/>
        <w:gridCol w:w="146"/>
        <w:gridCol w:w="243"/>
        <w:gridCol w:w="1197"/>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25,637,783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omprehensive_lo"/>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7638" w:type="dxa"/>
        <w:jc w:val="left"/>
        <w:tblInd w:w="0" w:type="dxa"/>
        <w:tblLayout w:type="fixed"/>
        <w:tblCellMar>
          <w:top w:w="28" w:type="dxa"/>
          <w:left w:w="28" w:type="dxa"/>
          <w:bottom w:w="28" w:type="dxa"/>
          <w:right w:w="28" w:type="dxa"/>
        </w:tblCellMar>
      </w:tblPr>
      <w:tblGrid>
        <w:gridCol w:w="4681"/>
        <w:gridCol w:w="287"/>
        <w:gridCol w:w="1003"/>
        <w:gridCol w:w="166"/>
        <w:gridCol w:w="287"/>
        <w:gridCol w:w="1003"/>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due to credit risk on long-term debt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consolidated_statements_shareholders_equ"/>
      <w:bookmarkEnd w:id="8"/>
      <w:r>
        <w:rPr>
          <w:rFonts w:ascii="Times New Roman" w:hAnsi="Times New Roman"/>
          <w:b/>
          <w:color w:val="000000"/>
          <w:sz w:val="20"/>
        </w:rPr>
        <w:t>Consolidated Statements of Stockholders’ Equity (Deficit)</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61"/>
        <w:gridCol w:w="146"/>
        <w:gridCol w:w="916"/>
        <w:gridCol w:w="146"/>
        <w:gridCol w:w="345"/>
        <w:gridCol w:w="346"/>
        <w:gridCol w:w="146"/>
        <w:gridCol w:w="326"/>
        <w:gridCol w:w="951"/>
        <w:gridCol w:w="166"/>
        <w:gridCol w:w="207"/>
        <w:gridCol w:w="733"/>
        <w:gridCol w:w="146"/>
        <w:gridCol w:w="323"/>
        <w:gridCol w:w="944"/>
        <w:gridCol w:w="166"/>
        <w:gridCol w:w="217"/>
        <w:gridCol w:w="834"/>
        <w:gridCol w:w="166"/>
        <w:gridCol w:w="252"/>
        <w:gridCol w:w="852"/>
        <w:gridCol w:w="216"/>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9"/>
        <w:gridCol w:w="146"/>
        <w:gridCol w:w="916"/>
        <w:gridCol w:w="146"/>
        <w:gridCol w:w="345"/>
        <w:gridCol w:w="346"/>
        <w:gridCol w:w="146"/>
        <w:gridCol w:w="308"/>
        <w:gridCol w:w="901"/>
        <w:gridCol w:w="166"/>
        <w:gridCol w:w="206"/>
        <w:gridCol w:w="727"/>
        <w:gridCol w:w="166"/>
        <w:gridCol w:w="321"/>
        <w:gridCol w:w="938"/>
        <w:gridCol w:w="166"/>
        <w:gridCol w:w="217"/>
        <w:gridCol w:w="834"/>
        <w:gridCol w:w="166"/>
        <w:gridCol w:w="247"/>
        <w:gridCol w:w="834"/>
        <w:gridCol w:w="21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25,682,078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25,789,051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32,569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bookmarkStart w:id="9" w:name="consolidated_statements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8870" w:type="dxa"/>
        <w:jc w:val="left"/>
        <w:tblInd w:w="0" w:type="dxa"/>
        <w:tblLayout w:type="fixed"/>
        <w:tblCellMar>
          <w:top w:w="28" w:type="dxa"/>
          <w:left w:w="28" w:type="dxa"/>
          <w:bottom w:w="28" w:type="dxa"/>
          <w:right w:w="28" w:type="dxa"/>
        </w:tblCellMar>
      </w:tblPr>
      <w:tblGrid>
        <w:gridCol w:w="5221"/>
        <w:gridCol w:w="146"/>
        <w:gridCol w:w="295"/>
        <w:gridCol w:w="995"/>
        <w:gridCol w:w="166"/>
        <w:gridCol w:w="146"/>
        <w:gridCol w:w="295"/>
        <w:gridCol w:w="995"/>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fixed asset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Patent filing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Plant and equipment purchases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Right-of-use-asset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the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and Drug Administration (the “FDA”) for the treatment of thermal burn wounds and full-thickness skin defects. RECELL harnesses the healing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offering an innovative solution for improved clinical outcomes at the point-of-care.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The Company's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was approved by the FDA in May of 2024 to treat thermal burn wounds and full-thickness skin defects. RECELL GO introduces enhanced features that support greater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hAnsi="Times New Roman"/>
          <w:color w:val="000000"/>
          <w:sz w:val="13"/>
        </w:rPr>
        <w:t></w:t>
      </w:r>
      <w:r>
        <w:rPr>
          <w:rFonts w:ascii="Times New Roman" w:hAnsi="Times New Roman"/>
          <w:color w:val="000000"/>
          <w:sz w:val="20"/>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RECELL GO mini</w:t>
      </w:r>
      <w:r>
        <w:rPr>
          <w:rFonts w:ascii="Times New Roman" w:hAnsi="Times New Roman"/>
          <w:color w:val="000000"/>
          <w:sz w:val="13"/>
        </w:rPr>
        <w:t></w:t>
      </w:r>
      <w:r>
        <w:rPr>
          <w:rFonts w:ascii="Times New Roman" w:hAnsi="Times New Roman"/>
          <w:color w:val="000000"/>
          <w:sz w:val="20"/>
        </w:rPr>
        <w:t xml:space="preserve"> Autologous Cell Harvesting Device (“RECELL GO mini”), which was approved by the FDA in December of 2024, is a line extension of the RECELL GO system,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RPD but features a RECELL GO mini Preparation Kit (the “mini RPK”), which includes a single-use RECELL GO mini Cartridge optimized for smaller skin samples. These modifications are intended to align with the needs of clinicians treating smaller wounds. This design aims to support broaden adoption of the RECELL GO platform in trauma centers.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holds the right to manufacture, market, sell, and distribute PermeaDerm</w:t>
      </w:r>
      <w:r>
        <w:rPr>
          <w:rFonts w:ascii="Times New Roman" w:hAnsi="Times New Roman"/>
          <w:color w:val="000000"/>
          <w:sz w:val="13"/>
        </w:rPr>
        <w:t>®</w:t>
      </w:r>
      <w:r>
        <w:rPr>
          <w:rFonts w:ascii="Times New Roman" w:hAnsi="Times New Roman"/>
          <w:color w:val="000000"/>
          <w:sz w:val="20"/>
        </w:rPr>
        <w:t>, a biosynthetic wound matrix, in the United States under the terms of an exclusive multi-year distribution agreement (the “Distribution Agreement”) and a contract manufacturing agreement (the “Manufacturing Agreement”) with Stedical Scientific, Inc. (“Stedical”). The Company also holds the right to market, sell, and distribute Cohealyx</w:t>
      </w:r>
      <w:r>
        <w:rPr>
          <w:rFonts w:ascii="Times New Roman" w:hAnsi="Times New Roman"/>
          <w:color w:val="000000"/>
          <w:sz w:val="13"/>
        </w:rPr>
        <w:t></w:t>
      </w:r>
      <w:r>
        <w:rPr>
          <w:rFonts w:ascii="Times New Roman" w:hAnsi="Times New Roman"/>
          <w:color w:val="000000"/>
          <w:sz w:val="20"/>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holds the exclusive marketing, sales, and distribution rights to this product under its private label in the U.S., and potentially in countries in the European Union, as well as in Australia and Japan. See Note 11 of the Consolidated Financial Statements for additional information regarding the Company’s commitments with Stedical and Regenity.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left"/>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and has an accumulated deficit of $373.7 million as of March 31, 2025. For the three months ended March 31, 2025 and 2024, the Company used $10.3 million and $20.9 million of cash, respectively in its operating activities. For the years ended December 31, 2024 and 2023, the Company used $48.9 million and $38.0 million of cash, respectively, in its operating activities. As of March 31, 2025, the Company had cash, cash equivalents, and marketable securities of $25.8 million. Historically, the Company has funded its operations principally through the sales of its products, issuance of equity securities, and debt financing.</w:t>
      </w:r>
    </w:p>
    <w:p>
      <w:pPr>
        <w:pStyle w:val="TextBody"/>
        <w:bidi w:val="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for the next 12 months. Management believes that the Company’s cash, cash equivalents, and marketable securities will allow the Company to continue its planned operations for at least the next 12 months from the date of the issuance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Long-term debt described in Note 6 of the Consolidated Financial Statements, the Company will need to be in compliance with a minimum trailing 12-month net revenue at the end of each quarter and maintain a minimum quarterly cash and cash equivalents balance. If the Company cannot generate sufficient revenue in the future or maintain the cash balance, the Company may not be in compliance with the covenants and additional repayments may be necessary or the lender may call the debt. The Company was not in compliance with the trailing 12-month net revenue covenant for the first quarter of 2025. On March 31, 2025, the Company received a waiver related to the trailing 12-month net revenue covenant for the first quarter of 2025, which was set at $73.0 million. As of March 31, 2025, the Company was in compliance with all other financial covenants in the Credit Agreement (as defined in Note 6 of the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2024 filed with the SEC on February 13, 2025 and lodged with the Australian Securities Exchange (“ASX”) on February 14, 2025 (the “2024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the 2024 Annual Report that have had a material impact on the Company’s Consolidated Financial Statements. See the summary of the Company’s significant accounting policies set forth in the notes to its Consolidated Financial Statements included in the 2024 Annual Report.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The amendments affected by this ASU require (i) enhanced disclosures in connection with an entity's effective tax rate reconciliation and (ii) income taxes paid disaggregated by jurisdiction. These amendments are effective for annual periods beginning after December 15, 2024.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(Topic 220): Expense Disaggregation Disclosures</w:t>
      </w:r>
      <w:r>
        <w:rPr>
          <w:rFonts w:ascii="Times New Roman" w:hAnsi="Times New Roman"/>
          <w:color w:val="000000"/>
          <w:sz w:val="20"/>
        </w:rPr>
        <w:t>, which requires disaggregated disclosures of certain costs and expenses in the notes to financial statements. This guidance will be effective for annual reporting periods beginning after December 15, 2026, and for interim reporting periods beginning after December 15, 2027. Early adoption is permitted.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the useful lives of long-lived assets, accounting for marketable securities, income taxes, fair value of debt, fair value of warrants and stock-based compensation) and related disclosures. Estimates have been prepared based on the current and available information. However, actual results could differ from estimated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holds cash at deposit institutions in the amount of $2.0 million and $2.3 million as of March 31, 2025 and December 31, 2024, respectively. The Company does not have cash on deposit denominated in foreign currency in foreign institutions as of March 31, 2025 and December 31, 2024. As of March 31, 2025 and December 31, 2024, the Company held cash equivalents in the amounts of $12.9 million and $11.7 million,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and debt and other liabilities. As of March 31, 2025 and December 31, 2024, substantially all the Company’s cash and cash equivalents were deposited in accounts at financial institutions, and those deposited amounts exceed federally insured limits and are subject to the risk of bank failure.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2025, one commercial customer accounted for more than 10% of net accounts receivable and represented 11% of accounts receivable. For the three-months ended March 31, 2025 and 2024, no single customer accounted for more than 10% of revenues. As of December 31, 2024, two commercial customers accounted for more than 10% of accounts receivable. Customer A constituted 21% of the accounts receivable, while Customer B represented 11%.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mini RPK (collectively, the “RPKs”), PermeaDerm and Cohealyx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sale of the RECELL EOU, PermeaDerm and Cohealyx products are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(“ASC 606”). Revenue for the RECELL GO system is disaggregated between two accounting standards: (1) ASC 606 for the RPK and (2) ASC 842, </w:t>
      </w:r>
      <w:r>
        <w:rPr>
          <w:rFonts w:ascii="Times New Roman" w:hAnsi="Times New Roman"/>
          <w:i/>
          <w:color w:val="000000"/>
          <w:sz w:val="20"/>
        </w:rPr>
        <w:t xml:space="preserve">Leases </w:t>
      </w:r>
      <w:r>
        <w:rPr>
          <w:rFonts w:ascii="Times New Roman" w:hAnsi="Times New Roman"/>
          <w:color w:val="000000"/>
          <w:sz w:val="20"/>
        </w:rPr>
        <w:t>(“ASC 842”) for the RPD.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determine revenue recognition for contracts that are within the scope of ASC 606, the Company performs the following five steps: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Allocate the transaction price to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Recognize revenue when/as a performance obligation(s) is(are) satisfied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the Company must develop judgmental assumptions to determine the estimated SSP for each performance obligation identified in the contract. We utilize the observable SSP when available, which represents the price charged for the promised product or service when sold separately. When the SSP for our products or services are not directly observable, we determine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 </w:t>
      </w:r>
    </w:p>
    <w:p>
      <w:pPr>
        <w:pStyle w:val="TextBody"/>
        <w:bidi w:val="0"/>
        <w:jc w:val="left"/>
        <w:rPr>
          <w:rFonts w:ascii="Times New Roman" w:hAnsi="Times New Roman"/>
          <w:color w:val="000000"/>
          <w:sz w:val="20"/>
        </w:rPr>
      </w:pPr>
      <w:r>
        <w:rPr>
          <w:rFonts w:ascii="Times New Roman" w:hAnsi="Times New Roman"/>
          <w:color w:val="000000"/>
          <w:sz w:val="20"/>
        </w:rPr>
        <w:t>Most of the Company’s contracts have a single performance obligation. As such, 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ASC 606 and ASC 842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the lease term is for a major part of the economic life, the lease meets the classification criteria for sales-type lease. However, to determine if the contract results in a loss at the lease commencement date the Company evaluated the consideration in the contract. The consideration at lease commencement does not contain fixed payments, purchase options, penalty payments or residual value guarantees. The variable consideration is related to the sale of the RPKs. As the variable lease payments are not dependent on an index or rate, the variable consideration is excluded from consideration at contract inception resulting in a loss at lease commencement. As such, the Company classifies the lease as an operating lease.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an operating lease component, the RPD, and non-lease components, the RPKs. The lease component will be accounted for under the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 RPKs results in a 1/200 depreciation to the RPD.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amortized cost and estimated fair values of securities available-for-sale:</w:t>
      </w:r>
    </w:p>
    <w:p>
      <w:pPr>
        <w:pStyle w:val="TextBody"/>
        <w:bidi w:val="0"/>
        <w:jc w:val="left"/>
        <w:rPr/>
      </w:pPr>
      <w:r>
        <w:rPr/>
        <w:t> </w:t>
      </w:r>
    </w:p>
    <w:tbl>
      <w:tblPr>
        <w:tblW w:w="7705"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495"/>
        <w:gridCol w:w="391"/>
        <w:gridCol w:w="146"/>
        <w:gridCol w:w="146"/>
        <w:gridCol w:w="387"/>
        <w:gridCol w:w="499"/>
        <w:gridCol w:w="166"/>
        <w:gridCol w:w="146"/>
        <w:gridCol w:w="211"/>
        <w:gridCol w:w="67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354"/>
        <w:gridCol w:w="532"/>
        <w:gridCol w:w="146"/>
        <w:gridCol w:w="146"/>
        <w:gridCol w:w="495"/>
        <w:gridCol w:w="391"/>
        <w:gridCol w:w="146"/>
        <w:gridCol w:w="146"/>
        <w:gridCol w:w="211"/>
        <w:gridCol w:w="67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maturities of our available-for-sale securities are summarized in the following table using contractual maturities. Actual maturities may differ from contractual maturities due to obligations that are called or prepaid. </w:t>
      </w:r>
    </w:p>
    <w:p>
      <w:pPr>
        <w:pStyle w:val="TextBody"/>
        <w:bidi w:val="0"/>
        <w:spacing w:before="40" w:after="283"/>
        <w:jc w:val="left"/>
        <w:rPr/>
      </w:pPr>
      <w:r>
        <w:rPr/>
        <w:t> </w:t>
      </w:r>
    </w:p>
    <w:tbl>
      <w:tblPr>
        <w:tblW w:w="6712"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11"/>
        <w:gridCol w:w="676"/>
        <w:gridCol w:w="146"/>
        <w:gridCol w:w="146"/>
        <w:gridCol w:w="211"/>
        <w:gridCol w:w="676"/>
        <w:gridCol w:w="146"/>
        <w:gridCol w:w="146"/>
        <w:gridCol w:w="211"/>
        <w:gridCol w:w="6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expense, net, in the accompanying Consolidated Statements of Operations. The Company had a net unrealized loss of $1,000 and net unrealized gain of $14,000 as of March 31, 2025 and December 31, 2024, respectively. The Company did not have sales of investments during the three-months ended March 31, 2025 and 2024 that resulted in realized gains or losses. As of March 31, 2025 and December 31, 2024, the Company did not recognize credit losses. The Company has accrued interest income receivable of $103,000 and $121,000 as of March 31, 2025 and December 31, 2024, respectively, recorded in Prepaids and other current assets in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xml:space="preserve">,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438" w:type="dxa"/>
        <w:jc w:val="left"/>
        <w:tblInd w:w="0" w:type="dxa"/>
        <w:tblLayout w:type="fixed"/>
        <w:tblCellMar>
          <w:top w:w="28" w:type="dxa"/>
          <w:left w:w="28" w:type="dxa"/>
          <w:bottom w:w="28" w:type="dxa"/>
          <w:right w:w="28" w:type="dxa"/>
        </w:tblCellMar>
      </w:tblPr>
      <w:tblGrid>
        <w:gridCol w:w="4261"/>
        <w:gridCol w:w="211"/>
        <w:gridCol w:w="676"/>
        <w:gridCol w:w="146"/>
        <w:gridCol w:w="211"/>
        <w:gridCol w:w="676"/>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38" w:type="dxa"/>
        <w:jc w:val="left"/>
        <w:tblInd w:w="0" w:type="dxa"/>
        <w:tblLayout w:type="fixed"/>
        <w:tblCellMar>
          <w:top w:w="28" w:type="dxa"/>
          <w:left w:w="28" w:type="dxa"/>
          <w:bottom w:w="28" w:type="dxa"/>
          <w:right w:w="28" w:type="dxa"/>
        </w:tblCellMar>
      </w:tblPr>
      <w:tblGrid>
        <w:gridCol w:w="4261"/>
        <w:gridCol w:w="211"/>
        <w:gridCol w:w="676"/>
        <w:gridCol w:w="146"/>
        <w:gridCol w:w="211"/>
        <w:gridCol w:w="676"/>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our Level 3 financial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5"/>
        <w:gridCol w:w="325"/>
        <w:gridCol w:w="1051"/>
        <w:gridCol w:w="166"/>
        <w:gridCol w:w="372"/>
        <w:gridCol w:w="1117"/>
        <w:gridCol w:w="166"/>
        <w:gridCol w:w="327"/>
        <w:gridCol w:w="1049"/>
        <w:gridCol w:w="194"/>
        <w:gridCol w:w="403"/>
        <w:gridCol w:w="1085"/>
        <w:gridCol w:w="195"/>
      </w:tblGrid>
      <w:tr>
        <w:trPr/>
        <w:tc>
          <w:tcPr>
            <w:tcW w:w="37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Long-term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Long-term debt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earnings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other comprehensive loss</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 at fair value</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1 assets include money market instruments and are valued based upon observable market prices. The Company’s Level 1 liabilities include the Penny Warrants (as defined below) and are valued based upon observable market prices. Level 2 assets consist of U.S Treasury securities and U.S. Government Agency obligations.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it is recorded as Level 2. There were no transfers between fair value measurement levels during the periods ended March 31, 2025 and December 31, 2024.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rFonts w:ascii="Times New Roman" w:hAnsi="Times New Roman"/>
          <w:color w:val="000000"/>
          <w:sz w:val="20"/>
        </w:rPr>
      </w:pPr>
      <w:r>
        <w:rPr>
          <w:rFonts w:ascii="Times New Roman" w:hAnsi="Times New Roman"/>
          <w:color w:val="000000"/>
          <w:sz w:val="20"/>
        </w:rPr>
        <w:t>The fair value of the debt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debt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debt valuation.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debt is subject to net revenue requirements, the valuation of the debt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or the TTM revenues are equal to or higher than the targeted revenues per the Credit Agreement, as discussed in Note 6 of the Consolidated Financial Statements. MCS performs 100,000 iterations of various simulated revenues to determine the fair value of the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below assumptions were used in the MCS:</w:t>
      </w:r>
    </w:p>
    <w:p>
      <w:pPr>
        <w:pStyle w:val="TextBody"/>
        <w:bidi w:val="0"/>
        <w:jc w:val="left"/>
        <w:rPr/>
      </w:pPr>
      <w:r>
        <w:rPr/>
        <w:t> </w:t>
      </w:r>
    </w:p>
    <w:tbl>
      <w:tblPr>
        <w:tblW w:w="5688" w:type="dxa"/>
        <w:jc w:val="left"/>
        <w:tblInd w:w="0" w:type="dxa"/>
        <w:tblLayout w:type="fixed"/>
        <w:tblCellMar>
          <w:top w:w="28" w:type="dxa"/>
          <w:left w:w="28" w:type="dxa"/>
          <w:bottom w:w="28" w:type="dxa"/>
          <w:right w:w="28" w:type="dxa"/>
        </w:tblCellMar>
      </w:tblPr>
      <w:tblGrid>
        <w:gridCol w:w="1936"/>
        <w:gridCol w:w="293"/>
        <w:gridCol w:w="1147"/>
        <w:gridCol w:w="271"/>
        <w:gridCol w:w="350"/>
        <w:gridCol w:w="1375"/>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volatility</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discount rate</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i/>
          <w:color w:val="000000"/>
          <w:sz w:val="20"/>
        </w:rPr>
        <w:t>Warrant Liabilities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13, 2025, the Company issued 145,180 warrants with an exercise price of $0.01 per share (the “Penny Warrants”). The Penny Warrants were issued in connection with the Credit Agreement (as defined in Note 6 of the Consolidated Financial Statements). The fair value of the Penny Warrants liability was determined based on quoted prices in active markets, which represents a Level 1 measurement within the fair value hierarchy. The fair value of the Penny Warrants liability, which is reported within Warrant liabilities on the Consolidated Balance Sheets, is estimated by the Company based on the closing price of the Company’s Common Stock as quoted on the Nasdaq Capital Market (“Nasdaq”) under the ticker code, “RCEL”.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of the Credit Agreement (as defined in Note 6 of the Consolidated Financial Statements), the Company issued 409,661 warrants with an exercise price of $10.9847 per share (the “$10.9847 Warrants”). The fair value of the $10.9847 Warrants liability was determined based on significant inputs not observable in the market, which represents a Level 3 measurement within the fair value hierarchy. The fair value of the $10.9847 Warrants liability, which is reported within Warrant liabilities on the Consolidated Balance Sheets, is estimated by the Company based on the Black-Scholes option pricing model with the following key inputs:</w:t>
      </w:r>
    </w:p>
    <w:p>
      <w:pPr>
        <w:pStyle w:val="TextBody"/>
        <w:bidi w:val="0"/>
        <w:jc w:val="left"/>
        <w:rPr/>
      </w:pPr>
      <w:r>
        <w:rPr/>
        <w:t> </w:t>
      </w:r>
    </w:p>
    <w:tbl>
      <w:tblPr>
        <w:tblW w:w="5718" w:type="dxa"/>
        <w:jc w:val="left"/>
        <w:tblInd w:w="0" w:type="dxa"/>
        <w:tblLayout w:type="fixed"/>
        <w:tblCellMar>
          <w:top w:w="28" w:type="dxa"/>
          <w:left w:w="28" w:type="dxa"/>
          <w:bottom w:w="28" w:type="dxa"/>
          <w:right w:w="28" w:type="dxa"/>
        </w:tblCellMar>
      </w:tblPr>
      <w:tblGrid>
        <w:gridCol w:w="1966"/>
        <w:gridCol w:w="306"/>
        <w:gridCol w:w="1134"/>
        <w:gridCol w:w="271"/>
        <w:gridCol w:w="367"/>
        <w:gridCol w:w="1358"/>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EOU, RECELL GO RPK, RECELL GO mini RPK, PermeaDerm, and Cohealyx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RECELL GO RPD.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EOU, PermeaDerm, and Cohealyx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sale of the EOU, PermeaDerm and Cohealyx products are accounted for under ASC 606, as discussed in Note 2 of the Consolidated Financial Statements. See Note 11 of the Consolidated Financial Statements for additional information regarding the Company’s commitments with Stedical and Regenity.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RECELL GO and RECELL GO mini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for the RECELL GO device is disaggregated between two accounting standards: (1) ASC 606 for the RPK and (2) ASC 842 for the RPD. The RECELL GO and RECELL GO mini devices consist of single-use RPKs and a durable AC powered device, RPD. The Company enters into contracts with customers where it receives consideration for the single-use RPKs and does not receive additional consideration for the RPD. The consideration in the contract is allocated based on the SSP. Upon sale of the RPKs, the consideration is allocated to the lease and non-lease components. Consideration received for the RPK is recorded in Sales revenues in the Consolidated Statement of Operations and consideration for the lease is recorded in Lease revenue in the Consolidated Statement of Operations. During the three-months ended March 31, 2025, the Company recorded approximately $9.5 million in Sales revenue related to the RPKs and $189,000 in Lease revenue related to the RPD in the Consolidated Statement of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Distributor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international markets, the Company exclusively partners with third-party distributors (currently, COSMOTEC in Japan, PolyMedics Innovation GmbH, in Germany, and Revolution Surgical Pty Ltd in Australia and New Zealand).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of the Consolidated Financial Statements.</w:t>
      </w:r>
    </w:p>
    <w:p>
      <w:pPr>
        <w:pStyle w:val="TextBody"/>
        <w:bidi w:val="0"/>
        <w:jc w:val="left"/>
        <w:rPr>
          <w:rFonts w:ascii="Times New Roman" w:hAnsi="Times New Roman"/>
          <w:sz w:val="20"/>
        </w:rPr>
      </w:pPr>
      <w:r>
        <w:rPr>
          <w:rFonts w:ascii="Times New Roman" w:hAnsi="Times New Roman"/>
          <w:b/>
          <w:i/>
          <w:color w:val="000000"/>
          <w:sz w:val="20"/>
        </w:rPr>
        <w:t>Variable Consideration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w:t>
      </w:r>
    </w:p>
    <w:p>
      <w:pPr>
        <w:pStyle w:val="TextBody"/>
        <w:bidi w:val="0"/>
        <w:jc w:val="left"/>
        <w:rPr>
          <w:rFonts w:ascii="Times New Roman" w:hAnsi="Times New Roman"/>
          <w:sz w:val="20"/>
        </w:rPr>
      </w:pPr>
      <w:r>
        <w:rPr>
          <w:rFonts w:ascii="Times New Roman" w:hAnsi="Times New Roman"/>
          <w:i/>
          <w:color w:val="000000"/>
          <w:sz w:val="20"/>
        </w:rPr>
        <w:t>Volume Discounts</w:t>
      </w:r>
      <w:r>
        <w:rPr>
          <w:rFonts w:ascii="Times New Roman" w:hAnsi="Times New Roman"/>
          <w:color w:val="000000"/>
          <w:sz w:val="20"/>
        </w:rPr>
        <w:t xml:space="preserve"> — The Company generally provides contracted customers with volume discounts that are explicitly stated in the Company’s 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March 31, 2025 and December 31, 2024, the Company does not have any contract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recorded when the Company receives payment prior to satisfying its obligation to transfer goods to a customer. The Company had unsatisfied performance obligations of $348,000 and $357,000 as of March 31, 2025 and December 31, 2024, respectively. These balances are classified between current and long-term. As of March 31, 2025 and December 31, 2024, a total of $33,000 was included in Other current liabilities and $315,000 and $324,000, respectively, in Contract liabilities in the Consolidated Balance Sheets. As of December 31, 2023, the Company had an unsatisfied performance obligation of $390,000.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three-months ended March 31, 2025 and 2024, the Company recognized revenue of approximately $64,000 and $36,000, respectively, for amounts included in the beginning balance of Contract liabilities.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$348,000 and $357,000 as of March 31, 2025 and December 31, 2024, respectively. These amounts are classified between current and long-term in Other current liabilities and Contract liabilities in the Consolidated Balance Sheets. The Company expects to recognize approximately $33,000 as revenue in the next twelve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to Obtain and Fulfill a Contract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by customer type and by product. As noted in the segment footnote, the Company’s business consists of one reporting segment. A reconciliation of revenue by geographical region, customer type and product is provided in Note 10 of the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Long-term debt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18, 2023 (the “Closing Date”) the Company entered into a credit agreement, by and between the Company, as borrower, and an affiliate of OrbiMed Advisors, LLC (the “Lender”) as the lender and administrative agent (the “Credit Agreement”). The Credit Agreement provides for a five-year senior secured credit facility in an aggregate principal amount of up to $90.0 million, of which (i) $40.0 million was made available on the Closing Date (the “Initial Commitment Amount”), (ii) $25.0 million will be made available, at the Company’s discretion, on or prior to December 31, 2024, subject to certain net revenue requirements, and (iii) $25.0 million will be made available, at the Company’s discretion, on or prior to June 30, 2025, subject to certain net revenue covenants (the “Loan Facility”). The maturity date of the Credit Agreement is October 18, 2028 (“Maturity Date”). On the Closing date, the Company closed on the Initial Commitment Amount, less certain fees and expenses payable to or on behalf of the Lender. The Company received net proceeds of $38.8 million upon closing after deducting the Lender's transaction costs in connection with the Loan Facility.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the two additional tranches of available debt in the aggregate amount of $50.0 million and (2) remove the trailing 12-month revenue covenant for the fourth quarter of 2024, which was set at $67.5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13, 2025, the Lender and the Company mutually agreed to a fourth amendment (the “Fourth Amendment”) to the Credit Agreement. Under the terms of the Fourth Amendment, the Company and the Lender mutually agreed to amend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and Lender received the Penny Warrants. The $115.0 million revenue covenant for all subsequent quarters through the date of debt maturity remains in effect. On March 31, 2025, the Company received a waiver related to the trailing 12-month revenue covenant for the first quarter of 2025, and paid the Lender a fee. All revenue covenants for subsequent quarters remain in effect.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obligations under the Credit Agreement are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an exit fee of 3% on the principal amount of the loans as well as the applicable repayment premium. The repayment premium varies between 0.0% - 3.0% of the principal amount of the loan, depending on certain conditions that are defined in the Credit Agreement. The repayment premium may also incorporate the make-whole amount. The make-whole amount represents the remaining scheduled interest payments on the Loan Facility during the period commencing on the prepayment date through the 24-month anniversary of the Closing Date. The Credit Agreement further states that the Company will be required to repay portions of the principal amount of the Loan Facility if the Company does not achieve certain net revenue thresholds. If, for any quarter until the Maturity Date, the Company’s net revenue does not equal or exceed the applicable trailing 12-month amount as set forth in the Credit Agreement, then the Company shall repay, in equal quarterly installments of 5.0% of the outstanding principal amount of the Loan Facility on the date the net revenue amount was not satisfied, together with the exit fee and repayment premium, if applicable. The Company shall repay amounts outstanding in full immediately upon an acceleration as a result of an event of default as set forth in the Credit Agreement, together with a repayment premium and other fees. As of March 31, 2025, the Company has not made any repayments on the outstanding debt balance.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term of the Credit Agreement, interest payable in cash by the Company shall accrue on any outstanding debt at a rate per annum equal to the greater of (x) the SOFR rate for such period and (y) 4.00% plus, in either case, 8.00%. As of March 31, 2025, the interest rate was 12.32%. During an event of default, any outstanding amount will bear interest at a rate of 4.00% in excess of the otherwise applicable rate of interest. The Company paid certain fees with respect to the Credit Agreement, including an upfront fee, an unused fee on the undrawn portion of the Loan Facility, continues to pay an administration fee, and may have to pay a repayment premium and an exit fee, as well as certain other fees and expenses of the Lender.</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On March 31, 2025, the Company received a waiver related to the trailing 12-month revenue covenant for the first quarter of 2025, which was set at $73.0 million. As of March 31, 2025, the Company was in compliance with all other financial covenants in the Credit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Credit Agreement and the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and the guarantors will be required to maintain at least $10.0 million of unrestricted cash and cash equivalents.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Closing Date, the Company issued to an affiliate of the Lender the $10.9847 Warrants, with a term of 10 years from the issuance date. The $10.9847 Warrants contain customary share adjustment provisions, as well as weighted average price protection in certain circumstances.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13, 2025, as a condition to the execution of the Fourth Amendment, the Company issued to the Lender the Penny Warrants, with a term of 10 years from the issuance date. The Penny Warrants contain customary share adjustment provisions, as well as weighted average price protection in certain circumstances.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permitted under ASC 825, </w:t>
      </w:r>
      <w:r>
        <w:rPr>
          <w:rFonts w:ascii="Times New Roman" w:hAnsi="Times New Roman"/>
          <w:i/>
          <w:color w:val="000000"/>
          <w:sz w:val="20"/>
        </w:rPr>
        <w:t>Financial Instruments</w:t>
      </w:r>
      <w:r>
        <w:rPr>
          <w:rFonts w:ascii="Times New Roman" w:hAnsi="Times New Roman"/>
          <w:color w:val="000000"/>
          <w:sz w:val="20"/>
        </w:rPr>
        <w:t xml:space="preserve">, the Company elected the fair value option to record the long-term debt and warrants with changes in fair value recorded in the Consolidated Statements of Operations in Other expense, net. Changes related to instrument-specific credit risk are revalued by comparing the amount of the total change in fair value of the long-term debt to the amount of change in fair value that would have occurred if the Company’s credit spread had not changed between the reporting periods, and is recorded in Accumulated other comprehensive loss in the Consolidated Balance Sheets. The difference between the fair value of the long-term debt and the unpaid principal balance of $40.0 million is an additional liability of $1.5 million and an additional liability of $2.2 million as of March 31, 2025 and December 31, 2024, respectively. For changes in fair value, refer to Note 4 of the Consolidated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7. 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the inventory is as follows (in thousands): </w:t>
      </w:r>
    </w:p>
    <w:p>
      <w:pPr>
        <w:pStyle w:val="TextBody"/>
        <w:bidi w:val="0"/>
        <w:jc w:val="left"/>
        <w:rPr/>
      </w:pPr>
      <w:r>
        <w:rPr/>
        <w:t> </w:t>
      </w:r>
    </w:p>
    <w:tbl>
      <w:tblPr>
        <w:tblW w:w="4928" w:type="dxa"/>
        <w:jc w:val="left"/>
        <w:tblInd w:w="0" w:type="dxa"/>
        <w:tblLayout w:type="fixed"/>
        <w:tblCellMar>
          <w:top w:w="28" w:type="dxa"/>
          <w:left w:w="28" w:type="dxa"/>
          <w:bottom w:w="28" w:type="dxa"/>
          <w:right w:w="28" w:type="dxa"/>
        </w:tblCellMar>
      </w:tblPr>
      <w:tblGrid>
        <w:gridCol w:w="1426"/>
        <w:gridCol w:w="388"/>
        <w:gridCol w:w="1052"/>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values its inventories to reflect the lower of cost or net realizable value. Charges for estimated excess and obsolescence are recorded in Cost of sales in the Consolidated Statements of Operations and were $313,000 and $83,000 for the three-months ended March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intangible assets, net is as follows (in thousands): </w:t>
      </w:r>
    </w:p>
    <w:p>
      <w:pPr>
        <w:pStyle w:val="TextBody"/>
        <w:bidi w:val="0"/>
        <w:jc w:val="left"/>
        <w:rPr/>
      </w:pPr>
      <w:r>
        <w:rPr/>
        <w:t> </w:t>
      </w:r>
    </w:p>
    <w:tbl>
      <w:tblPr>
        <w:tblW w:w="10058" w:type="dxa"/>
        <w:jc w:val="left"/>
        <w:tblInd w:w="0" w:type="dxa"/>
        <w:tblLayout w:type="fixed"/>
        <w:tblCellMar>
          <w:top w:w="28" w:type="dxa"/>
          <w:left w:w="28" w:type="dxa"/>
          <w:bottom w:w="28" w:type="dxa"/>
          <w:right w:w="28" w:type="dxa"/>
        </w:tblCellMar>
      </w:tblPr>
      <w:tblGrid>
        <w:gridCol w:w="1951"/>
        <w:gridCol w:w="510"/>
        <w:gridCol w:w="1110"/>
        <w:gridCol w:w="146"/>
        <w:gridCol w:w="211"/>
        <w:gridCol w:w="571"/>
        <w:gridCol w:w="146"/>
        <w:gridCol w:w="343"/>
        <w:gridCol w:w="783"/>
        <w:gridCol w:w="166"/>
        <w:gridCol w:w="211"/>
        <w:gridCol w:w="571"/>
        <w:gridCol w:w="146"/>
        <w:gridCol w:w="211"/>
        <w:gridCol w:w="571"/>
        <w:gridCol w:w="146"/>
        <w:gridCol w:w="343"/>
        <w:gridCol w:w="783"/>
        <w:gridCol w:w="166"/>
        <w:gridCol w:w="211"/>
        <w:gridCol w:w="57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2</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3</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4</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5</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6</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Regenity License</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three-months ended March 31, 2025 and 2024, the Company did not identify any events or changes in circumstances that indicated that the carrying value of its intangibles may not be recoverable. As such, there was no impairment of intangible assets recognized for the three-months ended March 31, 2025 and 2024. Amortization expense of intangibles included in the Consolidated Statements of Operations was $135,000 and $17,000 for the three-months ended March 31, 2025 and 2024, respectively. Due to Regenity receiving 510(k) clearance for Cohealyx in December 2024, the Company recorded a license (the “Regenity License”) of $5.0 million. For further details refer to Note 11 of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the future amortization of amortizable intangible assets held at March 31, 2025 to be as follows (in thousands):</w:t>
      </w:r>
    </w:p>
    <w:p>
      <w:pPr>
        <w:pStyle w:val="TextBody"/>
        <w:bidi w:val="0"/>
        <w:jc w:val="left"/>
        <w:rPr/>
      </w:pPr>
      <w:r>
        <w:rPr/>
        <w:t> </w:t>
      </w:r>
    </w:p>
    <w:tbl>
      <w:tblPr>
        <w:tblW w:w="5059" w:type="dxa"/>
        <w:jc w:val="left"/>
        <w:tblInd w:w="0" w:type="dxa"/>
        <w:tblLayout w:type="fixed"/>
        <w:tblCellMar>
          <w:top w:w="28" w:type="dxa"/>
          <w:left w:w="28" w:type="dxa"/>
          <w:bottom w:w="28" w:type="dxa"/>
          <w:right w:w="28" w:type="dxa"/>
        </w:tblCellMar>
      </w:tblPr>
      <w:tblGrid>
        <w:gridCol w:w="1681"/>
        <w:gridCol w:w="146"/>
        <w:gridCol w:w="146"/>
        <w:gridCol w:w="780"/>
        <w:gridCol w:w="2115"/>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plant and equipment, net is as follows (in thousands): </w:t>
      </w:r>
    </w:p>
    <w:p>
      <w:pPr>
        <w:pStyle w:val="TextBody"/>
        <w:bidi w:val="0"/>
        <w:jc w:val="left"/>
        <w:rPr/>
      </w:pPr>
      <w:r>
        <w:rPr/>
        <w:t> </w:t>
      </w:r>
    </w:p>
    <w:tbl>
      <w:tblPr>
        <w:tblW w:w="9859" w:type="dxa"/>
        <w:jc w:val="left"/>
        <w:tblInd w:w="0" w:type="dxa"/>
        <w:tblLayout w:type="fixed"/>
        <w:tblCellMar>
          <w:top w:w="28" w:type="dxa"/>
          <w:left w:w="28" w:type="dxa"/>
          <w:bottom w:w="28" w:type="dxa"/>
          <w:right w:w="28" w:type="dxa"/>
        </w:tblCellMar>
      </w:tblPr>
      <w:tblGrid>
        <w:gridCol w:w="4111"/>
        <w:gridCol w:w="2206"/>
        <w:gridCol w:w="361"/>
        <w:gridCol w:w="1079"/>
        <w:gridCol w:w="166"/>
        <w:gridCol w:w="409"/>
        <w:gridCol w:w="131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 (“CIP”)</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other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life or lease term</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molds</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 CIP</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 RPD</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 uses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plant and equipment, net</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Construction in progress consists primarily of leasehold improvements for the renovations to the Ventura production facility, and RECELL GO RPD CIP consists of materials for the manufacture of the RPDs. RPDs have a useful life of 200 uses and are being amortized based on customer usage as determined by orders placed for the sales of the RPKs. RECELL GO RPD represents assets available to be leased by customers and are not depreciated until leased.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related to plant and equipment was $385,000 and $186,000 for the three-months ended March 31, 2025 and 2024, respectively. No impairment was recorded for the three-months ended March 31, 2025 and 2024.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Lessor Arrangements</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discussed in Note 5 </w:t>
      </w:r>
      <w:r>
        <w:rPr>
          <w:rFonts w:ascii="Times New Roman" w:hAnsi="Times New Roman"/>
          <w:color w:val="000000"/>
          <w:sz w:val="18"/>
        </w:rPr>
        <w:t>o</w:t>
      </w:r>
      <w:r>
        <w:rPr>
          <w:rFonts w:ascii="Times New Roman" w:hAnsi="Times New Roman"/>
          <w:color w:val="000000"/>
          <w:sz w:val="20"/>
        </w:rPr>
        <w:t>f the Consolidated Financial Statements, the contracts for the RECELL GO device include an operating lease for the customer’s right to use the RPD. The lease arrangement does not contain fixed consideration. Variable lease payments are not included in consideration at lease inception. The variable consideration related to the lease is allocated based on the SSP and is recognized when control of the RPKs is transferred to the customer.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Lease revenue as presented in the Consolidated Statement of Operations for the three-months ended March 31, 2025 and 2024.</w:t>
      </w:r>
    </w:p>
    <w:p>
      <w:pPr>
        <w:pStyle w:val="TextBody"/>
        <w:bidi w:val="0"/>
        <w:jc w:val="both"/>
        <w:rPr/>
      </w:pPr>
      <w:r>
        <w:rPr/>
        <w:t> </w:t>
      </w:r>
    </w:p>
    <w:tbl>
      <w:tblPr>
        <w:tblW w:w="5273" w:type="dxa"/>
        <w:jc w:val="left"/>
        <w:tblInd w:w="0" w:type="dxa"/>
        <w:tblLayout w:type="fixed"/>
        <w:tblCellMar>
          <w:top w:w="28" w:type="dxa"/>
          <w:left w:w="28" w:type="dxa"/>
          <w:bottom w:w="28" w:type="dxa"/>
          <w:right w:w="28" w:type="dxa"/>
        </w:tblCellMar>
      </w:tblPr>
      <w:tblGrid>
        <w:gridCol w:w="1951"/>
        <w:gridCol w:w="479"/>
        <w:gridCol w:w="961"/>
        <w:gridCol w:w="251"/>
        <w:gridCol w:w="665"/>
        <w:gridCol w:w="77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held for lease and included in Plant and equipment consisted of the following (in thousands):</w:t>
      </w:r>
    </w:p>
    <w:p>
      <w:pPr>
        <w:pStyle w:val="TextBody"/>
        <w:bidi w:val="0"/>
        <w:jc w:val="left"/>
        <w:rPr/>
      </w:pPr>
      <w:r>
        <w:rPr/>
        <w:t> </w:t>
      </w:r>
    </w:p>
    <w:tbl>
      <w:tblPr>
        <w:tblW w:w="5808" w:type="dxa"/>
        <w:jc w:val="left"/>
        <w:tblInd w:w="0" w:type="dxa"/>
        <w:tblLayout w:type="fixed"/>
        <w:tblCellMar>
          <w:top w:w="28" w:type="dxa"/>
          <w:left w:w="28" w:type="dxa"/>
          <w:bottom w:w="28" w:type="dxa"/>
          <w:right w:w="28" w:type="dxa"/>
        </w:tblCellMar>
      </w:tblPr>
      <w:tblGrid>
        <w:gridCol w:w="2266"/>
        <w:gridCol w:w="388"/>
        <w:gridCol w:w="1052"/>
        <w:gridCol w:w="166"/>
        <w:gridCol w:w="465"/>
        <w:gridCol w:w="1260"/>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RPD assets</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rental RPD assets</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Reporting Segment and Geographic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in one reporting segment. Long-lived assets are primarily located in the United States as of March 31, 2025 and December 31, 2024.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by region for the three-months ended March 31, 2025 and 2024 were as follows (in thousands): </w:t>
      </w:r>
    </w:p>
    <w:tbl>
      <w:tblPr>
        <w:tblW w:w="4943" w:type="dxa"/>
        <w:jc w:val="left"/>
        <w:tblInd w:w="0" w:type="dxa"/>
        <w:tblLayout w:type="fixed"/>
        <w:tblCellMar>
          <w:top w:w="28" w:type="dxa"/>
          <w:left w:w="28" w:type="dxa"/>
          <w:bottom w:w="28" w:type="dxa"/>
          <w:right w:w="28" w:type="dxa"/>
        </w:tblCellMar>
      </w:tblPr>
      <w:tblGrid>
        <w:gridCol w:w="1726"/>
        <w:gridCol w:w="342"/>
        <w:gridCol w:w="1098"/>
        <w:gridCol w:w="146"/>
        <w:gridCol w:w="342"/>
        <w:gridCol w:w="1098"/>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region:</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Revenue by customer type for the three-months ended March 31, 2025 and 2024 were as follows (in thousands):</w:t>
      </w:r>
    </w:p>
    <w:tbl>
      <w:tblPr>
        <w:tblW w:w="6653" w:type="dxa"/>
        <w:jc w:val="left"/>
        <w:tblInd w:w="0" w:type="dxa"/>
        <w:tblLayout w:type="fixed"/>
        <w:tblCellMar>
          <w:top w:w="28" w:type="dxa"/>
          <w:left w:w="28" w:type="dxa"/>
          <w:bottom w:w="28" w:type="dxa"/>
          <w:right w:w="28" w:type="dxa"/>
        </w:tblCellMar>
      </w:tblPr>
      <w:tblGrid>
        <w:gridCol w:w="3436"/>
        <w:gridCol w:w="342"/>
        <w:gridCol w:w="1098"/>
        <w:gridCol w:w="146"/>
        <w:gridCol w:w="342"/>
        <w:gridCol w:w="1098"/>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customer type:</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commercial revenue recognized</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revenue for right of first access</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Commercial revenue by product for the three-months ended March 31, 2025 and 2024 were as follows (in thousands):</w:t>
      </w:r>
    </w:p>
    <w:tbl>
      <w:tblPr>
        <w:tblW w:w="6008" w:type="dxa"/>
        <w:jc w:val="left"/>
        <w:tblInd w:w="0" w:type="dxa"/>
        <w:tblLayout w:type="fixed"/>
        <w:tblCellMar>
          <w:top w:w="28" w:type="dxa"/>
          <w:left w:w="28" w:type="dxa"/>
          <w:bottom w:w="28" w:type="dxa"/>
          <w:right w:w="28" w:type="dxa"/>
        </w:tblCellMar>
      </w:tblPr>
      <w:tblGrid>
        <w:gridCol w:w="2791"/>
        <w:gridCol w:w="342"/>
        <w:gridCol w:w="1098"/>
        <w:gridCol w:w="146"/>
        <w:gridCol w:w="342"/>
        <w:gridCol w:w="1098"/>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revenue by product:</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wound care products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commercial sales</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Consolidated net loss by segment for the three-months ended March 31, 2025 and 2024 were as follows (in thousands):</w:t>
      </w:r>
    </w:p>
    <w:tbl>
      <w:tblPr>
        <w:tblW w:w="5534" w:type="dxa"/>
        <w:jc w:val="left"/>
        <w:tblInd w:w="0" w:type="dxa"/>
        <w:tblLayout w:type="fixed"/>
        <w:tblCellMar>
          <w:top w:w="28" w:type="dxa"/>
          <w:left w:w="28" w:type="dxa"/>
          <w:bottom w:w="28" w:type="dxa"/>
          <w:right w:w="28" w:type="dxa"/>
        </w:tblCellMar>
      </w:tblPr>
      <w:tblGrid>
        <w:gridCol w:w="2311"/>
        <w:gridCol w:w="146"/>
        <w:gridCol w:w="287"/>
        <w:gridCol w:w="1003"/>
        <w:gridCol w:w="166"/>
        <w:gridCol w:w="287"/>
        <w:gridCol w:w="1003"/>
        <w:gridCol w:w="33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March 31, 2025 and December 31, 2024, the Company did not have any outstanding or threatened litigation that would have a material impact on the Consolidated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Commitments with Stedical</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 entered into the Distribution Agreement with Stedical. Under the terms of the Distribution Agreement, the Company held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17, 2025, the Company and Stedical entered into an Amendment Two (the “Amendment”) of the Distribution Agreement. Under the terms of the Amendment, the Company’s share of revenue from PermeaDerm sales increased from 50% to 60% and Stedical becomes eligible for certain milestone payments conditioned upon AVITA Medical’s achievement of specified sales targets. For 2025, the Company is required to reach $6.0 million in gross sales of PermeaDerm. For every year thereafter, the Company must achieve a minimum 20% increase in revenue from sale of PermeaDerm. In the event the Company fails to achieve the specified growth rate for two subsequent years, the Company will be required to make a cash payment to Stedical equal to the difference between what Stedical would have received if that growth target was met for that second year and the amount of payments that were made to Stedical during that second year. In addition, under the terms of the Amendment, Stedical’s share from the sale of PermeaDerm is reduced by the Company’s actual cost to manufacture PermeaDerm. The Amendment revises the initial term of the Distribution Agreement to ten years from the date of the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is for ten years.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and Distribution Agreement with Regenity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31, 2024, the Company entered into the Regenity Agreement to market, sell, and distribute Cohealyx, a unique collagen-based dermal matrix under the Company's private label in the U.S., with the potential to commercialize the product in countries in the European Union, as well as in Japan and Australia. The initial term of the Regenity Agreement is five years, with an automatic extension of an additional five years, contingent upon meeting certain criteria. The Regenity Agreement also requires the Company to meet certain revenue targets in order to maintain its exclusive distribution rights. In the event the Company fails to meet those revenue targets, the Company will be required to make a cash payment to Regenity equal to the difference between what Regenity would have received if the revenue target was met and the amount of payments that were made to Regenity during the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Regenity Agreement, the Company made a $2.0 million payment upon receipt of 510(k) clearance by Regenity in December 2024. The Company has a further obligation to make up to an additional $3.0 million payment on or before January 4, 2026 to guarantee development and manufacturing capacity (and related resources), contingent on positive results of certain clinical studies related to Cohealyx. As such, upon Regenity receiving 501(k) clearance in December 2024, the Company recorded $5.0 million in Intangible assets, net on the Consolidated Balance Sheets. As of March 31, 2025 and December 31, 2024, the Company recorded $3.0 million in Contingent liability and $3.0 million in Contingent liability, long-term, respectively, on the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12.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CHESS Depositary Interests (“CDIs”) are quoted on the ASX under the ticker code, “AVH.” The Company’s shares of Common stock are quoted on Nasdaq under the ticker code, “RCEL.” One share of Common Stock on Nasdaq is equivalent to five CDIs on the ASX.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authorized to issue 200,000,000 shares of Common stock, par value $0.0001 per share, and 10,000,000 shares of preferred stock, par value $0.0001 per share, issuable in one or more series as designated by the Company’s board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No other class of capital stock is authorized. As of March 31, 2025 and December 31, 2024, 26,434,658 and 26,354,042 shares of Common stock, respectively, were issued and outstanding and no shares of Preferred stock were outstanding during any period.</w:t>
      </w:r>
    </w:p>
    <w:p>
      <w:pPr>
        <w:pStyle w:val="TextBody"/>
        <w:bidi w:val="0"/>
        <w:jc w:val="left"/>
        <w:rPr>
          <w:rFonts w:ascii="Times New Roman" w:hAnsi="Times New Roman"/>
          <w:color w:val="000000"/>
          <w:sz w:val="20"/>
        </w:rPr>
      </w:pPr>
      <w:r>
        <w:rPr>
          <w:rFonts w:ascii="Times New Roman" w:hAnsi="Times New Roman"/>
          <w:color w:val="000000"/>
          <w:sz w:val="20"/>
        </w:rPr>
        <w:t xml:space="preserve">Common stock held in the rabbi trust is classified in a manner similar to treasury stock and presented separately on the Consolidated Balance Sheets as Common stock held by the NQDC Plan. As of March 31, 2025 and December 31, 2024, a total of 126,506 and 244,218 shares awards have been deferred, respectively. Vested shares are converted to Common stock and are reclassified to permanent equity. </w:t>
      </w:r>
    </w:p>
    <w:p>
      <w:pPr>
        <w:pStyle w:val="TextBody"/>
        <w:bidi w:val="0"/>
        <w:spacing w:before="360" w:after="283"/>
        <w:jc w:val="left"/>
        <w:rPr>
          <w:rFonts w:ascii="Times New Roman" w:hAnsi="Times New Roman"/>
          <w:sz w:val="20"/>
        </w:rPr>
      </w:pPr>
      <w:r>
        <w:rPr>
          <w:rFonts w:ascii="Times New Roman" w:hAnsi="Times New Roman"/>
          <w:b/>
          <w:color w:val="000000"/>
          <w:sz w:val="20"/>
        </w:rPr>
        <w:t>13. Stock-Based Payment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Stock-Based Payment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hAnsi="Times New Roman"/>
          <w:i/>
          <w:color w:val="000000"/>
          <w:sz w:val="20"/>
        </w:rPr>
        <w:t>, Simplifying the Accounting for Share-Based Payment.</w:t>
      </w:r>
      <w:r>
        <w:rPr>
          <w:rFonts w:ascii="Times New Roman" w:hAnsi="Times New Roman"/>
          <w:color w:val="000000"/>
          <w:sz w:val="20"/>
        </w:rPr>
        <w:t xml:space="preserve"> No income tax benefit was recognized in the Consolidated Statements of Operations for stock-based payment arrangements for the three-months ended March 31, 2025 and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stockholders approved the Company’s Employee Stock Purchase Plan (the “ESPP”), which became effective on July 1, 2023. On June 30, 2023, the Company filed a Registration Statement on Form S-8 to register 1,000,000 shares of Common stock under the ESPP, as a result of the Company’s stockholders approving the ESPP at the 2023 Annual Meeting. The ESPP features two six-month offering periods per year, running from June 1 to November 30 and December 1 to May 31.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for all equity awards and the ESPP as part of operating expenses in the accompanying Consolidated Statements of Operations as follows:</w:t>
      </w:r>
    </w:p>
    <w:p>
      <w:pPr>
        <w:pStyle w:val="TextBody"/>
        <w:bidi w:val="0"/>
        <w:jc w:val="left"/>
        <w:rPr/>
      </w:pPr>
      <w:r>
        <w:rPr/>
        <w:t> </w:t>
      </w:r>
    </w:p>
    <w:tbl>
      <w:tblPr>
        <w:tblW w:w="6323" w:type="dxa"/>
        <w:jc w:val="left"/>
        <w:tblInd w:w="0" w:type="dxa"/>
        <w:tblLayout w:type="fixed"/>
        <w:tblCellMar>
          <w:top w:w="28" w:type="dxa"/>
          <w:left w:w="28" w:type="dxa"/>
          <w:bottom w:w="28" w:type="dxa"/>
          <w:right w:w="28" w:type="dxa"/>
        </w:tblCellMar>
      </w:tblPr>
      <w:tblGrid>
        <w:gridCol w:w="3091"/>
        <w:gridCol w:w="388"/>
        <w:gridCol w:w="1052"/>
        <w:gridCol w:w="161"/>
        <w:gridCol w:w="388"/>
        <w:gridCol w:w="105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March 31, 2025, and changes during the period ended,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7"/>
        <w:gridCol w:w="286"/>
        <w:gridCol w:w="1829"/>
        <w:gridCol w:w="166"/>
        <w:gridCol w:w="429"/>
        <w:gridCol w:w="2301"/>
        <w:gridCol w:w="166"/>
        <w:gridCol w:w="221"/>
        <w:gridCol w:w="1415"/>
        <w:gridCol w:w="215"/>
      </w:tblGrid>
      <w:tr>
        <w:trPr/>
        <w:tc>
          <w:tcPr>
            <w:tcW w:w="3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 Options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December 31, 2024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3,540,208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March 31, 2025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4,518,622</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1,561,969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March 31, 2025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4,518,622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March 31, 2025, and changes that occurred during the period, is presented below: </w:t>
      </w:r>
    </w:p>
    <w:p>
      <w:pPr>
        <w:pStyle w:val="TextBody"/>
        <w:bidi w:val="0"/>
        <w:jc w:val="left"/>
        <w:rPr/>
      </w:pPr>
      <w:r>
        <w:rPr/>
        <w:t> </w:t>
      </w:r>
    </w:p>
    <w:tbl>
      <w:tblPr>
        <w:tblW w:w="9049" w:type="dxa"/>
        <w:jc w:val="left"/>
        <w:tblInd w:w="0" w:type="dxa"/>
        <w:tblLayout w:type="fixed"/>
        <w:tblCellMar>
          <w:top w:w="28" w:type="dxa"/>
          <w:left w:w="28" w:type="dxa"/>
          <w:bottom w:w="28" w:type="dxa"/>
          <w:right w:w="28" w:type="dxa"/>
        </w:tblCellMar>
      </w:tblPr>
      <w:tblGrid>
        <w:gridCol w:w="4216"/>
        <w:gridCol w:w="280"/>
        <w:gridCol w:w="1505"/>
        <w:gridCol w:w="166"/>
        <w:gridCol w:w="270"/>
        <w:gridCol w:w="1170"/>
        <w:gridCol w:w="166"/>
        <w:gridCol w:w="167"/>
        <w:gridCol w:w="898"/>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Tenure-Based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w:t>
              <w:br/>
              <w:t>Condition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December 31, 2024</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March 31, 2025</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Tax expense for the three-months ended March 31, 2025 and 2024 was $8,000 and $30,000, respectively. These amounts are related to state minimum taxes. </w:t>
      </w:r>
    </w:p>
    <w:p>
      <w:pPr>
        <w:pStyle w:val="TextBody"/>
        <w:bidi w:val="0"/>
        <w:spacing w:before="36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p>
      <w:pPr>
        <w:pStyle w:val="TextBody"/>
        <w:bidi w:val="0"/>
        <w:spacing w:before="120" w:after="283"/>
        <w:jc w:val="left"/>
        <w:rPr/>
      </w:pPr>
      <w:r>
        <w:rPr/>
        <w:t> </w:t>
      </w:r>
    </w:p>
    <w:tbl>
      <w:tblPr>
        <w:tblW w:w="8508" w:type="dxa"/>
        <w:jc w:val="left"/>
        <w:tblInd w:w="0" w:type="dxa"/>
        <w:tblLayout w:type="fixed"/>
        <w:tblCellMar>
          <w:top w:w="28" w:type="dxa"/>
          <w:left w:w="28" w:type="dxa"/>
          <w:bottom w:w="28" w:type="dxa"/>
          <w:right w:w="28" w:type="dxa"/>
        </w:tblCellMar>
      </w:tblPr>
      <w:tblGrid>
        <w:gridCol w:w="5551"/>
        <w:gridCol w:w="287"/>
        <w:gridCol w:w="1003"/>
        <w:gridCol w:w="166"/>
        <w:gridCol w:w="287"/>
        <w:gridCol w:w="1003"/>
        <w:gridCol w:w="211"/>
      </w:tblGrid>
      <w:tr>
        <w:trPr/>
        <w:tc>
          <w:tcPr>
            <w:tcW w:w="55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per share amounts)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023" w:type="dxa"/>
        <w:jc w:val="left"/>
        <w:tblInd w:w="0" w:type="dxa"/>
        <w:tblLayout w:type="fixed"/>
        <w:tblCellMar>
          <w:top w:w="28" w:type="dxa"/>
          <w:left w:w="28" w:type="dxa"/>
          <w:bottom w:w="28" w:type="dxa"/>
          <w:right w:w="28" w:type="dxa"/>
        </w:tblCellMar>
      </w:tblPr>
      <w:tblGrid>
        <w:gridCol w:w="5806"/>
        <w:gridCol w:w="195"/>
        <w:gridCol w:w="1245"/>
        <w:gridCol w:w="146"/>
        <w:gridCol w:w="195"/>
        <w:gridCol w:w="1245"/>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basic net loss per share is calculated by dividing the net loss by the weighted-average number of shares of common stock outstanding for the relevant period. In accordance with ASC 710-10, </w:t>
      </w:r>
      <w:r>
        <w:rPr>
          <w:rFonts w:ascii="Times New Roman" w:hAnsi="Times New Roman"/>
          <w:i/>
          <w:color w:val="000000"/>
          <w:sz w:val="20"/>
        </w:rPr>
        <w:t>Compensation - General</w:t>
      </w:r>
      <w:r>
        <w:rPr>
          <w:rFonts w:ascii="Times New Roman" w:hAnsi="Times New Roman"/>
          <w:color w:val="000000"/>
          <w:sz w:val="20"/>
        </w:rPr>
        <w:t xml:space="preserve">, 126,506 shares of Common stock held by the rabbi trust are excluded from the denominator in the basic and diluted net loss per common share calculations.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ended March 31, 2025 and 2024, diluted net loss per common share is the same as the basic net loss per share for those periods.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Consolidated Financial Statements and related notes appearing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conditions, or developments in future periods.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information and any forward-looking statements should be considered in light of factors discussed elsewhere in this Quarterly Report on Form 10-Q, including those risks referenced under Part II, 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We caution readers not to place undue reliance on any forward-looking statements made by us, which speak only as of the date they are made. We disclaim any obligation, except as specifically required by law and the rules regulations of the Securities and Exchange Commission (the “SEC”) and the Australian Securities and Investments Commission (the “ASIC”), to publicly update or revise any such statements to reflect any change in our expectations or in events, conditions or circumstances under which any such statements may be based, or that may affect the likelihood that actual results will differ from those set forth in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Please see “Note Regarding Forward-Looking Statements” on page 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(“we”, “our”, “us”) is a leading therapeutic acute wound care company delivering transformative solutions. Our technologies are designed to optimize wound healing, effectively accelerating the time to patient recovery. Our solutions improve the healing outcomes for patients with traumatic injuries and surgical repairs, addressing critical healing needs that arise from unpredictable and life-changing events. At the forefront of our portfolio is our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offering an innovative solution for improved clinical outcomes at the point of care. In the United States, we also hold the rights to market, sell, manufacture, and distribute PermeaDerm</w:t>
      </w:r>
      <w:r>
        <w:rPr>
          <w:rFonts w:ascii="Times New Roman" w:hAnsi="Times New Roman"/>
          <w:color w:val="000000"/>
          <w:sz w:val="13"/>
        </w:rPr>
        <w:t>®</w:t>
      </w:r>
      <w:r>
        <w:rPr>
          <w:rFonts w:ascii="Times New Roman" w:hAnsi="Times New Roman"/>
          <w:color w:val="000000"/>
          <w:sz w:val="20"/>
        </w:rPr>
        <w:t>, a biosynthetic wound matrix, under the terms of exclusive multi-year distribution and contract manufacturing agreements with Stedical Scientific, Inc. (“Stedical”). We also entered into an exclusive multi-year development and distribution agreement with Collagen Matrix, Inc. dba Regenity Biosciences (“Regenity”). Regenity will manufacture and supply Cohealyx</w:t>
      </w:r>
      <w:r>
        <w:rPr>
          <w:rFonts w:ascii="Times New Roman" w:hAnsi="Times New Roman"/>
          <w:color w:val="000000"/>
          <w:sz w:val="13"/>
        </w:rPr>
        <w:t></w:t>
      </w:r>
      <w:r>
        <w:rPr>
          <w:rFonts w:ascii="Times New Roman" w:hAnsi="Times New Roman"/>
          <w:color w:val="000000"/>
          <w:sz w:val="20"/>
        </w:rPr>
        <w:t>, an AVITA Medical-branded, FDA-cleared, collagen-based dermal matrix. Under the agreement, we will hold the exclusive rights to market, sell, and distribute Cohealyx in the U.S., with potential expansion into the European Union, Australia, and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Our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support greater consistency and standardization across clinical settings. It consists of two components: the RECELL GO Processing Device (the “RPD”) and the RECELL GO Preparation Kit (the “RPK”). The RPD is a multi-use, AC-powered device that controls the RPK. The RPK is a single-use cartridge that contains the RECELL Enzyme</w:t>
      </w:r>
      <w:r>
        <w:rPr>
          <w:rFonts w:ascii="Times New Roman" w:hAnsi="Times New Roman"/>
          <w:color w:val="000000"/>
          <w:sz w:val="13"/>
        </w:rPr>
        <w:t></w:t>
      </w:r>
      <w:r>
        <w:rPr>
          <w:rFonts w:ascii="Times New Roman" w:hAnsi="Times New Roman"/>
          <w:color w:val="000000"/>
          <w:sz w:val="20"/>
        </w:rPr>
        <w:t>. The RPD regulates the pressure applied to disaggregate the cells and precisely controls the incubation time of the RECELL Enzyme to optimize cell yield and promote cell viability. RECELL GO mini</w:t>
      </w:r>
      <w:r>
        <w:rPr>
          <w:rFonts w:ascii="Times New Roman" w:hAnsi="Times New Roman"/>
          <w:color w:val="000000"/>
          <w:sz w:val="13"/>
        </w:rPr>
        <w:t></w:t>
      </w:r>
      <w:r>
        <w:rPr>
          <w:rFonts w:ascii="Times New Roman" w:hAnsi="Times New Roman"/>
          <w:color w:val="000000"/>
          <w:sz w:val="20"/>
        </w:rPr>
        <w:t xml:space="preserve"> Autologous Cell Harvesting Device (“RECELL GO mini”), which was approved by the FDA in December 2024, is a line extension of the RECELL GO system,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RPD but features a RECELL GO mini Preparation Kit, which includes a single-use RECELL GO mini cartridge optimized for smaller skin samples. These modifications are intended to align with the needs of clinicians treating smaller wounds. This design aims to support broaden adoption of the RECELL GO platform in trauma centers.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To further our mission of improving clinical outcomes and establishing new standards of acute wound care, we have outlined the following strategic objectives: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 market penetration in U.S. burn centers, positioning RECELL GO as the standard of care in burn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adoption of RECELL GO for the treatment of full-thickness skin defects throughout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adoption of RECELL GO mini in trauma and burn centers treating smaller wounds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adoption of Cohealyx after full commercial launch on April 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a post-market study of Cohealyx in 2025 to develop clinical data to further support continuing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a post-market study of PermeaDerm in 2025 to develop clinical data to further support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additional business development opportunities complementary to our target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CE mark for RECELL GO, allowing us to market RECELL GO in the European Union, the U.K., and Australia under existing distribution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Drive commercial revenue growth, generate positive cash flow, and achieve operating profitability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macroeconomic environment may have unexpected adverse effects on businesses and healthcare institutions globally that may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conditions and geopolitical conditions. If these conditions continue or worsen, they could adversely impact our future operating results. </w:t>
      </w:r>
    </w:p>
    <w:p>
      <w:pPr>
        <w:pStyle w:val="TextBody"/>
        <w:bidi w:val="0"/>
        <w:jc w:val="left"/>
        <w:rPr>
          <w:rFonts w:ascii="Times New Roman" w:hAnsi="Times New Roman"/>
          <w:color w:val="000000"/>
          <w:sz w:val="20"/>
        </w:rPr>
      </w:pPr>
      <w:r>
        <w:rPr>
          <w:rFonts w:ascii="Times New Roman" w:hAnsi="Times New Roman"/>
          <w:color w:val="000000"/>
          <w:sz w:val="20"/>
        </w:rPr>
        <w:t>Changes in reimbursement rates and coverage policy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Ukraine or the Middle East, the continuation of the military conflicts in these regions and/or an escalation of the conflicts beyond their current scope may further weaken the global economy that could result in additional inflationary pressures or supply chain constraints.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 2025, we initiated a full commercial launch of Cohealyx, a collagen-based dermal matrix branded by AVITA Medical and co-developed with Regenity. Cohealyx is designed to support cellular migration and revascularization, advancing readiness for wound bed closure. In pre-clinical and initial clinical utilization, Cohealyx is integrated into the wound bed as early as seven days.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Cohealyx expands our therapeutic wound care portfolio, complementing our flagship product, the RECELL System, which is FDA-approved for the treatment of thermal burns and full-thickness skin defects, and PermeaDerm, a temporary biosynthetic dressing used to support healing before and after grafting. These products support the two-stage standard of care for full-thickness wounds. Cohealyx is used as a dermal matrix to manage the wound bed. RECELL Spray-On Skin Cells and wound protection with PermeaDerm provide solutions for definitive closure. This integrated approach may improve clinical outcomes and expands our market opportunity.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post-market study, TONE, and the health care economics study, both related to our vitiligo initiative were published during the first quarter of 2025. However, the reimbursement environment for vitiligo remains challenging and uncertain. As a consequence, we are pausing from further commercial investment in vitiligo at this time.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three-months ended March 31, 2025 compared to the three-months ended March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8495" w:type="dxa"/>
        <w:jc w:val="left"/>
        <w:tblInd w:w="0" w:type="dxa"/>
        <w:tblLayout w:type="fixed"/>
        <w:tblCellMar>
          <w:top w:w="28" w:type="dxa"/>
          <w:left w:w="28" w:type="dxa"/>
          <w:bottom w:w="28" w:type="dxa"/>
          <w:right w:w="28" w:type="dxa"/>
        </w:tblCellMar>
      </w:tblPr>
      <w:tblGrid>
        <w:gridCol w:w="2671"/>
        <w:gridCol w:w="146"/>
        <w:gridCol w:w="287"/>
        <w:gridCol w:w="1003"/>
        <w:gridCol w:w="166"/>
        <w:gridCol w:w="287"/>
        <w:gridCol w:w="1003"/>
        <w:gridCol w:w="166"/>
        <w:gridCol w:w="146"/>
        <w:gridCol w:w="169"/>
        <w:gridCol w:w="732"/>
        <w:gridCol w:w="166"/>
        <w:gridCol w:w="146"/>
        <w:gridCol w:w="255"/>
        <w:gridCol w:w="736"/>
        <w:gridCol w:w="4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67%, or $7.4 million, to $18.5 million, compared to $11.1 million in the same period in the prior year. Our commercial revenue was $18.5 million in the three-months ended March 31, 2025, an increase of $7.4 million, or 67%, compared to $11.1 million in the corresponding period in the prior year. The growth in commercial revenues was largely driven by deeper penetration within customer accounts, new accounts for full-thickness skin defect and, to a lesser extent, new product launches.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84.7% compared to 86.4% in the corresponding period in the prior year. Note that the gross margin for RECELL products only was 86.4% for the quarter, which we believe will remain in this range for future quarters. The decrease in the overall gross margin percentage from the prior year was primarily caused by volume discounts, a higher inventory reserve, and product mix. The Company shares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operating profit on a quarterly basis.</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increased by 3% or $0.7 million to $27.5 million, compared with $26.8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increased by 17%, or $2.2 million, to $14.8 million, compared to $12.6 million in the corresponding period in the prior year. Higher costs in the current year are due to increases in salaries and benefits of approximately $1.4 million, and commissions expense of $1.4 million, offset by decreases in professional fees of $0.2 million, deferred compensation expenses of $0.2 million, and $0.2 million in other selling expenses. The increase in salaries and benefits is due to the expansion of the sales force to support our growing commercial capabilities. Higher commissions were directly associated with the increase in revenues. The increase in stock-based compensation is due to additional grants related to the expansion of the sales force. The decrease in professional fees is due to higher expenses in the prior year related to pricing studies for future product development. The decrease in deferred compensation expense is driven by lower stock price used to calculate the deferred compensation liability for the deferred restricted stock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29%, or $2.6 million, to $6.4 million, compared to $9.0 million in the same period in the prior year. Lower costs in the current year are due to decreases in salaries and benefits of approximately of $0.8 million, deferred compensation expense of $0.8 million, professional fees of $0.6 million, and $0.4 million in other corporate expenses. The decrease in salaries and benefits is primarily attributable to decreased headcount and lower severance payments. The decrease in deferred compensation expense is driven by lower stock price used to calculate the deferred compensation liability for the deferred restricted stock awards. The decrease in professional fees is due to lower consulting costs and lower legal fees.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increased by 21%, or $1.1 million, to $6.3 million, compared to $5.2 million in the same period in the prior year. Higher costs in the current year are due to increases in salaries and benefits of approximately $1.3 million, stock-based compensation expense of $0.2 million, offset by a decrease in professional fees of $0.2 million, and $0.2 million in lower other development expenses. The increase in salaries and benefits and stock-based compensation expenses is due to the increase in headcount resulting from the deployment of a team of Medical Science Liaisons. The decrease in professional fees is due to the completion of the vitiligo TONE study partially offset by clinical trial costs associated with PermeaDerm and Cohealyx.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net increased by $0.7 million to expense of $0.8 million from expense of $0.1 million in the prior period. In the current period, other expense, net consists of a non-cash charge of $0.8 million related to the change in fair value of debt and $0.8 million in debt issuance costs, offset by a non-cash gain of $0.4 million related to the change in fair value of warrants and $0.3 million in income related to our investments and $0.1 million in other gains, net. The prior period expense consisted of non-cash charges of $0.9 million and $0.4 million related to the changes in fair value of warrant liability and debt, respectively, offset by $0.9 million related to our investments and $0.3 million in other gains,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to utilize cash reserves until U.S. sales of our products reach a level sufficient to fund ongoing operations. We have funded our research and development activities, and more recently our substantial investment in sales and marketing activities, through the issuance of debt. We had approximately $14.9 million in cash and cash equivalents and $10.9 million in marketable securities as of March 31, 2025. As of the date of these financial statements, we believe we have sufficient cash reserves to fund operations for the next 12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18, 2023 (the “Closing Date”), the Company entered into a Credit Agreement (the “Credit Agreement”), by and between the Company, as borrower, and an affiliate of OrbiMed Advisors, LLC, as the lender and administrative agent (the “Lender”). The Credit Agreement provides for a five-year senior secured credit facility in an aggregate principal amount of up to $90.0 million (the “Loan Facility”), of which $40.0 million was borrowed on the Closing Date, less certain fees and expenses payable to or on behalf of the Lender. 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two additional tranches of available debt in the aggregate amount of $50.0 million and (2) remove the trailing 12-month revenue covenant for the fourth quarter of 2024, which was set at $67.5 million. All revenue covenants for subsequent quarters remained in effect. The indebtedness under the Credit Agreement is secured by substantially all of our assets and will accrue interest at a rate equal to the greater of (a) forward-looking one-month term SOFR rate and (b) four percent (4%) per annum, plus eight percent (8%). In the event that the Company does not meet certain 12-month trailing revenue targets at the end of future fiscal quarters, the outstanding balance of the loan must be repaid in equal quarterly installments of 5% of the funded amount through the maturity date. In addition, if we don’t maintain a minimum cash and cash equivalents balance at the end of each reporting period, we may have to repay amounts outstanding in full as a result of an event of default. The Credit Agreement contains representations, warranties and covenants that are customary for this type of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13, 2025, we entered into a fourth amendment to the Credit Agreement (the “Fourth Amendment”), which amended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The $115.0 million revenue covenant for all subsequent quarters through the date of debt maturity remains in effect. We were not in compliance with the trailing 12-month net revenue covenant for the first quarter of 2025. On March 31, 2025, we received a waiver related to the trailing 12-month net revenue covenant for the first quarter of 2025, which was set at $73.0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13, 2025, as a condition to the execution of the Fourth Amendment, we issued to the Lender warrants to purchase up to 145,180 shares of our common stock, at an exercise price of $0.01 per share, with a term of 10 years from the issuance date.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7090" w:type="dxa"/>
        <w:jc w:val="left"/>
        <w:tblInd w:w="0" w:type="dxa"/>
        <w:tblLayout w:type="fixed"/>
        <w:tblCellMar>
          <w:top w:w="28" w:type="dxa"/>
          <w:left w:w="28" w:type="dxa"/>
          <w:bottom w:w="28" w:type="dxa"/>
          <w:right w:w="28" w:type="dxa"/>
        </w:tblCellMar>
      </w:tblPr>
      <w:tblGrid>
        <w:gridCol w:w="3841"/>
        <w:gridCol w:w="146"/>
        <w:gridCol w:w="295"/>
        <w:gridCol w:w="995"/>
        <w:gridCol w:w="166"/>
        <w:gridCol w:w="146"/>
        <w:gridCol w:w="295"/>
        <w:gridCol w:w="995"/>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was $10.3 million and $20.9 million during the three-months ended March 31, 2025 and 2024, respectively. The decrease in net cash used in operations was primarily due to higher gross profit as a result of increased revenues.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was $10.8 million and $15.1 million during the three-months ended March 31, 2025 and 2024, respectively. The decrease in cash provided by investing activities is primarily attributable to lower cash inflows from maturities of marketable securities and lower cash outflows from purchases of marketable securities in the current year, as well as a decrease in cash outflow for capital expenditures compared to the prior year. The decrease in capital expenditures in the current year is primarily related to higher leasehold improvement costs in the Ventura production facility to enhance manufacturing output in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$0.4 million and $0.6 million during the three-months ended March 31, 2025 and 2024, respectively. The decrease in cash provided by financing activities is related to proceeds from the exercises of stock options.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so that the Company continues as a going concern while also maintaining optimal returns to stockholders and benefits for other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three-months ended March 31, 2025, there were no dividends paid and we have no plans to commence the payment of dividends. Under the terms of the Regenity Agreement, we made a $2.0 million payment during the three-months ended March 31, 2025. We have a further obligation to make up to an additional $3.0 million payment on or before January 4, 2026 to guarantee development and manufacturing capacity (and related resources), contingent on positive results of certain clinical studies and have recorded $3.0 million in Contingent liability in the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the exception of the milestone payment under the Regenity Agreement, we do not have any other purchase commitments or long-term contractual obligations except for lease obligations as of March 31, 2025. In addition, we have no material off-balance sheet arrangements (as defined in the applicable rules and regulations established by the SEC) that have or are reasonably likely to have a current or future effect on our financial condition, revenues or expenses, results of operations, liquidity, capital expenditures or capital resources. While we have no committed plans to issue further shares on the market, we will continue to assess market conditions.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Except as disclosed in Note 2 of our Consolidated Financial Statements, </w:t>
      </w:r>
      <w:r>
        <w:rPr>
          <w:rFonts w:ascii="Times New Roman" w:hAnsi="Times New Roman"/>
          <w:color w:val="000000"/>
          <w:sz w:val="18"/>
        </w:rPr>
        <w:t>th</w:t>
      </w:r>
      <w:r>
        <w:rPr>
          <w:rFonts w:ascii="Times New Roman" w:hAnsi="Times New Roman"/>
          <w:color w:val="000000"/>
          <w:sz w:val="20"/>
        </w:rPr>
        <w:t>ere have been no material changes to our critical accounting policies and estimates from the information provided in Item 7, “Management’s Discussion and Analysis of Financial Condition and Results of Operations,” included in the 2024 Annual Report.</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Chief Executive Officer and our Chief Financial Officer evaluated, with the participation of our management, the effectiveness of our disclosure controls and procedures as of the end of the period covered by this Quarterly Report on Form 10-Q. As of March 31, 2025, our Chief Executive Officer and our Chief Financial Officer concluded that our disclosure controls and procedures, as defined in Rules 13a-15(e) and 15d-15(e) of the Securities Exchange Act of 1934, as amended (the “Securities Exchange Act”), were effective.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(as defined in Rules 13a-15(f) and 15d-15(f) under the Exchange Act) during the period covered by this Quarterly Report on Form 10-Q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legal proceedings that we believe will have a material adverse effect on our business or financial condition. We may, however, be subject to various claims or legal actions arising in the ordinary course of business from time to time.</w:t>
      </w:r>
    </w:p>
    <w:p>
      <w:pPr>
        <w:pStyle w:val="TextBody"/>
        <w:bidi w:val="0"/>
        <w:jc w:val="left"/>
        <w:rPr/>
      </w:pPr>
      <w:r>
        <w:rPr/>
        <w:t> </w:t>
      </w:r>
    </w:p>
    <w:p>
      <w:pPr>
        <w:pStyle w:val="TextBody"/>
        <w:bidi w:val="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under Part I, Item 1A, “Risk Factors,” in the 2024 Annual Report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Other than the addition of the risk factor set forth below, there have been no material changes to the risk factors described in Part I, Item 1A, “Risk Factors,” included in the 2024 Annual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Tariffs and Changes in Trade Policy Could Adversely Affect Our Business, Financial Condition, and Results of Operations</w:t>
      </w:r>
    </w:p>
    <w:p>
      <w:pPr>
        <w:pStyle w:val="TextBody"/>
        <w:bidi w:val="0"/>
        <w:jc w:val="left"/>
        <w:rPr>
          <w:rFonts w:ascii="Times New Roman" w:hAnsi="Times New Roman"/>
          <w:sz w:val="20"/>
        </w:rPr>
      </w:pPr>
      <w:r>
        <w:rPr>
          <w:rFonts w:ascii="Times New Roman" w:hAnsi="Times New Roman"/>
          <w:color w:val="000000"/>
          <w:sz w:val="20"/>
        </w:rPr>
        <w:br/>
        <w:t xml:space="preserve">We currently derive less than 5% of our net sales from international operations and a </w:t>
      </w:r>
      <w:r>
        <w:rPr>
          <w:rFonts w:ascii="Times New Roman" w:hAnsi="Times New Roman"/>
          <w:i/>
          <w:color w:val="000000"/>
          <w:sz w:val="20"/>
        </w:rPr>
        <w:t>de minimus</w:t>
      </w:r>
      <w:r>
        <w:rPr>
          <w:rFonts w:ascii="Times New Roman" w:hAnsi="Times New Roman"/>
          <w:color w:val="000000"/>
          <w:sz w:val="20"/>
        </w:rPr>
        <w:t xml:space="preserve"> portion of our raw materials and components are sourced internationally. The sale and shipment of our products across international borders, as well as the purchase of materials and components from international sources, subject us to U.S. and foreign governmental trade regulations, including those related to duties, and tariffs. Recent shifts in U.S. trade policy and the imposition of tariffs on imports from certain countries, as well as retaliatory tariffs imposed by those countries on U.S. goods, may negatively impact our business, results of operations, and financial condition. We cannot predict the future direction of trade policy or the impact of any future trade restrictions or retaliatory measures that may further impact our business.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The following exhibits are filed as part of the Quarterly Report on Form 10-Q: </w:t>
      </w:r>
    </w:p>
    <w:tbl>
      <w:tblPr>
        <w:tblW w:w="10205" w:type="dxa"/>
        <w:jc w:val="left"/>
        <w:tblInd w:w="0" w:type="dxa"/>
        <w:tblLayout w:type="fixed"/>
        <w:tblCellMar>
          <w:top w:w="28" w:type="dxa"/>
          <w:left w:w="28" w:type="dxa"/>
          <w:bottom w:w="28" w:type="dxa"/>
          <w:right w:w="28" w:type="dxa"/>
        </w:tblCellMar>
      </w:tblPr>
      <w:tblGrid>
        <w:gridCol w:w="732"/>
        <w:gridCol w:w="323"/>
        <w:gridCol w:w="9150"/>
      </w:tblGrid>
      <w:tr>
        <w:trPr/>
        <w:tc>
          <w:tcPr>
            <w:tcW w:w="732"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150" w:type="dxa"/>
            <w:tcBorders/>
            <w:shd w:fill="FFFFFF" w:val="clear"/>
            <w:vAlign w:val="center"/>
          </w:tcPr>
          <w:p>
            <w:pPr>
              <w:pStyle w:val="TableContents"/>
              <w:bidi w:val="0"/>
              <w:spacing w:before="0" w:after="283"/>
              <w:jc w:val="left"/>
              <w:rPr>
                <w:sz w:val="4"/>
                <w:szCs w:val="4"/>
              </w:rPr>
            </w:pPr>
            <w:r>
              <w:rPr>
                <w:sz w:val="4"/>
                <w:szCs w:val="4"/>
              </w:rPr>
            </w:r>
          </w:p>
        </w:tc>
      </w:tr>
      <w:tr>
        <w:trPr/>
        <w:tc>
          <w:tcPr>
            <w:tcW w:w="73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Exhibit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Certificate of Incorporation (incorporated by reference to Exhibit 3.2 of the registrant’s Form 10-KT filed on February 28, 2022)</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3.3 of the registrant’s Form 10-KT filed on February 28, 2022)</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Warrants (included as Annex A to the Fourth Amendment incorporated by reference to Exhibit 10.1 hereto)</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Fourth Amendment to the Credit Agreement between the Lender and the Company, dated February 13, 2025 (incorporated by reference to Exhibit 10.1 of the registrant’s Form 8-K filed on February 13, 2025)</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Contract Manufacturing Agreement between the Company and Stedical Scientific, Inc. dated March 17, 2025 (incorporated by reference to Exhibit 10.1 of the registrant’s Form 8-K filed on March 17, 2025)</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Two to the Exclusive Distribution Agreement between the Company and Stedical Scientific, Inc. dated March 17, 2025 (incorporated by reference to Exhibit 10.2 of the registrant’s Form 8-K filed on March 17, 2025)</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w:anchor="rcel-ex10_4.htm">
              <w:r>
                <w:rPr>
                  <w:rStyle w:val="InternetLink"/>
                  <w:rFonts w:ascii="Times New Roman" w:hAnsi="Times New Roman"/>
                  <w:color w:val="0000FF"/>
                  <w:sz w:val="20"/>
                  <w:u w:val="single"/>
                </w:rPr>
                <w:t>Waiver to the Credit Agreement between the Lender and the Company, dated March 31, 2025</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w:anchor="rcel-ex31_1.htm">
              <w:r>
                <w:rPr>
                  <w:rStyle w:val="InternetLink"/>
                  <w:rFonts w:ascii="Times New Roman" w:hAnsi="Times New Roman"/>
                  <w:color w:val="0000FF"/>
                  <w:sz w:val="20"/>
                  <w:u w:val="single"/>
                </w:rPr>
                <w:t>Rule 13a-14(a) Certification of Chief Executive Officer</w:t>
              </w:r>
            </w:hyperlink>
            <w:hyperlink w:anchor="rcel-ex31_1.htm">
              <w:r>
                <w:rPr>
                  <w:rStyle w:val="InternetLink"/>
                  <w:rFonts w:ascii="Times New Roman" w:hAnsi="Times New Roman"/>
                  <w:color w:val="0000FF"/>
                  <w:sz w:val="20"/>
                </w:rPr>
                <w:t xml:space="preserve"> </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w:anchor="rcel-ex31_2.htm">
              <w:r>
                <w:rPr>
                  <w:rStyle w:val="InternetLink"/>
                  <w:rFonts w:ascii="Times New Roman" w:hAnsi="Times New Roman"/>
                  <w:color w:val="0000FF"/>
                  <w:sz w:val="20"/>
                  <w:u w:val="single"/>
                </w:rPr>
                <w:t>Rule 13a-14(a) Certification of Chief Financial Officer</w:t>
              </w:r>
            </w:hyperlink>
            <w:hyperlink w:anchor="rcel-ex31_2.htm">
              <w:r>
                <w:rPr>
                  <w:rStyle w:val="InternetLink"/>
                  <w:rFonts w:ascii="Times New Roman" w:hAnsi="Times New Roman"/>
                  <w:color w:val="0000FF"/>
                  <w:sz w:val="20"/>
                </w:rPr>
                <w:t xml:space="preserve"> </w:t>
              </w:r>
            </w:hyperlink>
          </w:p>
        </w:tc>
      </w:tr>
      <w:tr>
        <w:trPr/>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32**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pPr>
            <w:hyperlink w:anchor="rcel-ex32.htm">
              <w:r>
                <w:rPr>
                  <w:rStyle w:val="InternetLink"/>
                  <w:rFonts w:ascii="Times New Roman" w:hAnsi="Times New Roman"/>
                  <w:color w:val="0000FF"/>
                  <w:sz w:val="20"/>
                  <w:u w:val="single"/>
                </w:rPr>
                <w:t>18 U.S.C. Section 1350 Certifications</w:t>
              </w:r>
            </w:hyperlink>
            <w:hyperlink w:anchor="rcel-ex32.htm">
              <w:r>
                <w:rPr>
                  <w:rStyle w:val="InternetLink"/>
                  <w:rFonts w:ascii="Times New Roman" w:hAnsi="Times New Roman"/>
                  <w:color w:val="0000FF"/>
                  <w:sz w:val="20"/>
                </w:rPr>
                <w:t xml:space="preserve"> </w:t>
              </w:r>
            </w:hyperlink>
          </w:p>
        </w:tc>
      </w:tr>
      <w:tr>
        <w:trPr/>
        <w:tc>
          <w:tcPr>
            <w:tcW w:w="732"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32"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32"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50"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5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compensation plan or arrangement</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978" w:type="dxa"/>
        <w:jc w:val="left"/>
        <w:tblInd w:w="0" w:type="dxa"/>
        <w:tblLayout w:type="fixed"/>
        <w:tblCellMar>
          <w:top w:w="28" w:type="dxa"/>
          <w:left w:w="28" w:type="dxa"/>
          <w:bottom w:w="28" w:type="dxa"/>
          <w:right w:w="28" w:type="dxa"/>
        </w:tblCellMar>
      </w:tblPr>
      <w:tblGrid>
        <w:gridCol w:w="556"/>
        <w:gridCol w:w="1141"/>
        <w:gridCol w:w="109"/>
        <w:gridCol w:w="406"/>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May 8,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pPr>
      <w:bookmarkStart w:id="23" w:name="rcel-ex10_4.htm"/>
      <w:bookmarkStart w:id="24" w:name="ksrcelex10_4"/>
      <w:bookmarkEnd w:id="23"/>
      <w:bookmarkEnd w:id="24"/>
      <w:r>
        <w:rPr/>
        <w:t> </w:t>
      </w:r>
      <w:r>
        <w:br w:type="page"/>
      </w:r>
    </w:p>
    <w:p>
      <w:pPr>
        <w:pStyle w:val="TextBody"/>
        <w:bidi w:val="0"/>
        <w:spacing w:before="0" w:after="240"/>
        <w:jc w:val="right"/>
        <w:rPr>
          <w:rFonts w:ascii="Times New Roman" w:hAnsi="Times New Roman"/>
          <w:b/>
          <w:caps/>
          <w:color w:val="000000"/>
          <w:sz w:val="20"/>
        </w:rPr>
      </w:pPr>
      <w:r>
        <w:rPr>
          <w:rFonts w:ascii="Times New Roman" w:hAnsi="Times New Roman"/>
          <w:b/>
          <w:caps/>
          <w:color w:val="000000"/>
          <w:sz w:val="20"/>
        </w:rPr>
        <w:t>Exhibit 10.4</w:t>
      </w:r>
    </w:p>
    <w:p>
      <w:pPr>
        <w:pStyle w:val="TextBody"/>
        <w:bidi w:val="0"/>
        <w:spacing w:before="0" w:after="240"/>
        <w:jc w:val="center"/>
        <w:rPr>
          <w:rFonts w:ascii="Times New Roman" w:hAnsi="Times New Roman"/>
          <w:sz w:val="20"/>
        </w:rPr>
      </w:pPr>
      <w:r>
        <w:rPr>
          <w:rFonts w:ascii="Times New Roman" w:hAnsi="Times New Roman"/>
          <w:b/>
          <w:caps/>
          <w:color w:val="000000"/>
          <w:sz w:val="24"/>
          <w:u w:val="single"/>
        </w:rPr>
        <w:t>WAIVER</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 xml:space="preserve">WAIVER </w:t>
      </w:r>
      <w:r>
        <w:rPr>
          <w:rFonts w:ascii="Times New Roman" w:hAnsi="Times New Roman"/>
          <w:color w:val="000000"/>
          <w:sz w:val="24"/>
        </w:rPr>
        <w:t>(this “</w:t>
      </w:r>
      <w:r>
        <w:rPr>
          <w:rFonts w:ascii="Times New Roman" w:hAnsi="Times New Roman"/>
          <w:color w:val="000000"/>
          <w:sz w:val="24"/>
          <w:u w:val="single"/>
        </w:rPr>
        <w:t>Waiver</w:t>
      </w:r>
      <w:r>
        <w:rPr>
          <w:rFonts w:ascii="Times New Roman" w:hAnsi="Times New Roman"/>
          <w:color w:val="000000"/>
          <w:sz w:val="20"/>
        </w:rPr>
        <w:t>”</w:t>
      </w:r>
      <w:r>
        <w:rPr>
          <w:rFonts w:ascii="Times New Roman" w:hAnsi="Times New Roman"/>
          <w:color w:val="000000"/>
          <w:sz w:val="24"/>
        </w:rPr>
        <w:t>) is made and entered into as of March 31,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xml:space="preserve">) by and among </w:t>
      </w:r>
      <w:r>
        <w:rPr>
          <w:rFonts w:ascii="Times New Roman" w:hAnsi="Times New Roman"/>
          <w:b/>
          <w:caps/>
          <w:color w:val="000000"/>
          <w:sz w:val="24"/>
        </w:rPr>
        <w:t>AVITA MEDICAL, INC.</w:t>
      </w:r>
      <w:r>
        <w:rPr>
          <w:rFonts w:ascii="Times New Roman" w:hAnsi="Times New Roman"/>
          <w:color w:val="000000"/>
          <w:sz w:val="24"/>
        </w:rPr>
        <w:t>,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ORCO IV LLC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rPr>
        <w:t>ORBIMED ROYALTY &amp; CREDIT OPPORTUNITIES IV OFFSHORE, LP</w:t>
      </w:r>
      <w:r>
        <w:rPr>
          <w:rFonts w:ascii="Times New Roman" w:hAnsi="Times New Roman"/>
          <w:color w:val="000000"/>
          <w:sz w:val="24"/>
        </w:rPr>
        <w:t xml:space="preserve">, as Lenders, and </w:t>
      </w:r>
      <w:r>
        <w:rPr>
          <w:rFonts w:ascii="Times New Roman" w:hAnsi="Times New Roman"/>
          <w:b/>
          <w:color w:val="000000"/>
          <w:sz w:val="24"/>
        </w:rPr>
        <w:t>ORCO IV LLC</w:t>
      </w:r>
      <w:r>
        <w:rPr>
          <w:rFonts w:ascii="Times New Roman" w:hAnsi="Times New Roman"/>
          <w:color w:val="000000"/>
          <w:sz w:val="24"/>
        </w:rPr>
        <w:t>, as administrative agent for the Lenders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the Lenders and the Administrative Agent entered into a Credit Agreement, dated as of October 18, 2023,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 and as amended by that certain Fourth Amendment to Credit Agreement, dated as of February 13, 2025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pursuant to which the Lenders have extended credit to the Borrower on the terms set forth therein;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3.2 of the Credit Agreement, the Borrower is required to make Amortization Payments in the event the Borrower fails to satisfy the Product Revenue Base test set forth therein as of the applicable Test Dates;</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has requested that the Lenders waive, solely with respect to the Test Date of March 31, 2025, the Product Revenue Base test set forth in Section 3.2 of the Credit Agreement for such Test Date (the “</w:t>
      </w:r>
      <w:r>
        <w:rPr>
          <w:rFonts w:ascii="Times New Roman" w:hAnsi="Times New Roman"/>
          <w:color w:val="000000"/>
          <w:sz w:val="24"/>
          <w:u w:val="single"/>
        </w:rPr>
        <w:t>Q1 2025 Amortization Test</w:t>
      </w:r>
      <w:r>
        <w:rPr>
          <w:rFonts w:ascii="Times New Roman" w:hAnsi="Times New Roman"/>
          <w:color w:val="000000"/>
          <w:sz w:val="20"/>
        </w:rPr>
        <w:t>”</w:t>
      </w:r>
      <w:r>
        <w:rPr>
          <w:rFonts w:ascii="Times New Roman" w:hAnsi="Times New Roman"/>
          <w:color w:val="000000"/>
          <w:sz w:val="24"/>
        </w:rPr>
        <w:t>), and the Lenders agree to provide such waiver on the terms and subject to the conditions set forth herein; and</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undersigned Lenders comprise all Lenders under the Credit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u w:val="single"/>
        </w:rPr>
        <w:t>Definitions; Loan Document</w:t>
      </w:r>
      <w:r>
        <w:rPr>
          <w:rFonts w:ascii="Times New Roman" w:hAnsi="Times New Roman"/>
          <w:color w:val="000000"/>
          <w:sz w:val="24"/>
        </w:rPr>
        <w:t>. Capitalized terms used herein without definition shall have the meanings assigned to such terms in the Credit Agreement. This Waiver shall constitute a Loan Document for all purposes of the Credit Agreement and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Subject to the effectiveness of this Waiver and the terms and conditions set forth herein, solely with respect to the Test Date of March 31, 2025 under Section 3.2 of the Credit Agreement, the Lenders agree to waive the Q1 2025 Amortization Test and the Amortization Payment that would otherwise be required with respect to such Test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u w:val="single"/>
        </w:rPr>
        <w:t>Conditions to Effectiveness of Waiver</w:t>
      </w:r>
      <w:r>
        <w:rPr>
          <w:rFonts w:ascii="Times New Roman" w:hAnsi="Times New Roman"/>
          <w:color w:val="000000"/>
          <w:sz w:val="24"/>
        </w:rPr>
        <w:t>. This Waiver is deemed effective on the Effective Date, subject to the following conditions: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receipt by the Lenders, the Administrative Agent and the Borrower of a counterpart signature of the other to this Waiver duly executed and delivered by each of the Lenders, the Administrative Agent and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receipt by the Lenders of a fee in an aggregate amount of $500,000 to be paid by the Borrower on April 1, 2025, distributed ratably to each Lender for its own account in accordance with its Applicable Percentage;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fee shall be fully earned, due and payable on the date hereof, nonrefundable under any circumstances and in addition to, and not creditable against, any other fee, cost or expense payable under the Investment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u w:val="single"/>
        </w:rPr>
        <w:t>Expenses</w:t>
      </w:r>
      <w:r>
        <w:rPr>
          <w:rFonts w:ascii="Times New Roman" w:hAnsi="Times New Roman"/>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u w:val="single"/>
        </w:rPr>
        <w:t>Representations and Warranties</w:t>
      </w:r>
      <w:r>
        <w:rPr>
          <w:rFonts w:ascii="Times New Roman" w:hAnsi="Times New Roman"/>
          <w:color w:val="000000"/>
          <w:sz w:val="24"/>
        </w:rPr>
        <w:t>. The Borrower represents and warrants to the Lenders, as of the effective date of this Waiver,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Default or Event of Default under the Credit Agreement has occurred and is continuing or would result from the effectiveness of this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u w:val="single"/>
        </w:rPr>
        <w:t>No Implied Amendment or Waiver</w:t>
      </w:r>
      <w:r>
        <w:rPr>
          <w:rFonts w:ascii="Times New Roman" w:hAnsi="Times New Roman"/>
          <w:color w:val="000000"/>
          <w:sz w:val="24"/>
        </w:rPr>
        <w:t>. Except as expressly set forth in this Waiver, this Waiver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Waiver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u w:val="single"/>
        </w:rPr>
        <w:t>Waiver and Release</w:t>
      </w:r>
      <w:r>
        <w:rPr>
          <w:rFonts w:ascii="Times New Roman" w:hAnsi="Times New Roman"/>
          <w:color w:val="000000"/>
          <w:sz w:val="24"/>
        </w:rPr>
        <w:t>. TO INDUCE THE ADMINISTRATIVE AGENT AND THE LENDERS TO AGREE TO THE TERMS OF THIS WAIVER, THE BORROWER AND ITS AFFILIATES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xml:space="preserve">) REPRESENT AND WARRANT THAT, AS OF THE DATE HEREOF, THERE ARE NO CLAIMS OR OFFSETS AGAINST, OR RIGHTS OF RECOUPMENT WITH RESPECT TO, OR DISPUTES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OR DEFENSES OR COUNTERCLAIMS TO, THEIR OBLIGATIONS UNDER THE LOAN DOCUMENTS, AND IN ACCORDANCE THEREWITH THE RELEASING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 ANY AND ALL SUCH CLAIMS, OFFSETS, RIGHTS OF RECOUPMENT, DISPUTES, DEFENSES AND COUNTERCLAIMS, WHETHER KNOWN OR UNKNOWN, ARISING PRIOR TO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hAnsi="Times New Roman"/>
          <w:b/>
          <w:color w:val="000000"/>
          <w:sz w:val="24"/>
        </w:rPr>
        <w:t>RELEASED PARTIES</w:t>
      </w:r>
      <w:r>
        <w:rPr>
          <w:color w:val="000000"/>
        </w:rPr>
        <w:t>”</w:t>
      </w:r>
      <w:r>
        <w:rPr>
          <w:rFonts w:ascii="Times New Roman" w:hAnsi="Times New Roman"/>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WAIVER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COVENANT AND AGREE NOT TO BRING ANY CLAIM, ACTION, SUIT, OR PROCEEDING AGAINST THE RELEASED PARTIES, DIRECTLY OR INDIRECTLY, REGARDING OR RELATED IN ANY MANNER TO THE MATTERS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RELEASED HEREBY, AND FURTHER COVENANT AND AGREE THAT THIS WAIVER IS A BAR TO ANY SUCH CLAIM, ACTION, SUIT, OR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 AND WARRANT TO THE RELEASED PARTIES THAT THEY HAVE NOT HERETOFORE ASSIGNED OR TRANSFERRED, OR PURPORTED TO ASSIGN OR TRANSFER, TO ANY PERSON OR ENTITY ANY CLAIMS OR OTHER MATTERS HEREIN RELEASED.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pStyle w:val="TextBody"/>
        <w:bidi w:val="0"/>
        <w:spacing w:before="0" w:after="240"/>
        <w:jc w:val="both"/>
        <w:rPr>
          <w:rFonts w:ascii="Times New Roman" w:hAnsi="Times New Roman"/>
          <w:i/>
          <w:color w:val="000000"/>
          <w:sz w:val="24"/>
          <w:u w:val="single"/>
        </w:rPr>
      </w:pPr>
      <w:r>
        <w:rPr>
          <w:rFonts w:ascii="Times New Roman" w:hAnsi="Times New Roman"/>
          <w:i/>
          <w:color w:val="000000"/>
          <w:sz w:val="24"/>
          <w:u w:val="single"/>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u w:val="single"/>
        </w:rPr>
        <w:t>Counterparts; Governing Law</w:t>
      </w:r>
      <w:r>
        <w:rPr>
          <w:rFonts w:ascii="Times New Roman" w:hAnsi="Times New Roman"/>
          <w:color w:val="000000"/>
          <w:sz w:val="24"/>
        </w:rPr>
        <w:t>.</w:t>
      </w:r>
      <w:r>
        <w:rPr>
          <w:color w:val="000000"/>
        </w:rPr>
        <w:t xml:space="preserve"> </w:t>
      </w:r>
      <w:r>
        <w:rPr>
          <w:rFonts w:ascii="Times New Roman" w:hAnsi="Times New Roman"/>
          <w:color w:val="000000"/>
          <w:sz w:val="24"/>
        </w:rPr>
        <w:t>This Waiver may be executed by the parties hereto in several counterparts, each of which shall be an original and all of which shall constitute together but one and the same agreement. Delivery of an executed counterpart of a signature page to this Waiver by email (e.g., “pdf” or “tiff”) or telecopy shall be effective as delivery of a manually executed counterpart of this Waiver. THIS WAIVER SHALL BE GOVERNED BY, AND CONSTRUED IN ACCORDANCE WITH, THE LAWS OF THE STATE OF NEW YORK (INCLUDING FOR SUCH PURPOSE SECTIONS 5-1401 AND 5-1402 OF THE GENERAL OBLIGATIONS LAW OF THE STATE OF NEW YORK).</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caused this Waiver to be executed by their respective officers thereunto duly authorized as of the day and year first above written.</w:t>
      </w:r>
    </w:p>
    <w:p>
      <w:pPr>
        <w:pStyle w:val="TextBody"/>
        <w:bidi w:val="0"/>
        <w:spacing w:before="0" w:after="120"/>
        <w:jc w:val="left"/>
        <w:rPr/>
      </w:pPr>
      <w:r>
        <w:rPr/>
        <w:t> </w:t>
      </w:r>
    </w:p>
    <w:tbl>
      <w:tblPr>
        <w:tblW w:w="3132" w:type="dxa"/>
        <w:jc w:val="left"/>
        <w:tblInd w:w="0" w:type="dxa"/>
        <w:tblLayout w:type="fixed"/>
        <w:tblCellMar>
          <w:top w:w="28" w:type="dxa"/>
          <w:left w:w="28" w:type="dxa"/>
          <w:bottom w:w="28" w:type="dxa"/>
          <w:right w:w="28" w:type="dxa"/>
        </w:tblCellMar>
      </w:tblPr>
      <w:tblGrid>
        <w:gridCol w:w="161"/>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AVITA MEDICAL, INC.</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the Borrower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James Corbett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ORCO IV LLC</w:t>
            </w:r>
            <w:r>
              <w:rPr>
                <w:rFonts w:ascii="Times New Roman" w:hAnsi="Times New Roman"/>
                <w:color w:val="000000"/>
                <w:sz w:val="24"/>
              </w:rPr>
              <w:br/>
              <w:t>as Lender</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OrbiMed Royalty &amp; Credit Opportunities IV, LP, </w:t>
            </w:r>
          </w:p>
          <w:p>
            <w:pPr>
              <w:pStyle w:val="TableContents"/>
              <w:bidi w:val="0"/>
              <w:jc w:val="left"/>
              <w:rPr>
                <w:rFonts w:ascii="Times New Roman" w:hAnsi="Times New Roman"/>
                <w:color w:val="000000"/>
                <w:sz w:val="24"/>
              </w:rPr>
            </w:pPr>
            <w:r>
              <w:rPr>
                <w:rFonts w:ascii="Times New Roman" w:hAnsi="Times New Roman"/>
                <w:color w:val="000000"/>
                <w:sz w:val="24"/>
              </w:rPr>
              <w:t>its Member</w:t>
            </w:r>
          </w:p>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53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8191"/>
      </w:tblGrid>
      <w:tr>
        <w:trPr/>
        <w:tc>
          <w:tcPr>
            <w:tcW w:w="8191"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ORBIMED ROYALTY &amp; CREDIT OPPORTUNITIES IV OFFSHORE, LP,</w:t>
            </w:r>
            <w:r>
              <w:rPr>
                <w:rFonts w:ascii="Times New Roman" w:hAnsi="Times New Roman"/>
                <w:color w:val="000000"/>
                <w:sz w:val="24"/>
              </w:rPr>
              <w:br/>
              <w:t>as Lender</w:t>
            </w:r>
          </w:p>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819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ACKNOWLEDGED BY:</w:t>
            </w:r>
          </w:p>
          <w:p>
            <w:pPr>
              <w:pStyle w:val="TableContents"/>
              <w:bidi w:val="0"/>
              <w:spacing w:before="240" w:after="283"/>
              <w:jc w:val="left"/>
              <w:rPr>
                <w:rFonts w:ascii="Times New Roman" w:hAnsi="Times New Roman"/>
                <w:sz w:val="24"/>
              </w:rPr>
            </w:pPr>
            <w:r>
              <w:rPr>
                <w:rFonts w:ascii="Times New Roman" w:hAnsi="Times New Roman"/>
                <w:b/>
                <w:color w:val="000000"/>
                <w:sz w:val="24"/>
              </w:rPr>
              <w:t>ORCO IV LLC</w:t>
            </w:r>
            <w:r>
              <w:rPr>
                <w:rFonts w:ascii="Times New Roman" w:hAnsi="Times New Roman"/>
                <w:color w:val="000000"/>
                <w:sz w:val="24"/>
              </w:rPr>
              <w:br/>
              <w:t>as the Administrative Agent</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OrbiMed Royalty &amp; Credit Opportunities IV, LP, </w:t>
            </w:r>
          </w:p>
          <w:p>
            <w:pPr>
              <w:pStyle w:val="TableContents"/>
              <w:bidi w:val="0"/>
              <w:jc w:val="left"/>
              <w:rPr>
                <w:rFonts w:ascii="Times New Roman" w:hAnsi="Times New Roman"/>
                <w:color w:val="000000"/>
                <w:sz w:val="24"/>
              </w:rPr>
            </w:pPr>
            <w:r>
              <w:rPr>
                <w:rFonts w:ascii="Times New Roman" w:hAnsi="Times New Roman"/>
                <w:color w:val="000000"/>
                <w:sz w:val="24"/>
              </w:rPr>
              <w:t>its Sole Member</w:t>
            </w:r>
          </w:p>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53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w:t>
      </w:r>
    </w:p>
    <w:p>
      <w:pPr>
        <w:pStyle w:val="HorizontalLine"/>
        <w:pBdr>
          <w:bottom w:val="double" w:sz="2" w:space="0" w:color="808080"/>
        </w:pBdr>
        <w:bidi w:val="0"/>
        <w:spacing w:before="0" w:after="283"/>
        <w:jc w:val="left"/>
        <w:rPr/>
      </w:pPr>
      <w:r>
        <w:rPr/>
      </w:r>
    </w:p>
    <w:p>
      <w:pPr>
        <w:pStyle w:val="TextBody"/>
        <w:bidi w:val="0"/>
        <w:jc w:val="left"/>
        <w:rPr/>
      </w:pPr>
      <w:bookmarkStart w:id="25" w:name="rcel-ex31_1.htm"/>
      <w:bookmarkStart w:id="26" w:name="ksrcelex31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Corbett,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707" w:type="dxa"/>
        <w:jc w:val="left"/>
        <w:tblInd w:w="0" w:type="dxa"/>
        <w:tblLayout w:type="fixed"/>
        <w:tblCellMar>
          <w:top w:w="28" w:type="dxa"/>
          <w:left w:w="28" w:type="dxa"/>
          <w:bottom w:w="28" w:type="dxa"/>
          <w:right w:w="28" w:type="dxa"/>
        </w:tblCellMar>
      </w:tblPr>
      <w:tblGrid>
        <w:gridCol w:w="1636"/>
        <w:gridCol w:w="109"/>
        <w:gridCol w:w="631"/>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James Corbett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cel-ex31_2.htm"/>
      <w:bookmarkStart w:id="28" w:name="ksrcelex31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179" w:type="dxa"/>
        <w:jc w:val="left"/>
        <w:tblInd w:w="0" w:type="dxa"/>
        <w:tblLayout w:type="fixed"/>
        <w:tblCellMar>
          <w:top w:w="28" w:type="dxa"/>
          <w:left w:w="28" w:type="dxa"/>
          <w:bottom w:w="28" w:type="dxa"/>
          <w:right w:w="28" w:type="dxa"/>
        </w:tblCellMar>
      </w:tblPr>
      <w:tblGrid>
        <w:gridCol w:w="1636"/>
        <w:gridCol w:w="146"/>
        <w:gridCol w:w="631"/>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cel-ex32.htm"/>
      <w:bookmarkStart w:id="30" w:name="ksrcelex3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March 31, 2025 of the Company fully complies with the requirements of Section 13(a) or 15(d) of the Securities Exchange Act of 1934 and information contained in the Form 10-Q fairly presents, in all material respects, the financial condition and results of operations of the Company. </w:t>
      </w:r>
    </w:p>
    <w:tbl>
      <w:tblPr>
        <w:tblW w:w="6284" w:type="dxa"/>
        <w:jc w:val="left"/>
        <w:tblInd w:w="0" w:type="dxa"/>
        <w:tblLayout w:type="fixed"/>
        <w:tblCellMar>
          <w:top w:w="28" w:type="dxa"/>
          <w:left w:w="28" w:type="dxa"/>
          <w:bottom w:w="28" w:type="dxa"/>
          <w:right w:w="28" w:type="dxa"/>
        </w:tblCellMar>
      </w:tblPr>
      <w:tblGrid>
        <w:gridCol w:w="1741"/>
        <w:gridCol w:w="146"/>
        <w:gridCol w:w="631"/>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156459022007617/rcel-ex33_530.htm" TargetMode="External"/><Relationship Id="rId6" Type="http://schemas.openxmlformats.org/officeDocument/2006/relationships/hyperlink" Target="https://www.sec.gov/ix?doc=/Archives/edgar/data/1762303/000095017025019862/rcel-20250213.htm" TargetMode="External"/><Relationship Id="rId7" Type="http://schemas.openxmlformats.org/officeDocument/2006/relationships/hyperlink" Target="https://www.sec.gov/ix?doc=/Archives/edgar/data/1762303/000095017025019862/rcel-20250213.htm" TargetMode="External"/><Relationship Id="rId8" Type="http://schemas.openxmlformats.org/officeDocument/2006/relationships/hyperlink" Target="https://www.sec.gov/Archives/edgar/data/1762303/000095017025040249/rcel-ex10_1.htm" TargetMode="External"/><Relationship Id="rId9" Type="http://schemas.openxmlformats.org/officeDocument/2006/relationships/hyperlink" Target="https://www.sec.gov/Archives/edgar/data/1762303/000095017025040249/rcel-ex10_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19632</Words>
  <Characters>105328</Characters>
  <CharactersWithSpaces>125342</CharactersWithSpaces>
  <Paragraphs>4688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