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27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AVITA MEDICAL,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205740</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428625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651510</wp:posOffset>
            </wp:positionV>
            <wp:extent cx="6643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866140</wp:posOffset>
            </wp:positionV>
            <wp:extent cx="6643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1089025</wp:posOffset>
            </wp:positionV>
            <wp:extent cx="6643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1285875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1329055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3695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Security 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2023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AVITA Medical, Inc. (the “Company”). The Annual Meeting will be held virtually on June 6, 2023, at 3:00 p.m. Pacific Daylight Time (being June 7, 2023, at 8:00 a.m. Australian Eastern Standard Time) via a live audio webcast with an online voting platform at meetnow.global/MD7TYY7. You will not be able to attend the meeting at a physical location.</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All holders of the Company’s shares of common stock (“Common Stock”) and CHESS Depositary Interests (“CDIs”) as of 5:00 p.m. on April 13, 2023 (Pacific Daylight Time) (being 10:00 a.m. on April 14, 2023 (Australian Eastern Standard Time)) (the “Record Date”) are entitled to receive notice of, and to vote at, the Annual Meeting. The formal Notice of the Annual Meeting follows on the next page. Details regarding the business to be conducted at the Annual Meeting are described in the accompanying Notice of Annual Meeting and Proxy Statement.</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Holders of Common Stock may vote during the Annual Meeting via the online voting platform and also submit questions. Holders of CDIs will not be able to vote during the Annual Meeting via the online voting platform but will be able to submit questions virtually. Holders of CDIs can, however, direct CHESS Depositary Nominees Pty Ltd (“CDN”) to vote the Common Stock underlying their CDIs. Additionally, you may vote your shares of Common Stock or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 of Common Stock. Further details regarding how holders of Common Stock and CDIs can vote are set out in this Proxy Statement.</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Your vote is extremely important. The Company hopes that all eligible holders of its Common Stock and CDIs participate in the Annual Meeting virtually. Whether or not you plan to attend the virtual Annual Meeting, you are urged to promptly vote or submit your proxy card or CDI Voting Instruction Form as soon as possible so that your shares of Common Stock (or shares of Common Stock underlying your CDIs) will be represented and voted at the Annual Meeting in accordance with your instructions.</w:t>
      </w:r>
    </w:p>
    <w:p>
      <w:pPr>
        <w:spacing w:after="0" w:line="3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Lou Panaccio</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00" w:right="2180"/>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6, 2023, AT 3:00 PM PACIFIC DAYLIGHT TIME (BEING JUNE 7, 2023 AT 8:00 AM AUSTRALIAN EASTERN STANDARD TIME)</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AVITA Medical, Inc. (the “Company”), a Delaware corporation, will be held on June 6, 2023, at 3:00 p.m. Pacific Daylight Time (being June 7, 2023, at 8:00 a.m. Australian Eastern Standard Time), by way of a virtual meeting conducted via live webcast with an online voting platform at meetnow.global/MD7TYY7 for the following purposes:</w:t>
      </w:r>
    </w:p>
    <w:p>
      <w:pPr>
        <w:spacing w:after="0" w:line="8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for a one-year term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December 31, 2023;</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the Company’s Common Stock (which may be represented by CHESS Depositary Interests (“CDIs”)) equal in value to $87,500 (at the time of the grant) and the grant of options to acquire shares of Common Stock (which may be represented by CDIs) equal in value to $37,500 (at the time of the grant) to Mr. Lou Panaccio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Professor Suzanne Crowe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Mr. Jeremy Curnock Cook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Ms. Jan Stern Reed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w:t>
      </w:r>
    </w:p>
    <w:p>
      <w:pPr>
        <w:spacing w:after="0" w:line="27" w:lineRule="exact"/>
        <w:rPr>
          <w:rFonts w:ascii="Times New Roman" w:cs="Times New Roman" w:eastAsia="Times New Roman" w:hAnsi="Times New Roman"/>
          <w:sz w:val="18"/>
          <w:szCs w:val="18"/>
          <w:color w:val="auto"/>
        </w:rPr>
      </w:pP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$147,000 (at the time of the grant) and the grant of options to acquire shares of Common Stock (which may be represented by CDIs) equal in value to $63,000 (at the time of the grant) to Mr. Robert McNamara on the terms and conditions set out in this Proxy Statement, pursuant to and for the purposes of ASX Listing Rule 10.11, in recognition of Mr. McNamara being appointed as a new director of the Company during 2023;</w:t>
      </w:r>
    </w:p>
    <w:p>
      <w:pPr>
        <w:spacing w:after="0" w:line="94"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Mr. Robert McNamara on the terms and conditions set out in this Proxy Statement, pursuant to and for the purposes of ASX Listing Rule 10.11;</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w:t>
      </w:r>
    </w:p>
    <w:p>
      <w:pPr>
        <w:spacing w:after="0" w:line="27" w:lineRule="exact"/>
        <w:rPr>
          <w:rFonts w:ascii="Times New Roman" w:cs="Times New Roman" w:eastAsia="Times New Roman" w:hAnsi="Times New Roman"/>
          <w:sz w:val="18"/>
          <w:szCs w:val="18"/>
          <w:color w:val="auto"/>
        </w:rPr>
      </w:pPr>
    </w:p>
    <w:p>
      <w:pPr>
        <w:jc w:val="both"/>
        <w:ind w:left="108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$147,000 (at the time of the grant) and the grant of options to acquire shares of Common Stock (which may be represented by CDIs) equal in value to $63,000 (at the time of the grant) to Mr. Cary Vance on the terms and conditions set out in this Proxy Statement, pursuant to and for the purposes of ASX Listing Rule 10.11, in recognition of Mr. Vance being appointed as a new director of the Company during 2023;</w:t>
      </w:r>
    </w:p>
    <w:p>
      <w:pPr>
        <w:spacing w:after="0" w:line="74"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Mr. Cary Vance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options to acquire 100,000 shares of common stock of the Company (which may be represented by CDIs) to the Company’s Chief Executive Officer, Mr. James Corbett,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an amendment to the 2020 Omnibus Incentive Plan (the “Plan), the terms of which are summarized in this Proxy Statement (the “Plan Amendment”); and (b) for purposes of ASX Listing Rule 7.2 Exception 13(b) and for all other purposes, the issue of equity securities in the Company under and subject to the terms of the Plan within three years from the date that this proposal is approved by the Company’s stockholders as an exception to ASX Listing Rule 7.1;</w:t>
      </w:r>
    </w:p>
    <w:p>
      <w:pPr>
        <w:spacing w:after="0" w:line="85"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the adoption of the Company’s Employee Stock Purchase Plan (the “ESPP”), the terms of which are summarized in this Proxy Statement; and (b) for the purposes of ASX Listing Rule 7.2 Exception 13(b) and for all other purposes, the issue of equity securities in the Company under and subject to the terms of the ESPP within three years from the date that this proposal is approved by the Company’s stockholders as an exception to ASX Listing Rule 7.1;</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the Company’s named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5:00 p.m. (Pacific Daylight Time) on April 13, 2023 (being 10:00 a.m. AEST on April 14, 2023) as the record date for the Annual Meeting and only record holders of shares of Common Stock at that time will be entitled to receive notice of, and to electronically vote at, the Annual Meeting or any adjournment or adjournments thereof. Holders of CDIs of the Company at that time will be entitled to receive notice of, and to virtually attend (but not vote at), the Annual Meeting or any adjournment or adjournments thereof. This Proxy Statement and the accompanying proxy and CDI Voting Instruction Form are being mailed on or about April 18, 2023.</w:t>
      </w: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Donna Shiroma</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Valencia, CA April 14, 2023</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460"/>
        <w:spacing w:after="0" w:line="259" w:lineRule="auto"/>
        <w:rPr>
          <w:sz w:val="20"/>
          <w:szCs w:val="20"/>
          <w:color w:val="auto"/>
        </w:rPr>
      </w:pPr>
      <w:r>
        <w:rPr>
          <w:rFonts w:ascii="Times New Roman" w:cs="Times New Roman" w:eastAsia="Times New Roman" w:hAnsi="Times New Roman"/>
          <w:sz w:val="18"/>
          <w:szCs w:val="18"/>
          <w:b w:val="1"/>
          <w:bCs w:val="1"/>
          <w:color w:val="auto"/>
        </w:rPr>
        <w:t>THE 2023 ANNUAL MEETING WILL BE HELD BY WAY OF A VIRTUAL MEETING CONDUCTED VIA LIVE WEBCAST. IT IS REQUESTED THAT YOU INDICATE YOUR VOTE ON THE RESOLUTIONS INCLUDED ON THE ENCLOSED PROXY CARD OR CDI VOTING INSTRUCTION FORM (AS APPLICABLE) AND DATE, SIGN AND MAIL IT IN THE ENCLOSED SELF-ADDRESSED</w:t>
      </w:r>
    </w:p>
    <w:p>
      <w:pPr>
        <w:jc w:val="center"/>
        <w:ind w:left="480" w:right="80"/>
        <w:spacing w:after="0" w:line="265" w:lineRule="auto"/>
        <w:rPr>
          <w:sz w:val="20"/>
          <w:szCs w:val="20"/>
          <w:color w:val="auto"/>
        </w:rPr>
      </w:pPr>
      <w:r>
        <w:rPr>
          <w:rFonts w:ascii="Times New Roman" w:cs="Times New Roman" w:eastAsia="Times New Roman" w:hAnsi="Times New Roman"/>
          <w:sz w:val="17"/>
          <w:szCs w:val="17"/>
          <w:b w:val="1"/>
          <w:bCs w:val="1"/>
          <w:color w:val="auto"/>
        </w:rPr>
        <w:t>ENVELOPE WHICH REQUIRES NO POSTAGE IF MAILED IN THE UNITED STATES (IN RELATION TO THE PROXY CARD) AND WHICH REQUIRES NO POSTAGE IF MAILED IN AUSTRALIA (IN RELATION TO THE CDI VOTING INSTRUCTION FORM).</w:t>
      </w:r>
    </w:p>
    <w:p>
      <w:pPr>
        <w:jc w:val="center"/>
        <w:ind w:left="460" w:right="60"/>
        <w:spacing w:after="0" w:line="250" w:lineRule="auto"/>
        <w:rPr>
          <w:sz w:val="20"/>
          <w:szCs w:val="20"/>
          <w:color w:val="auto"/>
        </w:rPr>
      </w:pPr>
      <w:r>
        <w:rPr>
          <w:rFonts w:ascii="Times New Roman" w:cs="Times New Roman" w:eastAsia="Times New Roman" w:hAnsi="Times New Roman"/>
          <w:sz w:val="18"/>
          <w:szCs w:val="18"/>
          <w:b w:val="1"/>
          <w:bCs w:val="1"/>
          <w:color w:val="auto"/>
        </w:rPr>
        <w:t>HOLDERS OF THE COMPANY’S COMMON STOCK MAY ALSO VOTE AT THE MEETING VIRTUALLY BY THE ONLINE VOTING PLATFORM. HOLDERS OF CDIS WILL NOT BE ABLE TO VOTE DURING THE ANNUAL MEETING VIA THE ONLINE VOTING PLATFORM, HOWEVER HOLDERS OF CDIS</w:t>
      </w:r>
    </w:p>
    <w:p>
      <w:pPr>
        <w:spacing w:after="0" w:line="1" w:lineRule="exact"/>
        <w:rPr>
          <w:sz w:val="20"/>
          <w:szCs w:val="20"/>
          <w:color w:val="auto"/>
        </w:rPr>
      </w:pPr>
    </w:p>
    <w:p>
      <w:pPr>
        <w:jc w:val="center"/>
        <w:ind w:left="480" w:right="100"/>
        <w:spacing w:after="0" w:line="260" w:lineRule="auto"/>
        <w:rPr>
          <w:sz w:val="20"/>
          <w:szCs w:val="20"/>
          <w:color w:val="auto"/>
        </w:rPr>
      </w:pPr>
      <w:r>
        <w:rPr>
          <w:rFonts w:ascii="Times New Roman" w:cs="Times New Roman" w:eastAsia="Times New Roman" w:hAnsi="Times New Roman"/>
          <w:sz w:val="18"/>
          <w:szCs w:val="18"/>
          <w:b w:val="1"/>
          <w:bCs w:val="1"/>
          <w:color w:val="auto"/>
        </w:rPr>
        <w:t>CAN DIRECT CHESS DEPOSITARY NOMINEES PTY LTD TO VOTE THE COMMON STOCK UNDERLYING THEIR CDIS AT THE ANNUAL MEETING BY COMPLETING THE CDI VOTING INSTRUCTION FORM.</w:t>
      </w:r>
    </w:p>
    <w:p>
      <w:pPr>
        <w:spacing w:after="0" w:line="177" w:lineRule="exact"/>
        <w:rPr>
          <w:sz w:val="20"/>
          <w:szCs w:val="20"/>
          <w:color w:val="auto"/>
        </w:rPr>
      </w:pPr>
    </w:p>
    <w:p>
      <w:pPr>
        <w:jc w:val="center"/>
        <w:ind w:left="460" w:right="14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JUNE 6, 2023, AT 3:00 P.M. (PACIFIC DAYLIGHT TIME) (BEING JUNE 7, 2023, AT 8:00 A.M. AUSTRALIAN EASTERN STANDARD TIME)</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Notice of Annual Meeting of Stockholders, Proxy Statement and the Annual Report to Stockholders are available on the following website:</w:t>
      </w: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http://www.edocumentview.com/RCEL</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80" w:type="dxa"/>
            <w:vAlign w:val="bottom"/>
            <w:gridSpan w:val="13"/>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20" w:type="dxa"/>
            <w:vAlign w:val="bottom"/>
            <w:gridSpan w:val="41"/>
            <w:vMerge w:val="restart"/>
          </w:tcPr>
          <w:p>
            <w:pPr>
              <w:spacing w:after="0"/>
              <w:rPr>
                <w:sz w:val="20"/>
                <w:szCs w:val="20"/>
                <w:color w:val="auto"/>
              </w:rPr>
            </w:pPr>
            <w:r>
              <w:rPr>
                <w:rFonts w:ascii="Times New Roman" w:cs="Times New Roman" w:eastAsia="Times New Roman" w:hAnsi="Times New Roman"/>
                <w:sz w:val="18"/>
                <w:szCs w:val="18"/>
                <w:color w:val="0000EE"/>
              </w:rPr>
              <w:t>ABOUT THE MEETING</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20" w:type="dxa"/>
            <w:vAlign w:val="bottom"/>
            <w:gridSpan w:val="41"/>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7320" w:type="dxa"/>
            <w:vAlign w:val="bottom"/>
            <w:gridSpan w:val="18"/>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Business Experience .</w:t>
            </w:r>
          </w:p>
        </w:tc>
        <w:tc>
          <w:tcPr>
            <w:tcW w:w="868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Committee Table</w:t>
            </w:r>
          </w:p>
        </w:tc>
        <w:tc>
          <w:tcPr>
            <w:tcW w:w="9020" w:type="dxa"/>
            <w:vAlign w:val="bottom"/>
            <w:gridSpan w:val="3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9000" w:type="dxa"/>
            <w:vAlign w:val="bottom"/>
            <w:gridSpan w:val="3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Nominating &amp; Corporate Governance Committee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Process for Nominating Potential Director Candidates</w:t>
            </w:r>
          </w:p>
        </w:tc>
        <w:tc>
          <w:tcPr>
            <w:tcW w:w="638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Diversity Matrix</w:t>
            </w:r>
          </w:p>
        </w:tc>
        <w:tc>
          <w:tcPr>
            <w:tcW w:w="856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Meetings</w:t>
            </w:r>
          </w:p>
        </w:tc>
        <w:tc>
          <w:tcPr>
            <w:tcW w:w="9100" w:type="dxa"/>
            <w:vAlign w:val="bottom"/>
            <w:gridSpan w:val="3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Leadership Structure .</w:t>
            </w:r>
          </w:p>
        </w:tc>
        <w:tc>
          <w:tcPr>
            <w:tcW w:w="8180" w:type="dxa"/>
            <w:vAlign w:val="bottom"/>
            <w:gridSpan w:val="2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Risk Oversight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Stockholder and Interested Party Communications with Directors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6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w:t>
            </w:r>
          </w:p>
        </w:tc>
        <w:tc>
          <w:tcPr>
            <w:tcW w:w="160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Pre-Approval Practice</w:t>
            </w:r>
          </w:p>
        </w:tc>
        <w:tc>
          <w:tcPr>
            <w:tcW w:w="866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220" w:type="dxa"/>
            <w:vAlign w:val="bottom"/>
            <w:tcBorders>
              <w:top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THE COMPANY’S EXECUTIVE OFFICERS</w:t>
            </w:r>
          </w:p>
        </w:tc>
        <w:tc>
          <w:tcPr>
            <w:tcW w:w="40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AND OTHER INFORMATION CONCERNING THE COMPANY’S EXECUTIVE OFFICERS AND DIRECTORS</w:t>
            </w:r>
          </w:p>
        </w:tc>
        <w:tc>
          <w:tcPr>
            <w:tcW w:w="74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Employment Contracts</w:t>
            </w:r>
          </w:p>
        </w:tc>
        <w:tc>
          <w:tcPr>
            <w:tcW w:w="804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 Principles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1660" w:type="dxa"/>
            <w:vAlign w:val="bottom"/>
            <w:tcBorders>
              <w:top w:val="single" w:sz="8" w:color="0000EE"/>
            </w:tcBorders>
            <w:gridSpan w:val="10"/>
          </w:tcPr>
          <w:p>
            <w:pPr>
              <w:spacing w:after="0"/>
              <w:rPr>
                <w:sz w:val="17"/>
                <w:szCs w:val="17"/>
                <w:color w:val="auto"/>
              </w:rPr>
            </w:pPr>
          </w:p>
        </w:tc>
        <w:tc>
          <w:tcPr>
            <w:tcW w:w="692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PROPOSALS 3 – 10 APPROVAL OF THE GRANT OF OPTIONS AND RESTRICTED STOCK UNITS TO NON-EXECUTIVE</w:t>
            </w:r>
          </w:p>
        </w:tc>
        <w:tc>
          <w:tcPr>
            <w:tcW w:w="116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DIRECTORS</w:t>
            </w:r>
          </w:p>
        </w:tc>
        <w:tc>
          <w:tcPr>
            <w:tcW w:w="9440" w:type="dxa"/>
            <w:vAlign w:val="bottom"/>
            <w:gridSpan w:val="3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14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11 APPROVAL OF THE GRANT OF OPTIONS TO MR. JAMES CORBETT, PRESIDENT AND CEO OF THE COMPANY</w:t>
            </w:r>
          </w:p>
        </w:tc>
        <w:tc>
          <w:tcPr>
            <w:tcW w:w="48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PROPOSAL 12 APPROVAL OF THE FIRST AMENDMENT TO THE COMPANY’S 2020 OMNIBUS INCENTIVE PLAN AND THE</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ISSUE OF SECURITIES UNDER THE PLAN</w:t>
            </w:r>
          </w:p>
        </w:tc>
        <w:tc>
          <w:tcPr>
            <w:tcW w:w="70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780" w:type="dxa"/>
            <w:vAlign w:val="bottom"/>
            <w:tcBorders>
              <w:right w:val="single" w:sz="8" w:color="0000EE"/>
            </w:tcBorders>
            <w:gridSpan w:val="1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13 APPROVAL OF EMPLOYEE STOCK PURCHASE PLAN AND THE ISSUANCE OF SECURITIES UNDER THE</w:t>
            </w:r>
          </w:p>
        </w:tc>
        <w:tc>
          <w:tcPr>
            <w:tcW w:w="9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EMPLOYEE STOCK PURCHASE PLAN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780" w:type="dxa"/>
            <w:vAlign w:val="bottom"/>
            <w:tcBorders>
              <w:right w:val="single" w:sz="8" w:color="0000EE"/>
            </w:tcBorders>
            <w:gridSpan w:val="15"/>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PROPOSAL 14 ADVISORY VOTE TO APPROVE THE COMPENSATION OF THE COMPANY’S NAMED EXECUTIVE OFFICERS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ANNUAL REPORT</w:t>
            </w:r>
          </w:p>
        </w:tc>
        <w:tc>
          <w:tcPr>
            <w:tcW w:w="8520" w:type="dxa"/>
            <w:vAlign w:val="bottom"/>
            <w:tcBorders>
              <w:top w:val="single" w:sz="8" w:color="0000EE"/>
            </w:tcBorders>
            <w:gridSpan w:val="31"/>
          </w:tcPr>
          <w:p>
            <w:pPr>
              <w:spacing w:after="0"/>
              <w:rPr>
                <w:sz w:val="17"/>
                <w:szCs w:val="17"/>
                <w:color w:val="auto"/>
              </w:rPr>
            </w:pPr>
          </w:p>
        </w:tc>
        <w:tc>
          <w:tcPr>
            <w:tcW w:w="62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REQUIREMENTS FOR STOCKHOLDER PROPOSALS TO BE BROUGHT BEFORE THE 2023 ANNUAL MEETING</w:t>
            </w:r>
          </w:p>
        </w:tc>
        <w:tc>
          <w:tcPr>
            <w:tcW w:w="17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50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736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ANNEXURE A</w:t>
            </w:r>
          </w:p>
        </w:tc>
        <w:tc>
          <w:tcPr>
            <w:tcW w:w="682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ANNEXURE B</w:t>
            </w:r>
          </w:p>
        </w:tc>
        <w:tc>
          <w:tcPr>
            <w:tcW w:w="9460" w:type="dxa"/>
            <w:vAlign w:val="bottom"/>
            <w:gridSpan w:val="3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208280</wp:posOffset>
            </wp:positionV>
            <wp:extent cx="103695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6, 2023, at 3:00 p.m. (Pacific Daylight Time)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(being June 7, 2023, at 8:00 a.m. (Australian Eastern Standard Time (“AEST”))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SOLICITATION OF PROXY</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Directors”) of AVITA Medical, Inc., a Delaware corporation (“AVITA” or the “Company”), for use at the annual meeting of stockholders of the Company (the “Annual Meeting”) to be held on June 6, 2023, at 3:00 p.m. Pacific Daylight Time (being June 7, 2023, at 8:00 a.m. Australian Eastern Standard Time) by way of a virtual meeting conducted via live webcast with an online voting platform at meetnow.global/MD7TYY7. This Proxy Statement contains information about the matters to be considered at the meeting or any adjournments or postponements of the meeting. In addition to mail, proxies may be solicited in person or by telephone, facsimile and email by the Company’s directors, officers and regular employees, without additional compensation. The Company will bear the cost of solicitation of proxies. Brokerage houses, banks and other custodians, nominees and fiduciaries will be reimbursed for out-of-pocket and reasonable expenses incurred in forwarding proxies and proxy statements.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set 5:00 p.m. Pacific Daylight Time on April 13, 2023 (being 10:00 a.m. AEST on April 14, 2023) as the record date (the “Record Date”) to determine those holders of record of Common Stock who are entitled to notice of, and to electronically vote at, the Annual Meeting and those holders of CHESS Depositary Interests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25,327,761 shares of Common Stock outstanding (including the shares of Common Stock underlying CDIs). On or about April 18, 2023, this Proxy Statement, the proxy card (the “Proxy Card” or “Proxy”) and the CDI Voting Instruction Form (as applicable) are being mailed to stockholders and CDI holders of record as of the Record Date.</w:t>
      </w:r>
    </w:p>
    <w:p>
      <w:pPr>
        <w:spacing w:after="0" w:line="18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virtual Annual Meeting, you may vote via the online platform at meetnow.global/MD7TYY7 if you qualify to do so, even if you have previously voted your shares of Common Stock, except that CDI holders may only instruct CDN to vote on their behalf by completing and signing the CDI Voting Instruction Form and may not electronically vote during the virtual Annual Meeting.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meeting?</w:t>
      </w:r>
    </w:p>
    <w:p>
      <w:pPr>
        <w:spacing w:after="0" w:line="121"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2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To elect seven directors to serve for one-year terms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The ratification of the appointment of Grant Thornton LLP as the Company’s independent public accountants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2023;</w:t>
      </w:r>
    </w:p>
    <w:p>
      <w:pPr>
        <w:spacing w:after="0" w:line="60"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Mr. Lou Panaccio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Professor Suzanne Crowe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Mr. Jeremy Curnock Cook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Ms. Jan Stern Reed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$147,000 (at the time of the grant) and the grant of options to acquire shares of Common Stock (which may be represented by CDIs) equal in value to $63,000 (at the time of the grant) to Mr. Robert McNamara on the terms and conditions set out in this Proxy Statement, pursuant to and for the purposes of ASX Listing Rule 10.11, in recognition of Mr. McNamara being appointed as a new director of the Company during 2023;</w:t>
      </w:r>
    </w:p>
    <w:p>
      <w:pPr>
        <w:spacing w:after="0" w:line="84"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8</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Mr. Robert McNamara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9</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$147,000 (at the time of the grant) and the grant of options to acquire shares of Common Stock (which may be represented by CDIs) equal in value to $63,000 (at the time of the grant) to Mr. Cary Vance on the terms and conditions set out in this Proxy Statement, pursuant to and for the purposes of ASX Listing Rule 10.11, in recognition of Mr. Vance being appointed as a new director of the Company during 2023;</w:t>
      </w:r>
    </w:p>
    <w:p>
      <w:pPr>
        <w:spacing w:after="0" w:line="84"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10</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312" w:lineRule="auto"/>
        <w:rPr>
          <w:sz w:val="20"/>
          <w:szCs w:val="20"/>
          <w:color w:val="auto"/>
        </w:rPr>
      </w:pPr>
      <w:r>
        <w:rPr>
          <w:rFonts w:ascii="Times New Roman" w:cs="Times New Roman" w:eastAsia="Times New Roman" w:hAnsi="Times New Roman"/>
          <w:sz w:val="17"/>
          <w:szCs w:val="17"/>
          <w:color w:val="auto"/>
        </w:rPr>
        <w:t>options to acquire shares of Common Stock (which may be represented by CDIs) equal in value to $37,500 (at the time of the grant) to Mr. Cary Vance on the terms and conditions set out in this Proxy Statement, pursuant to and for the purposes of ASX Listing Rule 10.11;</w:t>
      </w:r>
    </w:p>
    <w:p>
      <w:pPr>
        <w:spacing w:after="0" w:line="41" w:lineRule="exact"/>
        <w:rPr>
          <w:sz w:val="20"/>
          <w:szCs w:val="20"/>
          <w:color w:val="auto"/>
        </w:rPr>
      </w:pPr>
    </w:p>
    <w:p>
      <w:pPr>
        <w:ind w:left="1080" w:right="6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11</w:t>
      </w:r>
      <w:r>
        <w:rPr>
          <w:rFonts w:ascii="Times New Roman" w:cs="Times New Roman" w:eastAsia="Times New Roman" w:hAnsi="Times New Roman"/>
          <w:sz w:val="18"/>
          <w:szCs w:val="18"/>
          <w:color w:val="auto"/>
        </w:rPr>
        <w:t>: To approve the grant of options to acquire 100,000 shares of common stock of the Company (which may be represented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CDIs) to the Company’s Chief Executive Officer, Mr. James Corbett, on the terms and conditions set out in this Proxy Statement, pursuant to and for the purposes of ASX Listing Rule 10.11;</w:t>
      </w:r>
    </w:p>
    <w:p>
      <w:pPr>
        <w:spacing w:after="0" w:line="76" w:lineRule="exact"/>
        <w:rPr>
          <w:rFonts w:ascii="Times New Roman" w:cs="Times New Roman" w:eastAsia="Times New Roman" w:hAnsi="Times New Roman"/>
          <w:sz w:val="18"/>
          <w:szCs w:val="18"/>
          <w:color w:val="auto"/>
        </w:rPr>
      </w:pPr>
    </w:p>
    <w:p>
      <w:pPr>
        <w:ind w:left="1080" w:right="220" w:hanging="424"/>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12</w:t>
      </w:r>
      <w:r>
        <w:rPr>
          <w:rFonts w:ascii="Times New Roman" w:cs="Times New Roman" w:eastAsia="Times New Roman" w:hAnsi="Times New Roman"/>
          <w:sz w:val="18"/>
          <w:szCs w:val="18"/>
          <w:color w:val="auto"/>
        </w:rPr>
        <w:t>: To approve (a) an amendment to the 2020 Omnibus Incentive Plan (the “Plan”), the terms of which are summarized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(the “Plan Amendment”); and (b) for purposes of ASX Listing Rule 7.2 Exception 13(b) and for all other purposes, the issue of equity securities in the Company under and subject to the terms of the Plan for three years commencing on the date that this proposal is approved by the Company’s stockholders as an exception to ASX Listing Rule 7.1;</w:t>
      </w:r>
    </w:p>
    <w:p>
      <w:pPr>
        <w:spacing w:after="0" w:line="81"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13</w:t>
      </w:r>
      <w:r>
        <w:rPr>
          <w:rFonts w:ascii="Times New Roman" w:cs="Times New Roman" w:eastAsia="Times New Roman" w:hAnsi="Times New Roman"/>
          <w:sz w:val="18"/>
          <w:szCs w:val="18"/>
          <w:color w:val="auto"/>
        </w:rPr>
        <w:t>: To approve (a) the adoption of the Company’s Employee Stock Purchase Plan (the “ESPP”), the terms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summarized in this Proxy Statement; and (b) for the purposes of ASX Listing Rule 7.2 Exception 13(b) and for all other purposes, the issue of equity securities in the Company under and subject to the terms of the ESPP within three years from the date that this proposal is approved by the Company’s stockholders as an exception to ASX Listing Rule 7.1;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14</w:t>
      </w:r>
      <w:r>
        <w:rPr>
          <w:rFonts w:ascii="Times New Roman" w:cs="Times New Roman" w:eastAsia="Times New Roman" w:hAnsi="Times New Roman"/>
          <w:sz w:val="18"/>
          <w:szCs w:val="18"/>
          <w:color w:val="auto"/>
        </w:rPr>
        <w:t>: Advisory vote to approve the compensation of the Company’s named executive officers.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or CDIs on the Record Date. Each share of Common Stock is entitled to one vote. Each CDI holder is entitled to direct CDN to vote one vote for every five CDIs held by such holder on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stockholder of record?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by the internet at meetnow.global/MD7TYY7, by telephone, or (if you are reviewing a paper copy of this proxy statement) to fill out and return the proxy card that was included with the proxy statement, to ensure your vote is counted.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beneficially own shares in “street name?”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of Common Stock were held in an account at a broker, bank, or other financial institution (the Company will refer to those organizations collectively as a “broker”), then you are the beneficial owner of shares held in “street name,” and these proxy materials are being forwarded to you by your broker. The broker holding your account is considered the stockholder of record for purposes of voting at the Annual Meeting. 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Your broker is not permitted to vote on your behalf on any matter to be considered at the Annual Meeting (other than ratifying the Company’s appointment of Grant Thornton LLP as the Company’s independent registered public accounting firm) unless you specifically vote in accordance with the instructions provided by your broker. The Company encourages you to communicate your voting decisions to your broker before the deadlines described elsewhere in this proxy statement to ensure that your vote will be counted.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the Company’s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w:t>
      </w:r>
    </w:p>
    <w:p>
      <w:pPr>
        <w:spacing w:after="0" w:line="18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Under the rules governing CDIs, CDN is not permitted to vote on your behalf on any matter to be considered at the Annual Meeting unless you specifically instruct CDN how to vote. The Company encourages you to communicate your voting decisions to CDN in advance of the Annual Meeting to ensure that your vote will be counted by completing the enclosed CDI Voting Instruction Form and returning it to the address specified on that form.</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virtually and vote via the online platform at meetnow.global/MD7TYY7 or if you properly return a Proxy (in the case of holders of Common Stock) or CDI Voting Instruction Form (in the case of holders of CDIs). To conduct the meeting, the holders of not less than a majority in voting power of the outstanding shares of stock entitled to vote must be present at the meeting in person or by proxy. This is referred to as a quorum. On the Record Date, there were 25,327,761 outstanding shares of Common Stock (including Common Stock underlying CDIs)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Common Stock can vote in three ways:</w:t>
      </w:r>
    </w:p>
    <w:p>
      <w:pPr>
        <w:spacing w:after="0" w:line="131" w:lineRule="exact"/>
        <w:rPr>
          <w:sz w:val="20"/>
          <w:szCs w:val="20"/>
          <w:color w:val="auto"/>
        </w:rPr>
      </w:pPr>
    </w:p>
    <w:p>
      <w:pPr>
        <w:ind w:left="1080" w:right="2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virtually via live webcast and voting using the online voting platform at meetnow.global/MD7TYY7 using the 16-digit Control Number provided in the Notice of Annual Meeting to log in to the website;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 in accordance with the instructions on such card.</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hold shares of Common Stock in “street name,” you will need to follow the instructions provided by the broker, bank or other nominee that holds your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CDI holder as of the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by returning the CDI Voting Instruction Form to Computershare Australia, the agent the Company has designated for the collection and processing of voting instructions from the Company’s CDI holders. Votes must be received by Computershare Australia by no later than 9:00 am (AEST) on Thursday, June 1, 2023, (being 4:00 pm Pacific Daylight Time / 7:00 pm Eastern Daylight Time on Wednesday, May 31, 2023) in accordance with the instructions on such form, in order for CDN to vote on CDI holders’ behalf in accordance with their written directions.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Alternatively, CDI holders can inform CDN via the CDI Voting Instruction Form that they wish to nominate themselves or another person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Chair of the Annual Meeting) to be appointed as CDN’s proxy for the purposes of virtually attending and voting at the Annual Meeting.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CDIs must comply with the instructions above if they wish to have their votes cast at the Annual Meeting.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 or CDI Voting Instruction 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can do this by</w:t>
      </w:r>
    </w:p>
    <w:p>
      <w:pPr>
        <w:spacing w:after="0" w:line="27" w:lineRule="exact"/>
        <w:rPr>
          <w:sz w:val="20"/>
          <w:szCs w:val="20"/>
          <w:color w:val="auto"/>
        </w:rPr>
      </w:pPr>
    </w:p>
    <w:p>
      <w:pPr>
        <w:ind w:left="120" w:right="100" w:hanging="4"/>
        <w:spacing w:after="0" w:line="255"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 and submitting it in the same manner as the prior Proxy was submitted; (2) if you hold your shares in your name, voting again at the meeting via the online voting platform; or (3) if you hold your shares in street name, arranging with your broker to vote your shares at the Annual Meeting.</w:t>
      </w:r>
    </w:p>
    <w:p>
      <w:pPr>
        <w:spacing w:after="0" w:line="18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(AEST) on Thursday, June 1, 2023, (being 4:00 pm Pacific Daylight Time / 7:00 pm Eastern Daylight Time on Wednesday, May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or CDIs be voted if I do not provide my Proxy or CDI Voting Instruction Form?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a quorum.</w:t>
      </w:r>
    </w:p>
    <w:p>
      <w:pPr>
        <w:spacing w:after="0" w:line="183"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(AEST) on Thursday, June 1, 2023 (being 4:00 pm Pacific Daylight Time / 7:00 pm Eastern Daylight Time on Wednesday, May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FOR the approval of the grant of options to the Company’s President and Chief Executive Officer, FOR the approval of the Plan Amendment, and FOR the approval of the Employee Stock Purchase Plan, but they will not be voted with respect to the advisory vote regarding compensation paid to the Company’s named executive officers.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Australia. Computershare Australia’s telephone number is +61 39415 4000 (for overseas callers) or 1300 850 505 (for calls within Australia).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votes cast and the affirmative vote of the holders of a majority in voting power of the shares of stock of the Company which are present in person or by proxy and entitled to vote thereon is required for (i) the ratification of the appointment of the Company’s independent public accountants; (ii) the approval of the grant of restricted stock units and options to each non-executive director; (iii) the approval of the grant options to the Company’s President and CEO; (iv) the approval for the Plan Amendment; (v) the approval of the Employee Stock Purchase Plan; and (vi) the approval of the compensation paid to the Company’s named executive officers on a non-binding, advisory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 within four business days following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pays for solicitation of proxies?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and reasonable expenses for sending proxy materials to holders and obtaining their votes. In addition to soliciting the proxies by mail, certain of the Company’s directors, officers and regular employees, without compensation, may solicit proxies personally or by telephone, facsimile and email. In connection with the foregoing, the Company has retained Okapi Partners LLC to solicit proxies on its behalf for the Annual Meeting. The Company has agreed to pay to Okapi Partners, LLC a fee of approximately $25,000. In Australia, the Company has engaged Georgeson Shareholder Communications Australia Pty Ltd. to solicit proxies from holders of CDIs. The Company has agreed to pay Georgeson Shareholder Communications Australia Pty Ltd. a fee of approximately $48,000.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can I submit a proposal for the 2024 annual meeting of stockholders?</w:t>
      </w:r>
    </w:p>
    <w:p>
      <w:pPr>
        <w:spacing w:after="0" w:line="11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the Company’s Proxy Materials. </w:t>
      </w:r>
      <w:r>
        <w:rPr>
          <w:rFonts w:ascii="Times New Roman" w:cs="Times New Roman" w:eastAsia="Times New Roman" w:hAnsi="Times New Roman"/>
          <w:sz w:val="18"/>
          <w:szCs w:val="18"/>
          <w:color w:val="auto"/>
        </w:rPr>
        <w:t>Stockholder proposals,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for election to the Board of Directors, to be considered for inclusion in the proxy statement and form of proxy relating to the 2024 annual meeting of stockholders must be received by December 18, 2023. In addition, all proposals will need to comply with Rule 14a-8 of the Securities Exchange Act of 1934, as amended (the “Exchange Act”), which lists the requirements for the inclusion of stockholder proposals in company-sponsored proxy materials, as well as include the information required by the Company’s Bylaws. Stockholder proposals must be delivered to the Company’s Secretary at 28159 Avenue Stanford, Suite 220, Valencia, California, 91355.</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2024 Annual Meeting of Stockholders. </w:t>
      </w:r>
      <w:r>
        <w:rPr>
          <w:rFonts w:ascii="Times New Roman" w:cs="Times New Roman" w:eastAsia="Times New Roman" w:hAnsi="Times New Roman"/>
          <w:sz w:val="18"/>
          <w:szCs w:val="18"/>
          <w:color w:val="auto"/>
        </w:rPr>
        <w:t>Notice of any director nomination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proposal that you intend to present at the 2024 annual meeting of stockholders, but do not intend to have included in the proxy statement and form of proxy relating to the 2024 annual meeting of stockholders, must be delivered to the Company’s Secretary at 28159 Avenue Stanford, Suite 220, Valencia, California, 91355 no earlier than the close of business on February 3, 2024 and not later than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close of business on March 3, 2024. In addition, your notice must set forth the information required by the Company’s Bylaws with respect to each director nomination or other proposal that you intend to present at the 2024 annual meeting of stockholders.</w:t>
      </w:r>
    </w:p>
    <w:p>
      <w:pPr>
        <w:spacing w:after="0" w:line="16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Universal Proxy Requirements. </w:t>
      </w:r>
      <w:r>
        <w:rPr>
          <w:rFonts w:ascii="Times New Roman" w:cs="Times New Roman" w:eastAsia="Times New Roman" w:hAnsi="Times New Roman"/>
          <w:sz w:val="18"/>
          <w:szCs w:val="18"/>
          <w:color w:val="auto"/>
        </w:rPr>
        <w:t>In addition to satisfying the foregoing requirements under the Company’s Bylaws, to comply with the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rules, stockholders who intend to solicit proxies in support of director nominees other than the Company’s nominees must provide notice that sets forth the information required by Rule 14a-19 under the Exchange Act no later than April 3, 2024.</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one class of directors,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Each of the nominees has consented to serve as a director if elected.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nominees identified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 Board</w:t>
            </w:r>
          </w:p>
        </w:tc>
        <w:tc>
          <w:tcPr>
            <w:tcW w:w="0" w:type="dxa"/>
            <w:vAlign w:val="bottom"/>
          </w:tcPr>
          <w:p>
            <w:pPr>
              <w:spacing w:after="0"/>
              <w:rPr>
                <w:sz w:val="1"/>
                <w:szCs w:val="1"/>
                <w:color w:val="auto"/>
              </w:rPr>
            </w:pPr>
          </w:p>
        </w:tc>
      </w:tr>
      <w:tr>
        <w:trPr>
          <w:trHeight w:val="182"/>
        </w:trPr>
        <w:tc>
          <w:tcPr>
            <w:tcW w:w="42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Since</w:t>
            </w:r>
            <w:r>
              <w:rPr>
                <w:rFonts w:ascii="Times New Roman" w:cs="Times New Roman" w:eastAsia="Times New Roman" w:hAnsi="Times New Roman"/>
                <w:sz w:val="10"/>
                <w:szCs w:val="10"/>
                <w:b w:val="1"/>
                <w:bCs w:val="1"/>
                <w:color w:val="auto"/>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Lou</w:t>
            </w:r>
          </w:p>
        </w:tc>
        <w:tc>
          <w:tcPr>
            <w:tcW w:w="39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Panaccio</w:t>
            </w:r>
          </w:p>
        </w:tc>
        <w:tc>
          <w:tcPr>
            <w:tcW w:w="2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65</w:t>
            </w:r>
          </w:p>
        </w:tc>
        <w:tc>
          <w:tcPr>
            <w:tcW w:w="460" w:type="dxa"/>
            <w:vAlign w:val="bottom"/>
          </w:tcPr>
          <w:p>
            <w:pPr>
              <w:spacing w:after="0"/>
              <w:rPr>
                <w:sz w:val="16"/>
                <w:szCs w:val="16"/>
                <w:color w:val="auto"/>
              </w:rPr>
            </w:pPr>
          </w:p>
        </w:tc>
        <w:tc>
          <w:tcPr>
            <w:tcW w:w="38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80" w:type="dxa"/>
            <w:vAlign w:val="bottom"/>
          </w:tcPr>
          <w:p>
            <w:pPr>
              <w:spacing w:after="0"/>
              <w:rPr>
                <w:sz w:val="16"/>
                <w:szCs w:val="16"/>
                <w:color w:val="auto"/>
              </w:rPr>
            </w:pPr>
          </w:p>
        </w:tc>
        <w:tc>
          <w:tcPr>
            <w:tcW w:w="540" w:type="dxa"/>
            <w:vAlign w:val="bottom"/>
            <w:tcBorders>
              <w:top w:val="single" w:sz="8" w:color="auto"/>
            </w:tcBorders>
          </w:tcPr>
          <w:p>
            <w:pPr>
              <w:jc w:val="center"/>
              <w:ind w:left="94"/>
              <w:spacing w:after="0" w:line="185" w:lineRule="exact"/>
              <w:rPr>
                <w:sz w:val="20"/>
                <w:szCs w:val="20"/>
                <w:color w:val="auto"/>
              </w:rPr>
            </w:pPr>
            <w:r>
              <w:rPr>
                <w:rFonts w:ascii="Times New Roman" w:cs="Times New Roman" w:eastAsia="Times New Roman" w:hAnsi="Times New Roman"/>
                <w:sz w:val="18"/>
                <w:szCs w:val="18"/>
                <w:color w:val="auto"/>
                <w:w w:val="99"/>
              </w:rPr>
              <w:t>2014</w:t>
            </w:r>
          </w:p>
        </w:tc>
        <w:tc>
          <w:tcPr>
            <w:tcW w:w="440" w:type="dxa"/>
            <w:vAlign w:val="bottom"/>
          </w:tcPr>
          <w:p>
            <w:pPr>
              <w:spacing w:after="0"/>
              <w:rPr>
                <w:sz w:val="16"/>
                <w:szCs w:val="16"/>
                <w:color w:val="auto"/>
              </w:rPr>
            </w:pPr>
          </w:p>
        </w:tc>
        <w:tc>
          <w:tcPr>
            <w:tcW w:w="8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Executive Director and Chief Executive Officer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Director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2012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71</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Director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Director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w:t>
            </w: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 nominee</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Cary Vance</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w:t>
            </w: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 nominee</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40" w:hanging="42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Panaccio, Mr. Cook and Ms. Crowe served on the Board of Directors prior to June 30, 2020, as a member of the board of AVITA Medical Pty Limited, the Company’s predecessor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11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Lou Panaccio </w:t>
      </w:r>
      <w:r>
        <w:rPr>
          <w:rFonts w:ascii="Times New Roman" w:cs="Times New Roman" w:eastAsia="Times New Roman" w:hAnsi="Times New Roman"/>
          <w:sz w:val="18"/>
          <w:szCs w:val="18"/>
          <w:color w:val="auto"/>
        </w:rPr>
        <w:t>has served as Non-Executive Chairman of the Board of Directors since July 2014. Mr. Panaccio is a successful healthcare businessman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extensive experience leading companies from concept to commercialization. Mr. Panaccio possesses more than 35 years of executive leadership experience in healthcare services and life sciences, including more than 25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a Non-Executive Chairman of Genera Biosystems Limited until June 2019, is a Non-Executive Chairman of Adherium Limited and a Non-Executive Director of Rhythm Biosciences Limited, both of which are publicly listed (ASX) development-stage medical diagnostics/devices companies. We believe Mr. Panaccio is qualified to serve on our Board of Directors based on his extensive experience in the healthcare services and life sciences sectors and his experience in serving on boards.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was appointed as President and CEO of the Company effective as of September 28, 2022. Mr. Corbett served as a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Non-Executive Director since October 2012. He is a veteran in the life sciences/healthcare industry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Sea Dragon appointed October 2012, Adherium Ltd appointed April 2015, Bioscience Managers UK Ltd appointed August 2017, Marine Department Ltd, appointed January 2019, JLCC Ltd appointed December 2019, CRiL appointed November 2020 and Humanetix Ltd appointed September 2021. We believe Mr. Curnock Cook is qualified to serve on our Board of Directors based on his extensive experience in the life sciences sector.</w:t>
      </w:r>
    </w:p>
    <w:p>
      <w:pPr>
        <w:spacing w:after="0" w:line="18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Non-Executive Director since January 2016. Australian-based, she is a physician-scientist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diagnostics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spacing w:after="0" w:line="188" w:lineRule="exact"/>
        <w:rPr>
          <w:sz w:val="20"/>
          <w:szCs w:val="20"/>
          <w:color w:val="auto"/>
        </w:rPr>
      </w:pPr>
    </w:p>
    <w:p>
      <w:pPr>
        <w:ind w:left="120" w:right="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Jan Stern Reed </w:t>
      </w:r>
      <w:r>
        <w:rPr>
          <w:rFonts w:ascii="Times New Roman" w:cs="Times New Roman" w:eastAsia="Times New Roman" w:hAnsi="Times New Roman"/>
          <w:sz w:val="17"/>
          <w:szCs w:val="17"/>
          <w:color w:val="auto"/>
        </w:rPr>
        <w:t>has served as a Non-Executive Director since July 2021. She has more than 35 years of legal, management and business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primarily within the healthcare industry, and brings significant expertise in corporate governance, compliance, and risk management.</w:t>
      </w:r>
    </w:p>
    <w:p>
      <w:pPr>
        <w:spacing w:after="0" w:line="1" w:lineRule="exact"/>
        <w:rPr>
          <w:sz w:val="20"/>
          <w:szCs w:val="20"/>
          <w:color w:val="auto"/>
        </w:rPr>
      </w:pPr>
    </w:p>
    <w:p>
      <w:pPr>
        <w:jc w:val="both"/>
        <w:ind w:left="120" w:right="220"/>
        <w:spacing w:after="0" w:line="265" w:lineRule="auto"/>
        <w:rPr>
          <w:sz w:val="20"/>
          <w:szCs w:val="20"/>
          <w:color w:val="auto"/>
        </w:rPr>
      </w:pPr>
      <w:r>
        <w:rPr>
          <w:rFonts w:ascii="Times New Roman" w:cs="Times New Roman" w:eastAsia="Times New Roman" w:hAnsi="Times New Roman"/>
          <w:sz w:val="17"/>
          <w:szCs w:val="17"/>
          <w:color w:val="auto"/>
        </w:rPr>
        <w:t>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w:t>
      </w: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w:t>
      </w:r>
    </w:p>
    <w:p>
      <w:pPr>
        <w:spacing w:after="0" w:line="184"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Robert McNamara </w:t>
      </w:r>
      <w:r>
        <w:rPr>
          <w:rFonts w:ascii="Times New Roman" w:cs="Times New Roman" w:eastAsia="Times New Roman" w:hAnsi="Times New Roman"/>
          <w:sz w:val="18"/>
          <w:szCs w:val="18"/>
          <w:color w:val="auto"/>
        </w:rPr>
        <w:t>is a director nominee and appointed to serve as a Non-Executive Director effective April 1, 2023. He is an accomplished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with over 25 years of leadership experience in public and privately held companies in the medical device and technology industries. His extensive experience in operations and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financial management spans across early stage, high growth, and mature companies. He is currently a member of the Board of Directors and Chair of Audit Committee for Axonics Modulation Technologies and Teknova. Additionally, Mr. McNamara is a member of the Board of Directors and Chair of Compensation Committee for Xtant Medical Holdings. Prior to these appointments, Mr. McNamara served as Executive Vice President, Chief Financial Officer of LDR Holding/Spine. Prior to this role, he served as the Chief Financial Officer of three publicly traded medical device companies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w:t>
      </w:r>
    </w:p>
    <w:p>
      <w:pPr>
        <w:spacing w:after="0" w:line="18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Cary Vance is </w:t>
      </w:r>
      <w:r>
        <w:rPr>
          <w:rFonts w:ascii="Times New Roman" w:cs="Times New Roman" w:eastAsia="Times New Roman" w:hAnsi="Times New Roman"/>
          <w:sz w:val="18"/>
          <w:szCs w:val="18"/>
          <w:color w:val="auto"/>
        </w:rPr>
        <w:t>a director nominee and appointed to serve as a Non-Executive Director effective April 1, 2023. He has over 25 years of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experience with commercial and operational expertise in the healthcare industry. He is currently the President and Chief Executive Officer of Titan Medical, a position he has held since July 2022. Prior to this appointment, he served as an independent director for Titan Medical’s Board of Directors. Previously, Mr. Vance served as President and CEO of XCath, a privately held neurovascular robotics company, having also served in similar roles at OptiScan Biomedical and Myoscience. Prior to these roles, he served as President and CEO of Hansen Medical, a publicly held robotics company from 2014 to 2016. Additional executive leadership experience includes roles include at Teleflex, Covidien, and GE Healthcare. Mr. Vance holds both a Bachelor of Arts degree in Economics and an MBA from Marquette University. We believe Mr. Vance is qualified to serve on our Board of Directors based on his leadership experience and extensive expertise in commercial and operations in the healthcare industry.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Committee Table (as of March 28, 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current committees of the Board and their respective members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&amp;</w:t>
            </w:r>
          </w:p>
        </w:tc>
      </w:tr>
      <w:tr>
        <w:trPr>
          <w:trHeight w:val="149"/>
        </w:trPr>
        <w:tc>
          <w:tcPr>
            <w:tcW w:w="5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 Governance</w:t>
            </w:r>
          </w:p>
        </w:tc>
      </w:t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358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185"/>
        </w:trPr>
        <w:tc>
          <w:tcPr>
            <w:tcW w:w="41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Lou Panaccio</w:t>
            </w: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6"/>
                <w:szCs w:val="16"/>
                <w:color w:val="auto"/>
              </w:rPr>
            </w:pPr>
          </w:p>
        </w:tc>
        <w:tc>
          <w:tcPr>
            <w:tcW w:w="21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c>
          <w:tcPr>
            <w:tcW w:w="2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Member</w:t>
            </w:r>
          </w:p>
        </w:tc>
        <w:tc>
          <w:tcPr>
            <w:tcW w:w="22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Member</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Interim Chair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Member</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bl>
    <w:p>
      <w:pPr>
        <w:spacing w:after="0" w:line="19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of these committees operates under a written charter and reports regularly to the Board. A copy of each of these committee charters is available in the “Investors” section of the Company’s website under the heading “Corporate Governance” at </w:t>
      </w:r>
      <w:r>
        <w:rPr>
          <w:rFonts w:ascii="Times New Roman" w:cs="Times New Roman" w:eastAsia="Times New Roman" w:hAnsi="Times New Roman"/>
          <w:sz w:val="18"/>
          <w:szCs w:val="18"/>
          <w:i w:val="1"/>
          <w:iCs w:val="1"/>
          <w:color w:val="auto"/>
        </w:rPr>
        <w:t>ir.avitamedical.com</w:t>
      </w:r>
      <w:r>
        <w:rPr>
          <w:rFonts w:ascii="Times New Roman" w:cs="Times New Roman" w:eastAsia="Times New Roman" w:hAnsi="Times New Roman"/>
          <w:sz w:val="18"/>
          <w:szCs w:val="18"/>
          <w:color w:val="auto"/>
        </w:rPr>
        <w:t>, and copies may also be obtained by request through the “Contact” heading at the same website address.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4th Edition of the ASX’s Corporate Governance Principles and Recommendations recommend that the Company has an Audit Committee comprised of at least three members, all of whom are non-executive directors and a majority of whom are “independent” directors, and which is chaired by an independent director who is not the chair of the board.</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has a separately designated standing Audit Committee established in accordance with Section 3(a)(58)(A) of the Exchange Act. The Company’s Audit Committee assists the Board of Directors in overseeing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accounting and financial reporting processes of the Company and audits of its financial statements, including the integrity of the Company’s financial statements, compliance with legal and regulatory requirements, the Company’s registered public accounting firm’s qualifications and independence, and such other duties as may be directed by the Board of Directors. The Audit Committee is also required to assess risk management in conjunction with the Board.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Audit Committee currently consists of three Board members, each of whom satisfies the “independence” requirements of the SEC, Nasdaq Marketplace Rules, and the 4th Edition of the ASX’s Corporate Governance Principles and Recommendations. The Company’s Audit Committee is currently composed of Jeremy Curnock Cook, Lou Panaccio and Jan Stern Reed. Each qualifies as an “independent director” within the meaning of Nasdaq Marketplace Rules and the 4th Edition of the ASX’s Corporate Governance Principles and Recommendations. Mr. Corbett was the Chairman of the Audit Committee from February 23, 2022, through September 28, 2022. Mr. Corbett stepped down from his role on the Audit Committee following his appointment to President and CEO of the Company on September 28, 2022. Prior to his appointment to President and CEO, Mr. Corbett was an independent director. Mr. Curnock Cook is the current Interim Audit Committee Chair and was appointed to that role as of September 28, 2022, following Mr. Corbett’s transition to President and CEO of the Company. The Company’s Board of Directors has determined that Mr. Curnock Cook is an “audit committee financial expert,” as defined in item 407(d)(5)(ii) of Regulations S-K. The Audit Committee held a total of six meetings during the year ended December 31, 2022. The meetings attended by each Director, and the number of meetings that they were eligible to attend, is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53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Audit Committee Meeting Attendance</w:t>
            </w:r>
          </w:p>
        </w:tc>
      </w:tr>
      <w:tr>
        <w:trPr>
          <w:trHeight w:val="117"/>
        </w:trPr>
        <w:tc>
          <w:tcPr>
            <w:tcW w:w="2140" w:type="dxa"/>
            <w:vAlign w:val="bottom"/>
            <w:tcBorders>
              <w:top w:val="single" w:sz="8" w:color="auto"/>
            </w:tcBorders>
          </w:tcPr>
          <w:p>
            <w:pPr>
              <w:spacing w:after="0"/>
              <w:rPr>
                <w:sz w:val="10"/>
                <w:szCs w:val="10"/>
                <w:color w:val="auto"/>
              </w:rPr>
            </w:pPr>
          </w:p>
        </w:tc>
        <w:tc>
          <w:tcPr>
            <w:tcW w:w="36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21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6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86"/>
              </w:rPr>
              <w:t>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34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340" w:type="dxa"/>
            <w:vAlign w:val="bottom"/>
            <w:gridSpan w:val="3"/>
            <w:shd w:val="clear" w:color="auto" w:fill="CCEEFF"/>
          </w:tcPr>
          <w:p>
            <w:pPr>
              <w:ind w:left="50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34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5340" w:type="dxa"/>
            <w:vAlign w:val="bottom"/>
            <w:gridSpan w:val="3"/>
            <w:shd w:val="clear" w:color="auto" w:fill="CCEEFF"/>
          </w:tcPr>
          <w:p>
            <w:pPr>
              <w:ind w:left="5060"/>
              <w:spacing w:after="0"/>
              <w:rPr>
                <w:sz w:val="20"/>
                <w:szCs w:val="20"/>
                <w:color w:val="auto"/>
              </w:rPr>
            </w:pPr>
            <w:r>
              <w:rPr>
                <w:rFonts w:ascii="Times New Roman" w:cs="Times New Roman" w:eastAsia="Times New Roman" w:hAnsi="Times New Roman"/>
                <w:sz w:val="18"/>
                <w:szCs w:val="18"/>
                <w:color w:val="auto"/>
              </w:rPr>
              <w:t>3/4</w:t>
            </w:r>
          </w:p>
        </w:tc>
      </w:tr>
    </w:tbl>
    <w:p>
      <w:pPr>
        <w:spacing w:after="0" w:line="225" w:lineRule="exact"/>
        <w:rPr>
          <w:sz w:val="20"/>
          <w:szCs w:val="20"/>
          <w:color w:val="auto"/>
        </w:rPr>
      </w:pPr>
    </w:p>
    <w:p>
      <w:pPr>
        <w:ind w:left="540" w:right="34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Curnock Cook stepped down from his role on the Audit Committee shortly after December 31, 2021, however, he was re-appointed to the Audit Committee as Interim Chair on September 28, 2022, following the appointment of Mr. James Corbett as President and CEO of the</w:t>
      </w:r>
    </w:p>
    <w:p>
      <w:pPr>
        <w:spacing w:after="0" w:line="162" w:lineRule="exact"/>
        <w:rPr>
          <w:sz w:val="20"/>
          <w:szCs w:val="20"/>
          <w:color w:val="auto"/>
        </w:rPr>
      </w:pPr>
    </w:p>
    <w:p>
      <w:pPr>
        <w:ind w:left="540" w:right="820" w:hanging="424"/>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Audit Committee from that date.</w:t>
      </w:r>
    </w:p>
    <w:p>
      <w:pPr>
        <w:ind w:left="540" w:right="180" w:hanging="424"/>
        <w:spacing w:after="0" w:line="26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was not a member of the Audit Committee but was in attendance at all Audit Committee meetings from January 1, 2022 up to the date he ceased to be President and CEO on September 28, 2022</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established a Compensation Committee, which is comprised of independent directors, within the meaning of NASDAQ Marketplace Rules and also the 4th Edition of the ASX’s Corporate Governance Principles and Recommendations. The Compensation Committee is comprised solely of non-executive directors and is also chaired by an independent director in accordance with the 4th Edition of the ASX’s Corporate Governance Principles and Recommendations. The Compensation Committee is responsible for reviewing the salary, incentives and other benefits of the Company’s directors, senior executive officers and employees, and for making recommendations on such matters for approval by the Board of Directors. The Compensation Committee is also responsible for overseeing and advising the Company’s Board of Directors with regard to the adoption of policies that govern our compensation programs. Professor Suzanne Crowe, Jeremy Curnock Cook, Jan Stern Reed and Lou Panaccio are the current members of the Compensation Committee, and each qualifies as an “independent director” within the meaning of NASDAQ Marketplace Rules and the 4th Edition of the ASX’s Corporate Governance Principles and Recommendations. Jan Stern Reed is the chair of the Compensation Committee (being an independent director who is not the chair of the board).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held a total of 10 meetings during the year ended December 31, 2022. The meetings attended by each Director, and the number of meetings that they were each eligible to attend is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080" w:type="dxa"/>
            <w:vAlign w:val="bottom"/>
          </w:tcPr>
          <w:p>
            <w:pPr>
              <w:spacing w:after="0"/>
              <w:rPr>
                <w:sz w:val="16"/>
                <w:szCs w:val="16"/>
                <w:color w:val="auto"/>
              </w:rPr>
            </w:pPr>
          </w:p>
        </w:tc>
        <w:tc>
          <w:tcPr>
            <w:tcW w:w="5400" w:type="dxa"/>
            <w:vAlign w:val="bottom"/>
            <w:gridSpan w:val="3"/>
          </w:tcPr>
          <w:p>
            <w:pPr>
              <w:jc w:val="right"/>
              <w:ind w:right="2320"/>
              <w:spacing w:after="0"/>
              <w:rPr>
                <w:sz w:val="20"/>
                <w:szCs w:val="20"/>
                <w:color w:val="auto"/>
              </w:rPr>
            </w:pPr>
            <w:r>
              <w:rPr>
                <w:rFonts w:ascii="Times New Roman" w:cs="Times New Roman" w:eastAsia="Times New Roman" w:hAnsi="Times New Roman"/>
                <w:sz w:val="14"/>
                <w:szCs w:val="14"/>
                <w:b w:val="1"/>
                <w:bCs w:val="1"/>
                <w:color w:val="auto"/>
              </w:rPr>
              <w:t>Compensation Committee Meeting Attendance</w:t>
            </w:r>
          </w:p>
        </w:tc>
      </w:tr>
      <w:tr>
        <w:trPr>
          <w:trHeight w:val="117"/>
        </w:trPr>
        <w:tc>
          <w:tcPr>
            <w:tcW w:w="2080" w:type="dxa"/>
            <w:vAlign w:val="bottom"/>
            <w:tcBorders>
              <w:top w:val="single" w:sz="8" w:color="auto"/>
            </w:tcBorders>
          </w:tcPr>
          <w:p>
            <w:pPr>
              <w:spacing w:after="0"/>
              <w:rPr>
                <w:sz w:val="10"/>
                <w:szCs w:val="10"/>
                <w:color w:val="auto"/>
              </w:rPr>
            </w:pPr>
          </w:p>
        </w:tc>
        <w:tc>
          <w:tcPr>
            <w:tcW w:w="37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20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7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5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5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bl>
    <w:p>
      <w:pPr>
        <w:spacing w:after="0" w:line="85"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Compensation</w:t>
      </w:r>
    </w:p>
    <w:p>
      <w:pPr>
        <w:spacing w:after="0" w:line="225" w:lineRule="exact"/>
        <w:rPr>
          <w:sz w:val="20"/>
          <w:szCs w:val="20"/>
          <w:color w:val="auto"/>
        </w:rPr>
      </w:pPr>
    </w:p>
    <w:p>
      <w:pPr>
        <w:ind w:left="540" w:right="52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was not a member of the Compensation Committee but was in attendance at all Compensation Committee meetings from January 1, 2022, up to the date that he ceased to be President and CEO on September 28,2022.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&amp; Corporate Governance Committee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established a Nominating &amp; Corporate Governance Committee (the “Nominating Committee”). The 4th Edition of the ASX’s Corporate Governance Principles and Recommendations recommends that a Nominating Committee should have at least three members, a majority of whom are independent directors and should also be chaired by an independent director. Professor Suzanne Crowe, Lou Panaccio, Jan Stern Reed and Jeremy Curnock Cook are the current members of the Nominating Committee, and each qualifies as an “independent director” within the meaning of NASDAQ Marketplace Rules and the 4th Edition of the ASX’s Corporate Governance Principles and Recommendations. Jan Stern Reed is the chair of the Nominating Committee (being an independent director). The Nominating Committee is responsible for identifying individuals qualified to become members of the Board of Directors, recommending nominees for election at stockholder meetings or to fill vacancies that arise on the Company’s Board of Directors, and recommending qualified and experienced directors to serve on the committees of the Board of Directors. In addition, the Nominating Committee is responsible for leading the Board of Directors through the completion of a self-evaluation of the Board, its committees, and individual directors.</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held a total of four meetings during the year ended December 31, 2022. The meetings attended by each Director, and the number of meetings that they were eligible to attend, is as follows:</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Nominating &amp; Corporate Governance Committee Meeting Attendance</w:t>
      </w:r>
    </w:p>
    <w:p>
      <w:pPr>
        <w:spacing w:after="0" w:line="26" w:lineRule="exact"/>
        <w:rPr>
          <w:sz w:val="20"/>
          <w:szCs w:val="20"/>
          <w:color w:val="auto"/>
        </w:rPr>
      </w:pPr>
    </w:p>
    <w:tbl>
      <w:tblPr>
        <w:tblLayout w:type="fixed"/>
        <w:tblInd w:w="1880" w:type="dxa"/>
        <w:tblCellMar>
          <w:top w:w="0" w:type="dxa"/>
          <w:left w:w="0" w:type="dxa"/>
          <w:bottom w:w="0" w:type="dxa"/>
          <w:right w:w="0" w:type="dxa"/>
        </w:tblCellMar>
      </w:tblPr>
      <w:tr>
        <w:trPr>
          <w:trHeight w:val="117"/>
        </w:trPr>
        <w:tc>
          <w:tcPr>
            <w:tcW w:w="544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5440" w:type="dxa"/>
            <w:vAlign w:val="bottom"/>
          </w:tcPr>
          <w:p>
            <w:pPr>
              <w:spacing w:after="0"/>
              <w:rPr>
                <w:sz w:val="15"/>
                <w:szCs w:val="15"/>
                <w:color w:val="auto"/>
              </w:rPr>
            </w:pPr>
          </w:p>
        </w:tc>
        <w:tc>
          <w:tcPr>
            <w:tcW w:w="20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98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w w:val="86"/>
              </w:rPr>
              <w:t>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0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0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3/3</w:t>
            </w:r>
          </w:p>
        </w:tc>
      </w:tr>
    </w:tbl>
    <w:p>
      <w:pPr>
        <w:spacing w:after="0" w:line="8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Nominating</w:t>
      </w:r>
    </w:p>
    <w:p>
      <w:pPr>
        <w:spacing w:after="0" w:line="225" w:lineRule="exact"/>
        <w:rPr>
          <w:sz w:val="20"/>
          <w:szCs w:val="20"/>
          <w:color w:val="auto"/>
        </w:rPr>
      </w:pPr>
    </w:p>
    <w:p>
      <w:pPr>
        <w:ind w:left="540" w:right="82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was not a member of the Nominating Committee but was in attendance at all Nominating and Corporate Governance Committee meetings from January 1, 2022 up to the date he ceased to be President and CEO on September 28,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Nominating Potential Director Candidates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potential director candidates and recommending qualified candidates for election by the stockholders consistent with criteria approved by the Board. Nominees for director are selected by the Nominating Committee on the basis of their (i) economic, academic, financial, and other expertise, skills, knowledge, and achievements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that is effective, collegial, and responsive to the needs of the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does not have a formal diversity policy with respect to the Board, but it reviews the background and qualifications of each nominee to determine such nominee’s experience, competence, and character and assesses such nominee’s potential contribution to the Board of Directors, taking into account the then-existing composition of the Board of Directors and such other factors as the Nominating Committee deems appropriate. The Board should collectively possess skills, industry, and other knowledge and expertise, and business and other experience useful for the effective oversight of the Company’s business. The Nominating Committee believes that the business experience of its directors has been, and continues to be, critical to the Company’s development and plan of operation.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values the input of stockholders in identifying director candidates. Accordingly, although the Nominating Committee does not have a specific policy with regard to the consideration of candidates recommended by stockholders, the Nominating Committee considers recommendations for Board candidates submitted by stockholders using substantially the same criteria it applies to recommendations from the Nominating Committee, directors and members of management. Any such nominations should be submitted to the Nominating Committee in line with the instructions provided under the caption “How can I submit a proposal for the 2024 annual meeting of stockholders?” above and in compliance with other specific procedural requirements set forth in the Bylaws.</w:t>
      </w: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Board Diversity Matrix (as of December 31, 2022)</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17"/>
        </w:trPr>
        <w:tc>
          <w:tcPr>
            <w:tcW w:w="47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2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Female</w:t>
            </w:r>
          </w:p>
        </w:tc>
        <w:tc>
          <w:tcPr>
            <w:tcW w:w="900" w:type="dxa"/>
            <w:vAlign w:val="bottom"/>
            <w:tcBorders>
              <w:top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2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04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Did Not Disclose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Size:</w:t>
            </w: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7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 Directors who identify in any of the</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categories below:</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Latino</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76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Board of Directors met a total of twelve times. The meetings attended by each Director, and the number of meetings that they were each eligible to attend is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5300" w:type="dxa"/>
            <w:vAlign w:val="bottom"/>
            <w:gridSpan w:val="3"/>
          </w:tcPr>
          <w:p>
            <w:pPr>
              <w:jc w:val="right"/>
              <w:ind w:right="2540"/>
              <w:spacing w:after="0"/>
              <w:rPr>
                <w:sz w:val="20"/>
                <w:szCs w:val="20"/>
                <w:color w:val="auto"/>
              </w:rPr>
            </w:pPr>
            <w:r>
              <w:rPr>
                <w:rFonts w:ascii="Times New Roman" w:cs="Times New Roman" w:eastAsia="Times New Roman" w:hAnsi="Times New Roman"/>
                <w:sz w:val="14"/>
                <w:szCs w:val="14"/>
                <w:b w:val="1"/>
                <w:bCs w:val="1"/>
                <w:color w:val="auto"/>
              </w:rPr>
              <w:t>Board of Directors’ Meeting Attendance</w:t>
            </w:r>
          </w:p>
        </w:tc>
      </w:tr>
      <w:tr>
        <w:trPr>
          <w:trHeight w:val="117"/>
        </w:trPr>
        <w:tc>
          <w:tcPr>
            <w:tcW w:w="2180" w:type="dxa"/>
            <w:vAlign w:val="bottom"/>
            <w:tcBorders>
              <w:top w:val="single" w:sz="8" w:color="auto"/>
            </w:tcBorders>
          </w:tcPr>
          <w:p>
            <w:pPr>
              <w:spacing w:after="0"/>
              <w:rPr>
                <w:sz w:val="10"/>
                <w:szCs w:val="10"/>
                <w:color w:val="auto"/>
              </w:rPr>
            </w:pPr>
          </w:p>
        </w:tc>
        <w:tc>
          <w:tcPr>
            <w:tcW w:w="36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21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09"/>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6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5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5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9/11</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during the calendar year through December 31, 2023, the Board of Directors are currently scheduled to meet five times.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60" w:firstLine="440"/>
        <w:spacing w:after="0" w:line="239"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 Panaccio, who is an independent director under NASDAQ listing standards and for the purposes of the ASX Listing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 Corporate Governance Council’s Corporate Governance Principles and Recommendations.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the non-independent director.</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day-to-day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93"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the Company’s capital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the Company’s Audit Committee assists the Board of Directors to meet its oversight responsibilities in respect of various areas of risk for the Company including risks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associated with its financial statements and financial reporting, internal control structure, risk management procedures and the internal (as applicable) and external audit function as well as mergers and acquisitions, credit and liquidity, and business conduct compliance. The Compensation Committee considers the risks associated with the Company’s compensation policies and practices with respect to both executive compensation and employee compensation. The Nominating and Corporate Governance Committee oversees risks associated with the Company’s overall governance practices and the leadership structure of the Board of Directors. The Company’s Board of Directors stays informed of each committee’s risk oversight and other activities via regular reports of the committee chairs to the full Board of Directors. The Board of Directors’ role in risk oversight is consistent with the Company’s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and Interested Party Communications with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Stockholders may communicate with the Board of Directors, members of particular committees, or individual directors by sending a letter to such persons in care of the Company’s Chief Executive Officer at its principal executive offices. The Chief Executive Officer has the authority to disregard any inappropriate communications or to take other appropriate actions with respect to any inappropriate communications. If deemed an appropriate communication, the Chief Executive Officer will submit the correspondence to the Chairman of the Board or to the committee or specific director to whom the correspondence is directed. All such communications must be accompanied by a statement of the type and amount of the Company’s securities that the person holds; any special interest, meaning an interest that is not derived from the proponent’s capacity as a stockholder, of the person in the subject matter of the communication; and the address, telephone number and e-mail address, if any, of the person submitting the communication.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December 31, 2023.</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Stockholders previously approved the ratification of the appointment of Grant Thornton LLP to serve as the Company’s independent registered public accounting firm at the 2022 annual meeting for the fiscal year ending December 31, 2022. This proposal seeks stockholder approval for the ratification of the appointment of Grant Thornton LLP to serve as the Company’s registered public accounting firm for the fiscal year ending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Annual Meeting with the opportunity to make a statement if they desire to do so and will be available to respond to appropriate questions.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aggregate fees billed or accrued to us by Grant Thornton LLP for services rendered for the six-month transition period ended December 31, 2021, and the year ended December 31, 2022, are set forth in the table below (in US dollars):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 Transition</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60" w:type="dxa"/>
            <w:vAlign w:val="bottom"/>
            <w:tcBorders>
              <w:bottom w:val="single" w:sz="8" w:color="CCEEFF"/>
            </w:tcBorders>
            <w:gridSpan w:val="2"/>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 Grant Thornton LLP (1)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605,900</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 Thornton UK LLP (1)</w:t>
            </w:r>
          </w:p>
        </w:tc>
        <w:tc>
          <w:tcPr>
            <w:tcW w:w="22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46,832</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44,698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 Grant Thornton LLP (2)</w:t>
            </w:r>
          </w:p>
        </w:tc>
        <w:tc>
          <w:tcPr>
            <w:tcW w:w="222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87,281</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147,222</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740,013</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57"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by the principal accountant for the audit of the registrant’s annual financial statements and review of financial statements included in the registrant’s Form 10-K 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Practice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Audit Committee or the engagement to render services is entered into pursuant to pre-approval policies and procedures established by the Audit Committee. The Audit Committee pre-approved all audit services provided by the Company’s independent registered public accountants during the six-month transition period ended December 31, 2021, and the year ended December 31, 2022.</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voting power of the shares of Common Stock of the Company that are present in person or represented by proxy at the Annual Meeting and entitled to vote on the Proposal, with abstentions counting as votes against the Proposal.</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Grant Thornton LLP.</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right="80" w:firstLine="440"/>
        <w:spacing w:after="0" w:line="238" w:lineRule="auto"/>
        <w:rPr>
          <w:sz w:val="20"/>
          <w:szCs w:val="20"/>
          <w:color w:val="auto"/>
        </w:rPr>
      </w:pPr>
      <w:r>
        <w:rPr>
          <w:rFonts w:ascii="Times New Roman" w:cs="Times New Roman" w:eastAsia="Times New Roman" w:hAnsi="Times New Roman"/>
          <w:sz w:val="18"/>
          <w:szCs w:val="18"/>
          <w:color w:val="auto"/>
        </w:rPr>
        <w:t>The Audit Committee assists the Company’s Board of Directors in its oversight of the Company’s financial reporting process. All three members of the Audit Committee qualify as independent directors under NASDAQ listing standards for public companies and the independence requirements of Rule 10A-3 promulgated under the Securities Exchange Act of 1934, as amended (“Exchange Act”) and the Board has determined that one is qualified as an audit committee financial expert within the meaning of Item 407(d)(5) of Regulation S-K, promulgated under the Exchange Act. All three members of the Audit Committee are also considered to be independent for the purposes of the ASX Listing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 Corporate Governance Council’s Corporate Governance Principles and Recommendations. The Audit Committee’s charter can be viewed online on the Company’s website at </w:t>
      </w:r>
      <w:r>
        <w:rPr>
          <w:rFonts w:ascii="Times New Roman" w:cs="Times New Roman" w:eastAsia="Times New Roman" w:hAnsi="Times New Roman"/>
          <w:sz w:val="18"/>
          <w:szCs w:val="18"/>
          <w:u w:val="single" w:color="auto"/>
          <w:color w:val="auto"/>
        </w:rPr>
        <w:t>https://ir.avitamedical.com/corporate-governance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fulfilling its duties, the Audit Committee reviewed and discussed the audited financial statements contained in the Company’s Annual Report on Form 10-K for the year ended December 31, 2022,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Based on the above reviews and discussions, the Audit Committee recommended to the Board, and the Board approved, that the audited financial statements be included in the Company’s Annual Report on Form 10-K for the year ended December 31, 2022, for filing with the U.S. Securities and Exchange Commission.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Jeremy Curnock Cook, Interim Chair of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Lou Panaccio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 Stern Reed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 April 14, 2023</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Stockholders and Management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the Company’s common stock (including CDIs), as of March 27, 2023, by each person or group of affiliated persons known to us to be the beneficial owner of more than 5% of the Company’s common stock (including CDIs); each of the Company’s named executive officers; each of its directors; and all of its executive officers and directors as a group. The table also sets out the names of all persons (of which the Company is aware) who have disclosed pursuant to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shareholders” of the Company and carry 5% or more of the voting rights attached to the issued securities of the Company.</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12"/>
                <w:szCs w:val="12"/>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400" w:type="dxa"/>
            <w:vAlign w:val="bottom"/>
            <w:gridSpan w:val="3"/>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400" w:type="dxa"/>
            <w:vAlign w:val="bottom"/>
            <w:gridSpan w:val="3"/>
            <w:vMerge w:val="continue"/>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of Class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0" w:type="dxa"/>
            <w:vAlign w:val="bottom"/>
            <w:gridSpan w:val="3"/>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More than 5% stockholders:</w:t>
            </w: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Lou Panaccio</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26,964</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Jeremy Curnock Cook</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6,900</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Professor Suzanne Crowe</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11,012</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Jan Stern Reed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11,434</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Cary Vance</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Robert McNamara</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James Corbett</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11,434</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Sean Ekins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38,735</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Erin Liberto</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125,156</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Andrew Quick</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125,155</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Donna Shiroma</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112,156</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468,946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27" w:lineRule="exact"/>
        <w:rPr>
          <w:sz w:val="20"/>
          <w:szCs w:val="20"/>
          <w:color w:val="auto"/>
        </w:rPr>
      </w:pPr>
    </w:p>
    <w:p>
      <w:pPr>
        <w:ind w:left="540" w:right="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Company believes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25,327,761 shares of the Company’s common stock issued and outstanding as of March 27, 2023. Common stock subject to options or RSUs exercisable within 60 days of March 27, 2023, are deemed outstanding for purposes of computing the percentage ownership of the person holding such option or RSUs, but are not deemed outstanding for purposes of computing the percentage ownership of any other person.</w:t>
      </w:r>
    </w:p>
    <w:p>
      <w:pPr>
        <w:spacing w:after="0" w:line="1" w:lineRule="exact"/>
        <w:rPr>
          <w:rFonts w:ascii="Times New Roman" w:cs="Times New Roman" w:eastAsia="Times New Roman" w:hAnsi="Times New Roman"/>
          <w:sz w:val="18"/>
          <w:szCs w:val="18"/>
          <w:color w:val="auto"/>
        </w:rPr>
      </w:pPr>
    </w:p>
    <w:p>
      <w:pPr>
        <w:jc w:val="both"/>
        <w:ind w:left="540" w:right="48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4,350 shares of common stock, 100,320 CDIs, which translates into 20,064 shares of the common stock. CDIs include 29,860 CDIs which translates into 5,972 shares of common stock that are held by The Panaccio Superannuation Fund. In addition, amount includes 2,550 shares of stock options to acquire 2,550 shares of the Company’s common stock exercisable within 60 days of March 27, 2023</w:t>
      </w:r>
    </w:p>
    <w:p>
      <w:pPr>
        <w:spacing w:after="0" w:line="1" w:lineRule="exact"/>
        <w:rPr>
          <w:rFonts w:ascii="Times New Roman" w:cs="Times New Roman" w:eastAsia="Times New Roman" w:hAnsi="Times New Roman"/>
          <w:sz w:val="18"/>
          <w:szCs w:val="18"/>
          <w:color w:val="auto"/>
        </w:rPr>
      </w:pPr>
    </w:p>
    <w:p>
      <w:pPr>
        <w:ind w:left="540" w:right="34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4,350 shares of common stock and 2,550 shares of stock options to acquire 2,550 shares of the Company’s common stock exercisable within 60 days of March 27, 2023.</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6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4,350 shares of common stock, 20,560 CDIs, which represent 4,112 shares of the Company’s common stock and 2,550 shares of stock options to acquire 2,550 shares of common stock exercisable within 60 days of March 27, 2023.</w:t>
      </w:r>
    </w:p>
    <w:p>
      <w:pPr>
        <w:ind w:left="540" w:right="3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7,242 shares of common stock and 4,192 shares of stock options to acquire 4,192 shares of the Company’s common stock exercisable within 60 days of March 27, 2023.</w:t>
      </w: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stock options to acquire shares of the Company’s common stock exercisable within 60 days of March 27, 2023.</w:t>
      </w:r>
    </w:p>
    <w:p>
      <w:pPr>
        <w:spacing w:after="0" w:line="9" w:lineRule="exact"/>
        <w:rPr>
          <w:rFonts w:ascii="Times New Roman" w:cs="Times New Roman" w:eastAsia="Times New Roman" w:hAnsi="Times New Roman"/>
          <w:sz w:val="18"/>
          <w:szCs w:val="18"/>
          <w:color w:val="auto"/>
        </w:rPr>
      </w:pPr>
    </w:p>
    <w:p>
      <w:pPr>
        <w:ind w:left="540" w:right="8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2,625 shares of common stock and 122,531 shares of stock options to acquire 122,531 shares of the Company’s common stock exercisable within 60 days of March 27, 2023.</w:t>
      </w:r>
    </w:p>
    <w:p>
      <w:pPr>
        <w:ind w:left="540" w:right="8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2,625 shares of common stock and 122,530 shares of stock options to acquire 122,530 shares of the Company’s common stock exercisable within 60 days of March 27, 2023.</w:t>
      </w:r>
    </w:p>
    <w:p>
      <w:pPr>
        <w:ind w:left="540" w:right="840" w:hanging="424"/>
        <w:spacing w:after="0" w:line="26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2,625 shares of common stock and 109,531 shares of stock options to acquire 109,531 shares of the Company’s common stock exercisable within 60 days of March 27, 2023.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Company’s Executive Officers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First Elected or</w:t>
            </w:r>
          </w:p>
        </w:tc>
      </w:tr>
      <w:tr>
        <w:trPr>
          <w:trHeight w:val="19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506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Appointed</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James</w:t>
            </w:r>
          </w:p>
        </w:tc>
        <w:tc>
          <w:tcPr>
            <w:tcW w:w="272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Corbett</w:t>
            </w:r>
          </w:p>
        </w:tc>
        <w:tc>
          <w:tcPr>
            <w:tcW w:w="6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September 2022</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Ekins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Erin Liberto</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2017</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Quick</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2019</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Shiroma</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is discussed above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Sean Ekins </w:t>
      </w:r>
      <w:r>
        <w:rPr>
          <w:rFonts w:ascii="Times New Roman" w:cs="Times New Roman" w:eastAsia="Times New Roman" w:hAnsi="Times New Roman"/>
          <w:sz w:val="18"/>
          <w:szCs w:val="18"/>
          <w:color w:val="auto"/>
        </w:rPr>
        <w:t>has served as the interim Chief Financial Officer since January 2023. A versatile financial leader with more than 20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high-tech manufacturing and entertainment industries, Mr. Ekins joined AVITA Medical in 2017 and currently serves as Senior Vice President of Finance. Over the course of his career, Mr. Ekins has demonstrated expertise across all aspects of management and operational accounting, inclusive of SEC and financial reporting, systems analysis and implementation, and team development. Prior to joining the Company, Mr. Ekins served as the North American Controller for IXIA, a test, visibility, and security solutions provider, where he led all accounting operations, including the transition and successful integration into Keysight Technologies following the company’s acquisition. Previously, Mr. Ekins held accounting positions with The Walt Disney Company, Countrywide Financial Corporation, and 3D Systems, Inc. Mr. Ekins earned his Bachelor of Science in Accounting from the University of Southern California.</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Erin Liberto </w:t>
      </w:r>
      <w:r>
        <w:rPr>
          <w:rFonts w:ascii="Times New Roman" w:cs="Times New Roman" w:eastAsia="Times New Roman" w:hAnsi="Times New Roman"/>
          <w:sz w:val="18"/>
          <w:szCs w:val="18"/>
          <w:color w:val="auto"/>
        </w:rPr>
        <w:t>has served as Chief Commercial Officer since August 2017. Ms. Liberto has more than 20 years of multifaceted global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17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Andrew Quick </w:t>
      </w:r>
      <w:r>
        <w:rPr>
          <w:rFonts w:ascii="Times New Roman" w:cs="Times New Roman" w:eastAsia="Times New Roman" w:hAnsi="Times New Roman"/>
          <w:sz w:val="18"/>
          <w:szCs w:val="18"/>
          <w:color w:val="auto"/>
        </w:rPr>
        <w:t>was appointed Chief Technology Officer in April 2019 and previous to that served as Senior Vice President, Clinical Development.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Quick joined AVITA Medical in July 2010 and has more than 25 years of experience in medical device design, development, clinical research and medical affairs. 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Donna Shiroma </w:t>
      </w:r>
      <w:r>
        <w:rPr>
          <w:rFonts w:ascii="Times New Roman" w:cs="Times New Roman" w:eastAsia="Times New Roman" w:hAnsi="Times New Roman"/>
          <w:sz w:val="18"/>
          <w:szCs w:val="18"/>
          <w:color w:val="auto"/>
        </w:rPr>
        <w:t>has served as General Counsel since June 2018. Ms. Shiroma has more than 20 years of legal and compliance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Officer, Chief Compliance Officer, and Chief Commercial Officer for Astex Pharmaceuticals from 2017 to 2018, Ascend Therapeutics from 2008 to 2017, PDL BioPharma from 2006 to 2008, and several Johnson &amp; Johnson companies. Ms. Shiroma holds a B.S. in Environmental Sciences from University of California, Berkeley, and a Juris Doctor degree from Santa Clara University School of Law. She is licensed in the State of California as an attorney.</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AND OTHER INFORMATION CONCERNING THE COMPANY’S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Company’s named executive officers, Mr. Corbett, Mr. Holder, Ms. Liberto, and Dr. Perry, the following information for the fiscal year ended December 31, 2022.</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 (2)</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6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4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top w:val="single" w:sz="8" w:color="auto"/>
            </w:tcBorders>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Corbett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156,992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100,726</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1,232,747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5,119</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1,495,584</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Holder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430,128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184,900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178,672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82,524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48,988</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925,212</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335,064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148,668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97,020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2,056,809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65,333</w:t>
            </w:r>
          </w:p>
        </w:tc>
        <w:tc>
          <w:tcPr>
            <w:tcW w:w="6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2,702,894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Erin Liberto</w:t>
            </w: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421,999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180,812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178,672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82,524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42,286</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906,293</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342,063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115,413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97,020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33,088</w:t>
            </w:r>
          </w:p>
        </w:tc>
        <w:tc>
          <w:tcPr>
            <w:tcW w:w="6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677,921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Perry</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461,512</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342,986</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804,498</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537,006</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424,637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772,244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323,137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183,365</w:t>
            </w:r>
          </w:p>
        </w:tc>
        <w:tc>
          <w:tcPr>
            <w:tcW w:w="6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2,240,389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60" w:hanging="424"/>
        <w:spacing w:after="0" w:line="255"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the Company’s common stock on the applicable grant date. The vesting of these stock awards are subject to various performance or related criteria, including continuation of employment over the relevant vesting period.</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the Company’s Consolidated Financial Statements included in Part II, Item 8. “Financial Statements and Supplementary Data” for the assumptions used in determining the grant date fair value of option awards. The vesting of these option awards is subject to various performance or related criteria, including continuation of employment over the relevant vesting period.</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relocation costs, car allowance, accommodations and medical benefits, along with related taxes on grossed up fringe benefits.</w:t>
      </w:r>
    </w:p>
    <w:p>
      <w:pPr>
        <w:spacing w:after="0" w:line="1" w:lineRule="exact"/>
        <w:rPr>
          <w:rFonts w:ascii="Times New Roman" w:cs="Times New Roman" w:eastAsia="Times New Roman" w:hAnsi="Times New Roman"/>
          <w:sz w:val="18"/>
          <w:szCs w:val="18"/>
          <w:color w:val="auto"/>
        </w:rPr>
      </w:pPr>
    </w:p>
    <w:p>
      <w:pPr>
        <w:ind w:left="540" w:right="66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accommodation costs associated with the executive commuting from his home to the Company’s offices in Valencia, California (including an amount necessary to gross up these costs for income tax purposes under U.S. federal and California State laws).</w:t>
      </w: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 $30,688 in non-qualified deferred compensation employer match and (b) $18,300 in 401(k) employer match contribution.</w:t>
      </w:r>
    </w:p>
    <w:p>
      <w:pPr>
        <w:spacing w:after="0" w:line="9" w:lineRule="exact"/>
        <w:rPr>
          <w:rFonts w:ascii="Times New Roman" w:cs="Times New Roman" w:eastAsia="Times New Roman" w:hAnsi="Times New Roman"/>
          <w:sz w:val="18"/>
          <w:szCs w:val="18"/>
          <w:color w:val="auto"/>
        </w:rPr>
      </w:pPr>
    </w:p>
    <w:p>
      <w:pPr>
        <w:ind w:left="540" w:right="68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 $14,400 in car allowance, (b) $9,586 in non-qualified deferred compensation employer match and (c) $18,300 in 401(k) employer match.</w:t>
      </w:r>
    </w:p>
    <w:p>
      <w:pPr>
        <w:ind w:left="540" w:right="20" w:hanging="424"/>
        <w:spacing w:after="0" w:line="255"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 $145,585 in relation to the travel, flight and accommodation costs associated with the executive commuting from his home to the Company’s offices in Valencia, California (including an amount necessary to gross up these cost for income tax purposes under U.S. federal, California and Colorado State laws); (b) $47,359 associated with medical benefits (including an amount necessary to gross up these cost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66" w:lineRule="auto"/>
        <w:rPr>
          <w:sz w:val="20"/>
          <w:szCs w:val="20"/>
          <w:color w:val="auto"/>
        </w:rPr>
      </w:pPr>
      <w:r>
        <w:rPr>
          <w:rFonts w:ascii="Times New Roman" w:cs="Times New Roman" w:eastAsia="Times New Roman" w:hAnsi="Times New Roman"/>
          <w:sz w:val="18"/>
          <w:szCs w:val="18"/>
          <w:color w:val="auto"/>
        </w:rPr>
        <w:t>for income tax purposes under U.S. federal, California and Colorado State laws); (c) $96,154 in vacation buy-out; (d) $35,588 associated with deferred compensation employer matching contributions; and (e) $18,300 in employer 401(k) match contribution. Dr. Perry ceased to be the Chief Executive Officer of the Company effective as of September 28,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and the Other Executive Officers. For compensation information of named executives refer to the table above.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240" w:type="dxa"/>
            <w:vAlign w:val="bottom"/>
          </w:tcPr>
          <w:p>
            <w:pPr>
              <w:spacing w:after="0"/>
              <w:rPr>
                <w:sz w:val="13"/>
                <w:szCs w:val="13"/>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Role</w:t>
            </w:r>
          </w:p>
        </w:tc>
        <w:tc>
          <w:tcPr>
            <w:tcW w:w="1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vMerge w:val="continue"/>
          </w:tcPr>
          <w:p>
            <w:pPr>
              <w:spacing w:after="0"/>
              <w:rPr>
                <w:sz w:val="12"/>
                <w:szCs w:val="12"/>
                <w:color w:val="auto"/>
              </w:rPr>
            </w:pPr>
          </w:p>
        </w:tc>
        <w:tc>
          <w:tcPr>
            <w:tcW w:w="3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of Notice (2) (3)</w:t>
            </w:r>
          </w:p>
        </w:tc>
        <w:tc>
          <w:tcPr>
            <w:tcW w:w="15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payments provided</w:t>
            </w: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3240" w:type="dxa"/>
            <w:vAlign w:val="bottom"/>
            <w:vMerge w:val="continue"/>
          </w:tcPr>
          <w:p>
            <w:pPr>
              <w:spacing w:after="0"/>
              <w:rPr>
                <w:sz w:val="15"/>
                <w:szCs w:val="15"/>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 by contract (1)</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Executive Officer (CEO)</w:t>
            </w: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James Corbett (4)</w:t>
            </w:r>
          </w:p>
        </w:tc>
        <w:tc>
          <w:tcPr>
            <w:tcW w:w="1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Three years</w:t>
            </w:r>
          </w:p>
        </w:tc>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Termination by the Company with or</w:t>
            </w:r>
          </w:p>
        </w:tc>
        <w:tc>
          <w:tcPr>
            <w:tcW w:w="15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without Cause– No notice period.</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automatic</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Termination by executive- with or</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one-year</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without Good Reason - 90 days prior</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extensions</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notice.</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 each</w:t>
            </w:r>
          </w:p>
        </w:tc>
        <w:tc>
          <w:tcPr>
            <w:tcW w:w="3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anniversary.</w:t>
            </w:r>
          </w:p>
        </w:tc>
        <w:tc>
          <w:tcPr>
            <w:tcW w:w="3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Former Chief Financial Officer (CFO)</w:t>
            </w: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Michael Holder</w:t>
            </w:r>
          </w:p>
        </w:tc>
        <w:tc>
          <w:tcPr>
            <w:tcW w:w="1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Former Chief Operating Officer (COO)</w:t>
            </w: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Kathy McGee</w:t>
            </w:r>
          </w:p>
        </w:tc>
        <w:tc>
          <w:tcPr>
            <w:tcW w:w="1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Commercial Officer (CCO)</w:t>
            </w: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Erin Liberto</w:t>
            </w:r>
          </w:p>
        </w:tc>
        <w:tc>
          <w:tcPr>
            <w:tcW w:w="1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Technology Officer (CTO)</w:t>
            </w: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Andrew Quick</w:t>
            </w:r>
          </w:p>
        </w:tc>
        <w:tc>
          <w:tcPr>
            <w:tcW w:w="1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General Counsel (GC)</w:t>
            </w: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Donna Shiroma</w:t>
            </w:r>
          </w:p>
        </w:tc>
        <w:tc>
          <w:tcPr>
            <w:tcW w:w="1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payments only in the event of employment termination for involuntary termination without cause or termination for “good reason”.</w:t>
      </w:r>
    </w:p>
    <w:p>
      <w:pPr>
        <w:spacing w:after="0" w:line="27"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 For the Former CFO and Former COO, CCO, CTO and GC,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w:t>
      </w:r>
    </w:p>
    <w:p>
      <w:pPr>
        <w:spacing w:after="0" w:line="1" w:lineRule="exact"/>
        <w:rPr>
          <w:sz w:val="20"/>
          <w:szCs w:val="20"/>
          <w:color w:val="auto"/>
        </w:rPr>
      </w:pPr>
    </w:p>
    <w:p>
      <w:pPr>
        <w:ind w:left="540" w:right="140" w:hanging="424"/>
        <w:spacing w:after="0" w:line="265" w:lineRule="auto"/>
        <w:tabs>
          <w:tab w:leader="none" w:pos="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 For the Former CFO and Former COO, CCO, CTO and GC, Good Reason is defined as (i) a material diminution in executive’s authority, duties or responsibilities in effect at the time of this agreement; (ii) any reduction in the executive’s then-current base salary,</w:t>
      </w: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(iii) relocation of executive’s principal place of work by a distance of fifty miles or more from the executive’s then current principal place of work without the executive’s consent; (iv) material breach by the Company of any provision of the executive’s employment agreement or (v) the occurrence of a change in control provided (i)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w:t>
      </w:r>
    </w:p>
    <w:p>
      <w:pPr>
        <w:spacing w:after="0" w:line="3" w:lineRule="exact"/>
        <w:rPr>
          <w:rFonts w:ascii="Times New Roman" w:cs="Times New Roman" w:eastAsia="Times New Roman" w:hAnsi="Times New Roman"/>
          <w:sz w:val="17"/>
          <w:szCs w:val="17"/>
          <w:color w:val="auto"/>
        </w:rPr>
      </w:pPr>
    </w:p>
    <w:p>
      <w:pPr>
        <w:ind w:left="540" w:right="80" w:hanging="424"/>
        <w:spacing w:after="0" w:line="25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28, 2022, in connection with his appointment as President and CEO, Mr. Corbett and the Company entered into an employment agreement providing for an annual base salary of $600,000 and annual target bonus opportunity of 60% of base salary based on the achievement of individual and Company performance goals established by the Board (although the actual bonus may be lower or higher, within a minimum bonus opportunity of 0% of base salary and a maximum bonus opportunity of 200% of base salary, as determined by the Board). This employment agreement also provides for a grant of stock options equal to $1,000,000, subject to approval of the Company’s stockholders, as outlined below in Proposal 9. Mr. Corbett is also entitled to certain customary benefits, such as participation in retirement and medical and other plans and vacation leave, pursuant to the employment agreement. Effective March 16, 2023, Mr. Corbett’s employment agreement was amended. The amendment provided for accelerated vesting in full of any stock options granted to Mr. Corbett upon a change in control (as defined in the employment agreement). The amendment also extended Mr. Corbett’s severance period (as defined in the employment agreement) from twelve to eighteen months in the event of a termination for good reason or without cause (both as defined therein).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Principles</w:t>
      </w:r>
    </w:p>
    <w:p>
      <w:pPr>
        <w:spacing w:after="0" w:line="12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The Compensation Committee has a formal Compensation Governance Framework which, at the core, consists of a Compensation Committee Charter (the “Charter”). The Charter outlines the responsibilities and duties of the members, sets forth the frequency of meetings and establishes and reviews the overall compensation philosophy of the Company. The Compensation Committee reviews and approves the executive compensation program for the Chief Executive Officer and other executive officers and makes appropriate recommendations to the Board of Directors.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approves or makes recommendations to the Company’s Board of Directors on decisions concerning compensation of the executive management team and Board of Directors on a periodic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basis to ensure that it is consistent with the Company’s short-term and long-term goals. The Compensation Committee assesses the appropriateness of the nature and amount of compensation of the Company’s executives by reference to relevant employment market conditions with the overall objective of ensuring maximum stakeholder benefit from the recruitment and retention of a high-quality board and executive team.</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the Compensation Committee is responsible for evaluating the performance of the Company’s key senior executives. The Company’s Chief Executive Officer and other members of management regularly discuss compensation issues with Compensation Committee members. Subject to Compensation Committee review, modification and approval, the Chief Executive Officer typically makes recommendations regarding bonuses and equity incentive awards for the other members of the executive management team. The Compensation Committee establishes all bonus and equity incentive awards for all executive members of the management team.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Resignation, Retirement, or Termination for Cause, or Resignation without Good Reason Arrangements</w:t>
      </w:r>
    </w:p>
    <w:p>
      <w:pPr>
        <w:spacing w:after="0" w:line="11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or plans in place for the named executive officers that would provide additional compensation in connection with a resignation, retirement or termination for cause, or resignation without good reason.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Potential Payments upon Involuntary Termination, Resignation without Good Reason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employment agreements provide for the following severance payments upon termination by us without cause or by the employee for good reason (as defined in the particular employment agreement): (i) payment of the employee’s then-current base salary for a period of nine months or eighteen months (in the case of the CEO), following termination; (ii) a pro-rated target bonus for the period during which the employee was employed in the year of termination; (iii) continued coverage under the Company’s group health and benefits plan consistent with the term of the base salary; and</w:t>
      </w:r>
    </w:p>
    <w:p>
      <w:pPr>
        <w:spacing w:after="0" w:line="3" w:lineRule="exact"/>
        <w:rPr>
          <w:sz w:val="20"/>
          <w:szCs w:val="20"/>
          <w:color w:val="auto"/>
        </w:rPr>
      </w:pPr>
    </w:p>
    <w:p>
      <w:pPr>
        <w:ind w:left="120" w:right="240" w:hanging="4"/>
        <w:spacing w:after="0" w:line="253" w:lineRule="auto"/>
        <w:tabs>
          <w:tab w:leader="none" w:pos="4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unpaid annual bonus, and (iii) any unpaid vacation. Payment in each case is subject to the employee’s, or representative’s execution of a release.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the Company’s named executive officers and the Other Executive Officers as of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ind w:left="57"/>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center"/>
              <w:ind w:right="103"/>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20" w:type="dxa"/>
            <w:vAlign w:val="bottom"/>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30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0" w:type="dxa"/>
            <w:vAlign w:val="bottom"/>
            <w:gridSpan w:val="3"/>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w:t>
            </w:r>
          </w:p>
        </w:tc>
        <w:tc>
          <w:tcPr>
            <w:tcW w:w="1600" w:type="dxa"/>
            <w:vAlign w:val="bottom"/>
            <w:gridSpan w:val="3"/>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 vested</w:t>
            </w:r>
          </w:p>
        </w:tc>
        <w:tc>
          <w:tcPr>
            <w:tcW w:w="0" w:type="dxa"/>
            <w:vAlign w:val="bottom"/>
          </w:tcPr>
          <w:p>
            <w:pPr>
              <w:spacing w:after="0"/>
              <w:rPr>
                <w:sz w:val="1"/>
                <w:szCs w:val="1"/>
                <w:color w:val="auto"/>
              </w:rPr>
            </w:pPr>
          </w:p>
        </w:tc>
      </w:tr>
      <w:tr>
        <w:trPr>
          <w:trHeight w:val="149"/>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30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60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(2)</w:t>
            </w:r>
          </w:p>
        </w:tc>
        <w:tc>
          <w:tcPr>
            <w:tcW w:w="1040" w:type="dxa"/>
            <w:vAlign w:val="bottom"/>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6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James Corbett,</w:t>
            </w: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2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3,283</w:t>
            </w:r>
          </w:p>
        </w:tc>
        <w:tc>
          <w:tcPr>
            <w:tcW w:w="920" w:type="dxa"/>
            <w:vAlign w:val="bottom"/>
            <w:gridSpan w:val="2"/>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$ 12.18</w:t>
            </w:r>
          </w:p>
        </w:tc>
        <w:tc>
          <w:tcPr>
            <w:tcW w:w="14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12/12/2031</w:t>
            </w:r>
          </w:p>
        </w:tc>
        <w:tc>
          <w:tcPr>
            <w:tcW w:w="112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5,783</w:t>
            </w:r>
          </w:p>
        </w:tc>
        <w:tc>
          <w:tcPr>
            <w:tcW w:w="3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$38,168</w:t>
            </w:r>
          </w:p>
        </w:tc>
        <w:tc>
          <w:tcPr>
            <w:tcW w:w="0" w:type="dxa"/>
            <w:vAlign w:val="bottom"/>
          </w:tcPr>
          <w:p>
            <w:pPr>
              <w:spacing w:after="0"/>
              <w:rPr>
                <w:sz w:val="1"/>
                <w:szCs w:val="1"/>
                <w:color w:val="auto"/>
              </w:rPr>
            </w:pPr>
          </w:p>
        </w:tc>
      </w:tr>
      <w:tr>
        <w:trPr>
          <w:trHeight w:val="126"/>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32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6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226,296</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5.64</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9/28/2032</w:t>
            </w: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Michael Holder,</w:t>
            </w:r>
          </w:p>
        </w:tc>
        <w:tc>
          <w:tcPr>
            <w:tcW w:w="3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9,375</w:t>
            </w:r>
          </w:p>
        </w:tc>
        <w:tc>
          <w:tcPr>
            <w:tcW w:w="1220" w:type="dxa"/>
            <w:vAlign w:val="bottom"/>
          </w:tcPr>
          <w:p>
            <w:pPr>
              <w:jc w:val="right"/>
              <w:ind w:right="97"/>
              <w:spacing w:after="0" w:line="198" w:lineRule="exact"/>
              <w:rPr>
                <w:sz w:val="20"/>
                <w:szCs w:val="20"/>
                <w:color w:val="auto"/>
              </w:rPr>
            </w:pPr>
            <w:r>
              <w:rPr>
                <w:rFonts w:ascii="Times New Roman" w:cs="Times New Roman" w:eastAsia="Times New Roman" w:hAnsi="Times New Roman"/>
                <w:sz w:val="18"/>
                <w:szCs w:val="18"/>
                <w:color w:val="auto"/>
              </w:rPr>
              <w:t>28,125</w:t>
            </w:r>
          </w:p>
        </w:tc>
        <w:tc>
          <w:tcPr>
            <w:tcW w:w="920" w:type="dxa"/>
            <w:vAlign w:val="bottom"/>
            <w:gridSpan w:val="2"/>
          </w:tcPr>
          <w:p>
            <w:pPr>
              <w:jc w:val="right"/>
              <w:ind w:right="113"/>
              <w:spacing w:after="0" w:line="198" w:lineRule="exact"/>
              <w:rPr>
                <w:sz w:val="20"/>
                <w:szCs w:val="20"/>
                <w:color w:val="auto"/>
              </w:rPr>
            </w:pPr>
            <w:r>
              <w:rPr>
                <w:rFonts w:ascii="Times New Roman" w:cs="Times New Roman" w:eastAsia="Times New Roman" w:hAnsi="Times New Roman"/>
                <w:sz w:val="18"/>
                <w:szCs w:val="18"/>
                <w:color w:val="auto"/>
              </w:rPr>
              <w:t>$ 22.25</w:t>
            </w:r>
          </w:p>
        </w:tc>
        <w:tc>
          <w:tcPr>
            <w:tcW w:w="140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3/22/2031</w:t>
            </w:r>
          </w:p>
        </w:tc>
        <w:tc>
          <w:tcPr>
            <w:tcW w:w="1120" w:type="dxa"/>
            <w:vAlign w:val="bottom"/>
          </w:tcPr>
          <w:p>
            <w:pPr>
              <w:jc w:val="right"/>
              <w:ind w:right="103"/>
              <w:spacing w:after="0" w:line="198" w:lineRule="exact"/>
              <w:rPr>
                <w:sz w:val="20"/>
                <w:szCs w:val="20"/>
                <w:color w:val="auto"/>
              </w:rPr>
            </w:pPr>
            <w:r>
              <w:rPr>
                <w:rFonts w:ascii="Times New Roman" w:cs="Times New Roman" w:eastAsia="Times New Roman" w:hAnsi="Times New Roman"/>
                <w:sz w:val="18"/>
                <w:szCs w:val="18"/>
                <w:color w:val="auto"/>
              </w:rPr>
              <w:t>43,825</w:t>
            </w: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289,245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90,000</w:t>
            </w:r>
          </w:p>
        </w:tc>
        <w:tc>
          <w:tcPr>
            <w:tcW w:w="9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$ 19.91</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5/11/2031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5,194</w:t>
            </w:r>
          </w:p>
        </w:tc>
        <w:tc>
          <w:tcPr>
            <w:tcW w:w="9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$ 20.21</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7/6/2031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20,650</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4.97</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7/1/2032</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Erin Liberto,</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5.03</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9/6/2027</w:t>
            </w:r>
          </w:p>
        </w:tc>
        <w:tc>
          <w:tcPr>
            <w:tcW w:w="11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43,825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289,245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12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6.38</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11/1/2028</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59,700</w:t>
            </w:r>
          </w:p>
        </w:tc>
        <w:tc>
          <w:tcPr>
            <w:tcW w:w="12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5.99</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11/30/2028</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5,194</w:t>
            </w:r>
          </w:p>
        </w:tc>
        <w:tc>
          <w:tcPr>
            <w:tcW w:w="92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$ 20.21</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7/6/2031</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20,650</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4.97</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7/1/2032</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calculated by multiplying the closing market price of the Company’s stock as of December 31, 2022 by the number of shares or units of stock awards.</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range of exercise price and expiration dates as options were granted on different dates throughout their tenure.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non-employee director who served on the Company’s Board of Directors during the fiscal year ended December 31, 2022 (in US dollars). The Company does not provide separate compensation to its executive directors, such as Dr. Michael Perry, who served as the Company’s Chief Executive Officer until September 28, 2022 for the fiscal year ended December 31, 2022, except in the case of Mr. James Corbett, who served as a non-executive director until his appointment as President and Chief Executive Officer effective on September 28, 2022.</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Fees earned in</w:t>
            </w:r>
          </w:p>
        </w:tc>
        <w:tc>
          <w:tcPr>
            <w:tcW w:w="26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(1)</w:t>
            </w:r>
          </w:p>
        </w:tc>
        <w:tc>
          <w:tcPr>
            <w:tcW w:w="20" w:type="dxa"/>
            <w:vAlign w:val="bottom"/>
          </w:tcPr>
          <w:p>
            <w:pPr>
              <w:spacing w:after="0"/>
              <w:rPr>
                <w:sz w:val="15"/>
                <w:szCs w:val="15"/>
                <w:color w:val="auto"/>
              </w:rPr>
            </w:pPr>
          </w:p>
        </w:tc>
        <w:tc>
          <w:tcPr>
            <w:tcW w:w="940" w:type="dxa"/>
            <w:vAlign w:val="bottom"/>
            <w:gridSpan w:val="2"/>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9"/>
              </w:rPr>
              <w:t>($) (2)</w:t>
            </w:r>
          </w:p>
        </w:tc>
        <w:tc>
          <w:tcPr>
            <w:tcW w:w="2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(3)</w:t>
            </w:r>
          </w:p>
        </w:tc>
        <w:tc>
          <w:tcPr>
            <w:tcW w:w="140" w:type="dxa"/>
            <w:vAlign w:val="bottom"/>
          </w:tcPr>
          <w:p>
            <w:pPr>
              <w:spacing w:after="0"/>
              <w:rPr>
                <w:sz w:val="15"/>
                <w:szCs w:val="15"/>
                <w:color w:val="auto"/>
              </w:rPr>
            </w:pPr>
          </w:p>
        </w:tc>
        <w:tc>
          <w:tcPr>
            <w:tcW w:w="8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Non-Executive Directors</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 Panaccio - Chairman</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126,250</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244,992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Curnock Cook</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90,833</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209,575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 Drapeau*</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26,667</w:t>
            </w:r>
          </w:p>
        </w:tc>
        <w:tc>
          <w:tcPr>
            <w:tcW w:w="2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26,667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Crowe</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213,742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J. Corbett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73,542</w:t>
            </w:r>
          </w:p>
        </w:tc>
        <w:tc>
          <w:tcPr>
            <w:tcW w:w="2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73,542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Reed</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92,500</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211,242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Non-Executive Directors</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504,792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349,976</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124,992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979,760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Drapeau retired from the Board of Directors during April 2022.</w:t>
      </w:r>
    </w:p>
    <w:p>
      <w:pPr>
        <w:spacing w:after="0" w:line="27" w:lineRule="exact"/>
        <w:rPr>
          <w:sz w:val="20"/>
          <w:szCs w:val="20"/>
          <w:color w:val="auto"/>
        </w:rPr>
      </w:pPr>
    </w:p>
    <w:p>
      <w:pPr>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composed of the following: $70,00 for fees as a Board Member, $35,000 for Chair of the Board, $20,000 for Audit Committee Chair, $15,000 for Compensation Committee Chair, $10,000 for Nominating and Corporate Governance Committee Chair, $10,000 for Audit Committee Member, $7,500 for Compensation Committee Member, and $5,000 for Nominating and Corporate Governance Committee Member. Note that Mr. Drapeau’s and Mr. Corbett’s fees are prorated based on their respective terms as non-executive Directors.</w:t>
      </w:r>
    </w:p>
    <w:p>
      <w:pPr>
        <w:spacing w:after="0" w:line="1"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the Company’s common stock on the applicable grant date. The vesting of these stock awards are subject to continued service as Board members.</w:t>
      </w:r>
    </w:p>
    <w:p>
      <w:pPr>
        <w:spacing w:after="0" w:line="1"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the Company’s Consolidated Financial Statements included in Part II, Item 8. “Financial Statements and Supplementary Data” of the Company’s Annual Report for the period ended December 31, 2022, which was filed February 23, 2023, for the assumptions used in determining the grant date fair value of option awards. The vesting of these option awards is subject to continued service as Board members.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No’s 3-10</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APPROVAL OF THE GRANT OF OPTIONS AND RESTRICTED STOCK UNITS TO NON-EXECUTIVE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Proposal No’s 3 – 10 (inclusive) seek the approval of stockholders under ASX Listing Rule 10.11 for the grant of both restricted stock units (“RSUs”) and options to acquire shares of common stock (or if so elected, CDIs) of the Company to certain of the Company’s non-executive directors (“NED Securities”) to the value set out in Table 1 below (in respect of Proposal No.’s 7 and 9) (“Initial Grants”) and Table 2 (in respect of Proposal No’s 3, 4, 5, 6, 8, and 10) (“Annual Grants”) below.</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RSU is a “restricted stock unit”, which is an unfunded and unsecured contractual entitlement to be issued or transferred a share of common stock in the Company for each RSU on a future date (after the vesting of the relevant RSU entitlement). Each RSU on vesting will entitle the relevant non-executive director to be issued or transferred one fully paid share of common stock of the Company for no monetary consideration. Each option on vesting and payment of the applicable exercise price by the non-executive director (being the closing price of the Company’s shares of common stock on NASDAQ on the date on which the options are granted) will entitle the relevant non-executive director to be issued one fully paid share of common stock of the Company. On vesting of an RSU or option, the non-executive director may (except where a cashless exercise program is implemented in respect of the relevant option) elect to acquire CDIs in place of common stock of the Company with five CDIs being equal to one share of common stock of the Company.</w:t>
      </w:r>
    </w:p>
    <w:p>
      <w:pPr>
        <w:spacing w:after="0" w:line="192"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In 2023, the Board engaged Compensia, a premier independent compensation advisory firm with a focus on technology and life sciences companies in the U.S., to complete a detailed review of the Company’s compensation arrangements for non-executive directors to ensure that the Company’s compensation practices are competitive and consistent with U.S. compensation practices. Alignment with U.S. compensation practices has become increasingly important following the Company’s redomiciliation from Australia to the U.S., and its predominant focus on U.S. markets for its FDA approved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w:t>
      </w:r>
    </w:p>
    <w:p>
      <w:pPr>
        <w:spacing w:after="0" w:line="5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analysis, Compensia developed a peer group of 20 U.S. based public companies of similar size, industry, revenue, and market cap, using a rules-based approach. This same peer group was utilized in its assessment and development of executive compensation for the Company. They provided recommendations in relation to non-executive directors’ annual fees against competitive market data.</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Based on Compensia’s peer group analysis, the Company’s Compensation Committee has based the proposed grant of the NED Securities to the non-executive directors at the 50th market data percentile as set out in the tables below.</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is of the view that the grant of the NED Securities to the below named non-executive directors is a reasonable and appropriate method to provide cost effective remuneration to the relevant non-executive directors as the non-cash form of this remuneration will allow the Company to spend a greater proportion of its cash reserves on its operations than it would if alternative cash forms of remuneration were required to be provided to the relevant non-executive directors instead of the NED Securities.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Consistent with common U.S. company non-executive director annual equity remuneration practices as reported by Compensia, Table 1 below reflects the new director awards proposed to be granted to the Company’s two new non-executive directors who were appointed in April 2023, while Table 2 below reflects awards proposed to be granted to each non-executive director for the fiscal year ending December 31, 2023. The material terms of the NED Securities are set out below under the heading “Material Terms of the NED Security Agreements”. Table 3 below provides illustrative examples only of the number of RSUs and options that may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granted to Mr. McNamara and Mr. Vance as it relates to the Initial Grants based on a range of possible scenarios, and Table 4 below provides illustrative examples only of the number of RSUs and options that may be granted to the non-executive directors as it relates to the Annual Grants based on a range of possible scenarios. It is important to note that the number of RSUs and options that will actually be granted under the Initial Grants and the Annual Grants will not, however, be known until the actual date of grant of the RSUs and options, which is likely to be the date of the Annual Meeting (or shortly thereafter) if the proposed grants to the non-executive directors are approved at the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1: NED Securities proposed to be granted as Initial Grants to the new non-executive directors:</w:t>
      </w:r>
    </w:p>
    <w:p>
      <w:pPr>
        <w:sectPr>
          <w:pgSz w:w="11900" w:h="16838" w:orient="portrait"/>
          <w:cols w:equalWidth="0" w:num="1">
            <w:col w:w="11140"/>
          </w:cols>
          <w:pgMar w:left="320" w:top="455" w:right="439" w:bottom="1440" w:gutter="0" w:footer="0" w:header="0"/>
        </w:sect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Non-executive Director</w:t>
            </w:r>
          </w:p>
        </w:tc>
        <w:tc>
          <w:tcPr>
            <w:tcW w:w="6180" w:type="dxa"/>
            <w:vAlign w:val="bottom"/>
            <w:gridSpan w:val="3"/>
          </w:tcPr>
          <w:p>
            <w:pPr>
              <w:ind w:left="2660"/>
              <w:spacing w:after="0"/>
              <w:rPr>
                <w:sz w:val="20"/>
                <w:szCs w:val="20"/>
                <w:color w:val="auto"/>
              </w:rPr>
            </w:pPr>
            <w:r>
              <w:rPr>
                <w:rFonts w:ascii="Times New Roman" w:cs="Times New Roman" w:eastAsia="Times New Roman" w:hAnsi="Times New Roman"/>
                <w:sz w:val="14"/>
                <w:szCs w:val="14"/>
                <w:b w:val="1"/>
                <w:bCs w:val="1"/>
                <w:color w:val="auto"/>
              </w:rPr>
              <w:t>RSUs and Options to be granted</w:t>
            </w:r>
          </w:p>
        </w:tc>
      </w:tr>
      <w:tr>
        <w:trPr>
          <w:trHeight w:val="185"/>
        </w:trPr>
        <w:tc>
          <w:tcPr>
            <w:tcW w:w="1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Robert McNamara</w:t>
            </w:r>
          </w:p>
        </w:tc>
        <w:tc>
          <w:tcPr>
            <w:tcW w:w="266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 RSU awards to acquire shares of common</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(1) equal in value to $147,000 (as of</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r>
      <w:tr>
        <w:trPr>
          <w:trHeight w:val="522"/>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 equal in value to $63,000 (as of the date</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grant)</w:t>
            </w:r>
          </w:p>
        </w:tc>
      </w:tr>
      <w:tr>
        <w:trPr>
          <w:trHeight w:val="52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Cary Vance</w:t>
            </w:r>
          </w:p>
        </w:tc>
        <w:tc>
          <w:tcPr>
            <w:tcW w:w="26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 awards to acquire shares of common</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(1) equal in value to $147,000 (as of</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r>
      <w:tr>
        <w:trPr>
          <w:trHeight w:val="522"/>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 equal in value to $63,000 (as of the date</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grant)</w:t>
            </w:r>
          </w:p>
        </w:tc>
      </w:tr>
    </w:tbl>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 RSUs to vest on the first, second, and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anniversary of the grant date in</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equal amounts (i.e. 1/3 of the RSUs</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 vest on each anniversary).</w:t>
            </w:r>
          </w:p>
        </w:tc>
      </w:tr>
      <w:tr>
        <w:trPr>
          <w:trHeight w:val="306"/>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on the first, second,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third anniversary of the grant date</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equal amounts (i.e. 1/3 of the</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will vest on each anniversary).</w:t>
            </w:r>
          </w:p>
        </w:tc>
      </w:tr>
      <w:tr>
        <w:trPr>
          <w:trHeight w:val="306"/>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on the first, second, and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anniversary of the grant date in</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equal amounts (i.e. 1/3 of the RSUs</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 vest on each anniversary).</w:t>
            </w:r>
          </w:p>
        </w:tc>
      </w:tr>
      <w:tr>
        <w:trPr>
          <w:trHeight w:val="306"/>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on the first, second,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third anniversary of the grant date</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equal amounts (i.e. 1/3 of the</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will vest on each anniversary).</w:t>
            </w:r>
          </w:p>
        </w:tc>
      </w:tr>
    </w:tbl>
    <w:p>
      <w:pPr>
        <w:spacing w:after="0" w:line="200" w:lineRule="exact"/>
        <w:rPr>
          <w:sz w:val="20"/>
          <w:szCs w:val="20"/>
          <w:color w:val="auto"/>
        </w:rPr>
      </w:pPr>
    </w:p>
    <w:p>
      <w:pPr>
        <w:sectPr>
          <w:pgSz w:w="11900" w:h="16838" w:orient="portrait"/>
          <w:cols w:equalWidth="0" w:num="2">
            <w:col w:w="7720" w:space="220"/>
            <w:col w:w="3200"/>
          </w:cols>
          <w:pgMar w:left="320" w:top="455" w:right="439" w:bottom="1440"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 Mr. Vance and Mr. McNamara may elect to acquire CDIs in place of common stock, where five CDIs are equal to one share of common stock.</w:t>
      </w:r>
    </w:p>
    <w:p>
      <w:pPr>
        <w:spacing w:after="0" w:line="133" w:lineRule="exact"/>
        <w:rPr>
          <w:sz w:val="20"/>
          <w:szCs w:val="20"/>
          <w:color w:val="auto"/>
        </w:rPr>
      </w:pPr>
    </w:p>
    <w:p>
      <w:pPr>
        <w:ind w:left="660" w:right="200" w:hanging="544"/>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an RSU, the holder will be entitled to be issued or transferred the relevant number of shares of common stock (or CDIs) of the Company without the payment of any cash or other form of consideration.</w:t>
      </w:r>
    </w:p>
    <w:p>
      <w:pPr>
        <w:ind w:left="660" w:right="360" w:hanging="544"/>
        <w:spacing w:after="0" w:line="290"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the subject of the option will be the closing price of the Company’s shares of common stock on NASDAQ on the date on which the options are granted which will be the date of the Annual Meeting or shortly thereafter.</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NED Securities proposed to be granted as Annual Grants to each non-executive director:</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Set out below are details of the NED Securities proposed to be granted to each relevant non-executive directors if approved under Proposal No’s. 3, 4, 5, 6, 8, or 10 (as applicable).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Non-executive</w:t>
            </w:r>
          </w:p>
        </w:tc>
        <w:tc>
          <w:tcPr>
            <w:tcW w:w="5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RUSs and Options to be granted (1) (2)</w:t>
            </w: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0" w:type="dxa"/>
            <w:vAlign w:val="bottom"/>
          </w:tcPr>
          <w:p>
            <w:pPr>
              <w:spacing w:after="0"/>
              <w:rPr>
                <w:sz w:val="1"/>
                <w:szCs w:val="1"/>
                <w:color w:val="auto"/>
              </w:rPr>
            </w:pPr>
          </w:p>
        </w:tc>
      </w:tr>
      <w:tr>
        <w:trPr>
          <w:trHeight w:val="193"/>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940" w:type="dxa"/>
            <w:vAlign w:val="bottom"/>
            <w:gridSpan w:val="3"/>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7"/>
              </w:rPr>
              <w:t>Lou Panaccio</w:t>
            </w:r>
          </w:p>
        </w:tc>
        <w:tc>
          <w:tcPr>
            <w:tcW w:w="132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0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w:t>
            </w: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Cary Vance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bl>
    <w:p>
      <w:pPr>
        <w:ind w:left="8620"/>
        <w:spacing w:after="0"/>
        <w:rPr>
          <w:sz w:val="20"/>
          <w:szCs w:val="20"/>
          <w:color w:val="auto"/>
        </w:rPr>
      </w:pPr>
      <w:r>
        <w:rPr>
          <w:rFonts w:ascii="Times New Roman" w:cs="Times New Roman" w:eastAsia="Times New Roman" w:hAnsi="Times New Roman"/>
          <w:sz w:val="18"/>
          <w:szCs w:val="18"/>
          <w:color w:val="auto"/>
        </w:rPr>
        <w:t>an expiration date of ten years</w:t>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from the grant date</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 All non-executive directors may elect to acquire CDIs in place of common stock, where five CDIs are equal to one share of common stock</w:t>
      </w:r>
    </w:p>
    <w:p>
      <w:pPr>
        <w:spacing w:after="0" w:line="133" w:lineRule="exact"/>
        <w:rPr>
          <w:sz w:val="20"/>
          <w:szCs w:val="20"/>
          <w:color w:val="auto"/>
        </w:rPr>
      </w:pPr>
    </w:p>
    <w:p>
      <w:pPr>
        <w:ind w:left="660" w:right="200" w:hanging="544"/>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an RSU, the holder will be entitled to be issued or transferred the relevant number of shares of common stock (or CDIs) of the Company without the payment of any cash or other form of consideration.</w:t>
      </w:r>
    </w:p>
    <w:p>
      <w:pPr>
        <w:ind w:left="660" w:right="360" w:hanging="544"/>
        <w:spacing w:after="0" w:line="290"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the subject of the option will be the closing price of the Company’s shares of common stock on NASDAQ on the date on which the options are granted which will be the date of the Annual Meeting or shortly thereafter.</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Initial Grants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noted above, it is proposed that, subject to stockholder approval at the Annual Meeting, each of Mr. McNamara and Mr. Vance will be granted RSUs to acquire shares of common stock equal in value to $147,000 (as at the date of the grant) and options to acquire shares of common stock equal in value to $63,000 (as at the date of the grant).</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number of NED Securities to be granted to each of Mr. McNamara and Mr. Vance under the Initial Grants on the date of grant will be determined in accordance with the following formulae:</w:t>
      </w:r>
    </w:p>
    <w:p>
      <w:pPr>
        <w:spacing w:after="0" w:line="158" w:lineRule="exact"/>
        <w:rPr>
          <w:sz w:val="20"/>
          <w:szCs w:val="20"/>
          <w:color w:val="auto"/>
        </w:rPr>
      </w:pPr>
    </w:p>
    <w:p>
      <w:pPr>
        <w:ind w:left="5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In respect of the RSUs:</w:t>
      </w:r>
      <w:r>
        <w:rPr>
          <w:sz w:val="20"/>
          <w:szCs w:val="20"/>
          <w:color w:val="auto"/>
        </w:rPr>
        <w:tab/>
      </w:r>
      <w:r>
        <w:rPr>
          <w:rFonts w:ascii="Times New Roman" w:cs="Times New Roman" w:eastAsia="Times New Roman" w:hAnsi="Times New Roman"/>
          <w:sz w:val="17"/>
          <w:szCs w:val="17"/>
          <w:color w:val="auto"/>
        </w:rPr>
        <w:t>R = A / B</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RSUs to be issued to the relevant non-executive director rounded down to the nearest whole RSU</w:t>
      </w:r>
    </w:p>
    <w:p>
      <w:pPr>
        <w:spacing w:after="0" w:line="131" w:lineRule="exact"/>
        <w:rPr>
          <w:sz w:val="20"/>
          <w:szCs w:val="20"/>
          <w:color w:val="auto"/>
        </w:rPr>
      </w:pPr>
    </w:p>
    <w:p>
      <w:pPr>
        <w:ind w:left="2080" w:hanging="533"/>
        <w:spacing w:after="0"/>
        <w:tabs>
          <w:tab w:leader="none" w:pos="2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US$147,000</w:t>
      </w:r>
    </w:p>
    <w:p>
      <w:pPr>
        <w:spacing w:after="0" w:line="131" w:lineRule="exact"/>
        <w:rPr>
          <w:sz w:val="20"/>
          <w:szCs w:val="20"/>
          <w:color w:val="auto"/>
        </w:rPr>
      </w:pPr>
    </w:p>
    <w:p>
      <w:pPr>
        <w:ind w:left="2080" w:hanging="533"/>
        <w:spacing w:after="0"/>
        <w:tabs>
          <w:tab w:leader="none" w:pos="2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RSUs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respect of the options: </w:t>
      </w:r>
      <w:r>
        <w:rPr>
          <w:rFonts w:ascii="Times New Roman" w:cs="Times New Roman" w:eastAsia="Times New Roman" w:hAnsi="Times New Roman"/>
          <w:sz w:val="18"/>
          <w:szCs w:val="18"/>
          <w:color w:val="auto"/>
        </w:rPr>
        <w:t>O = X / 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options to be issued to the relevant non-executive director rounded down to the nearest whole option</w:t>
      </w:r>
    </w:p>
    <w:p>
      <w:pPr>
        <w:spacing w:after="0" w:line="131" w:lineRule="exact"/>
        <w:rPr>
          <w:sz w:val="20"/>
          <w:szCs w:val="20"/>
          <w:color w:val="auto"/>
        </w:rPr>
      </w:pPr>
    </w:p>
    <w:p>
      <w:pPr>
        <w:ind w:left="2080" w:hanging="533"/>
        <w:spacing w:after="0"/>
        <w:tabs>
          <w:tab w:leader="none" w:pos="2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US$63,000</w:t>
      </w:r>
    </w:p>
    <w:p>
      <w:pPr>
        <w:spacing w:after="0" w:line="131" w:lineRule="exact"/>
        <w:rPr>
          <w:sz w:val="20"/>
          <w:szCs w:val="20"/>
          <w:color w:val="auto"/>
        </w:rPr>
      </w:pPr>
    </w:p>
    <w:p>
      <w:pPr>
        <w:ind w:left="2080" w:hanging="533"/>
        <w:spacing w:after="0"/>
        <w:tabs>
          <w:tab w:leader="none" w:pos="2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3: Illustrative examples (only) of how the number of NED securities under the Initial Grants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695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269557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out below are example calculations, for illustrative purposes (only), of how the number of NED Securities to be granted to Mr. McNamara and</w:t>
      </w:r>
    </w:p>
    <w:p>
      <w:pPr>
        <w:spacing w:after="0" w:line="27"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Mr. Vance (“New NEDs”) under the Initial Grants will be calculated by applying the above formula. These examples have been calculated by reference to the lowest closing price of the Company’s common stock and highest closing price of the Company’s common stock on NASDAQ over the 6-month period to February 28, 2023.</w:t>
      </w:r>
    </w:p>
    <w:p>
      <w:pPr>
        <w:spacing w:after="0" w:line="18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 is important that stockholders note that the below calculations are examples only and the number of NED Securities that will actually be granted to the new NEDs under the Initial Grants will be calculated on the basis of the closing price of the Company’s shares of common stock on NASDAQ on the date on which the New NEDs s are granted Their NED Securities under the Initial Grants, which will be the date of the Annual Meeting or shortly thereafter. As a result, the number of NED Securities actually granted to each New NED under the Initial Grants may vary materially from the examples set out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 – Lowest closing price on NASDAQ over 6-month period to February 28, 2023:</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by way of example, a New NED had been granted their NED Securities under the Initial Grant on the date of the lowest closing price of the Company’s common stock on NASDAQ over the 6-month period to February 28, 2023, the number of NED Securities to be granted to that New NED under the Initial Grants would, by applying the abovementioned formula, would be as follows: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US$147,00</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36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343" w:lineRule="exact"/>
        <w:rPr>
          <w:sz w:val="20"/>
          <w:szCs w:val="20"/>
          <w:color w:val="auto"/>
        </w:rPr>
      </w:pPr>
    </w:p>
    <w:p>
      <w:pPr>
        <w:ind w:left="1120" w:right="2720" w:hanging="451"/>
        <w:spacing w:after="0" w:line="282" w:lineRule="auto"/>
        <w:tabs>
          <w:tab w:leader="none" w:pos="11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$US4.51, being the lowest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32,450 RSUs to acquire 32,450 shares of common stock (or 162,250 CDIs if so elected) (being the result of dividing A by B)</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US$63,000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 US$4.53, being the lowest closing price of the Company’s common stock on NASDAQ over the 6-month period to February 28, 2023</w:t>
      </w:r>
    </w:p>
    <w:p>
      <w:pPr>
        <w:spacing w:after="0" w:line="142" w:lineRule="exact"/>
        <w:rPr>
          <w:rFonts w:ascii="Times New Roman" w:cs="Times New Roman" w:eastAsia="Times New Roman" w:hAnsi="Times New Roman"/>
          <w:sz w:val="17"/>
          <w:szCs w:val="17"/>
          <w:color w:val="auto"/>
        </w:rPr>
      </w:pPr>
    </w:p>
    <w:p>
      <w:pPr>
        <w:ind w:left="1100" w:right="340" w:hanging="431"/>
        <w:spacing w:after="0" w:line="282"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13,907 RSUs to acquire 13,907 shares of common stock (or 69,535 CDIs if so elected) (being the result of dividing X by Y) at an exercise price of US$4.53 per option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2 – Highest closing price on NASDAQ over 6-month period to February 28, 2023:</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by way of example, a New NED had been granted their NED Securities under the Initial Grants on (the date of the highest closing price of the Company’s common stock on NASDAQ over the 6-month period to February 28, 2023, the number of NED securities to be granted to that New NED under the Initial Grant would, by applying the abovementioned formulae, be as follows:, the number of NED Securities to be granted to that non-executive director would, by applying the abovementioned formulae, be as follows: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US$147,00</w:t>
      </w:r>
    </w:p>
    <w:p>
      <w:pPr>
        <w:spacing w:after="0" w:line="130" w:lineRule="exact"/>
        <w:rPr>
          <w:rFonts w:ascii="Times New Roman" w:cs="Times New Roman" w:eastAsia="Times New Roman" w:hAnsi="Times New Roman"/>
          <w:sz w:val="18"/>
          <w:szCs w:val="18"/>
          <w:color w:val="auto"/>
        </w:rPr>
      </w:pPr>
    </w:p>
    <w:p>
      <w:pPr>
        <w:ind w:left="1100" w:right="280" w:hanging="431"/>
        <w:spacing w:after="0" w:line="282"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10,961 RSUs to acquire 10,961 shares of common stock (or 54,805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US$63,000</w:t>
      </w:r>
    </w:p>
    <w:p>
      <w:pPr>
        <w:spacing w:after="0" w:line="130" w:lineRule="exact"/>
        <w:rPr>
          <w:rFonts w:ascii="Times New Roman" w:cs="Times New Roman" w:eastAsia="Times New Roman" w:hAnsi="Times New Roman"/>
          <w:sz w:val="18"/>
          <w:szCs w:val="18"/>
          <w:color w:val="auto"/>
        </w:rPr>
      </w:pPr>
    </w:p>
    <w:p>
      <w:pPr>
        <w:ind w:left="1100" w:right="260" w:hanging="431"/>
        <w:spacing w:after="0" w:line="282" w:lineRule="auto"/>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right="400" w:hanging="431"/>
        <w:spacing w:after="0" w:line="282" w:lineRule="auto"/>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4,697 options to acquire 4,697 shares of common stock (or 23,485 CDIs if so elected) (being the result of dividing X by Y) at an exercise price of US$13.41 per option</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Annual Grants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noted above, it is proposed that, subject to stockholder approval at the Annual Meeting, each of the non-executive directors will be granted RSUs to acquire shares of common stock equal in value to US$87,500 (as at the date of the grant) and options to acquire shares of common stock equal in value to US$37,500 (as at the date of the grant).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number of NED Securities to be granted to each of the non-executive directors under the Annual Grants on the date of the grant will be determined in accordance with the following formulae:</w:t>
      </w:r>
    </w:p>
    <w:p>
      <w:pPr>
        <w:spacing w:after="0" w:line="50" w:lineRule="exact"/>
        <w:rPr>
          <w:sz w:val="20"/>
          <w:szCs w:val="20"/>
          <w:color w:val="auto"/>
        </w:rPr>
      </w:pPr>
    </w:p>
    <w:p>
      <w:pPr>
        <w:ind w:left="5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In respect of the RSUs:</w:t>
      </w:r>
      <w:r>
        <w:rPr>
          <w:sz w:val="20"/>
          <w:szCs w:val="20"/>
          <w:color w:val="auto"/>
        </w:rPr>
        <w:tab/>
      </w:r>
      <w:r>
        <w:rPr>
          <w:rFonts w:ascii="Times New Roman" w:cs="Times New Roman" w:eastAsia="Times New Roman" w:hAnsi="Times New Roman"/>
          <w:sz w:val="17"/>
          <w:szCs w:val="17"/>
          <w:color w:val="auto"/>
        </w:rPr>
        <w:t>R = A / B</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RSUs to be issued to the relevant non-executive director rounded down to the nearest whole RSU</w:t>
      </w:r>
    </w:p>
    <w:p>
      <w:pPr>
        <w:spacing w:after="0" w:line="131" w:lineRule="exact"/>
        <w:rPr>
          <w:sz w:val="20"/>
          <w:szCs w:val="20"/>
          <w:color w:val="auto"/>
        </w:rPr>
      </w:pPr>
    </w:p>
    <w:p>
      <w:pPr>
        <w:ind w:left="2080" w:hanging="533"/>
        <w:spacing w:after="0"/>
        <w:tabs>
          <w:tab w:leader="none" w:pos="20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US$87,500</w:t>
      </w:r>
    </w:p>
    <w:p>
      <w:pPr>
        <w:spacing w:after="0" w:line="131" w:lineRule="exact"/>
        <w:rPr>
          <w:sz w:val="20"/>
          <w:szCs w:val="20"/>
          <w:color w:val="auto"/>
        </w:rPr>
      </w:pPr>
    </w:p>
    <w:p>
      <w:pPr>
        <w:ind w:left="2080" w:hanging="533"/>
        <w:spacing w:after="0"/>
        <w:tabs>
          <w:tab w:leader="none" w:pos="2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RSUs</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respect of the options: </w:t>
      </w:r>
      <w:r>
        <w:rPr>
          <w:rFonts w:ascii="Times New Roman" w:cs="Times New Roman" w:eastAsia="Times New Roman" w:hAnsi="Times New Roman"/>
          <w:sz w:val="18"/>
          <w:szCs w:val="18"/>
          <w:color w:val="auto"/>
        </w:rPr>
        <w:t>O = X / 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options to be issued to the relevant non-executive director rounded down to the nearest whole option</w:t>
      </w:r>
    </w:p>
    <w:p>
      <w:pPr>
        <w:spacing w:after="0" w:line="131" w:lineRule="exact"/>
        <w:rPr>
          <w:sz w:val="20"/>
          <w:szCs w:val="20"/>
          <w:color w:val="auto"/>
        </w:rPr>
      </w:pPr>
    </w:p>
    <w:p>
      <w:pPr>
        <w:ind w:left="2080" w:hanging="533"/>
        <w:spacing w:after="0"/>
        <w:tabs>
          <w:tab w:leader="none" w:pos="2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US$37,500</w:t>
      </w:r>
    </w:p>
    <w:p>
      <w:pPr>
        <w:spacing w:after="0" w:line="131" w:lineRule="exact"/>
        <w:rPr>
          <w:sz w:val="20"/>
          <w:szCs w:val="20"/>
          <w:color w:val="auto"/>
        </w:rPr>
      </w:pPr>
    </w:p>
    <w:p>
      <w:pPr>
        <w:ind w:left="2080" w:hanging="533"/>
        <w:spacing w:after="0"/>
        <w:tabs>
          <w:tab w:leader="none" w:pos="2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4: Illustrative examples (only) of how the number of NED Securities under the Annual Grants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978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16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Set out below are example calculations, for illustrative purposes (only), of how the number of NED Securities to be granted to the non-executive directors under the Annual Grants will be calculated by applying the above formula. These examples have been calculated by reference to the lowest closing price of the Company’s common stock and highest closing price of the Company’s common stock on NASDAQ over the 6-month period to February 28, 2023.</w:t>
      </w:r>
    </w:p>
    <w:p>
      <w:pPr>
        <w:spacing w:after="0" w:line="72" w:lineRule="exact"/>
        <w:rPr>
          <w:sz w:val="20"/>
          <w:szCs w:val="20"/>
          <w:color w:val="auto"/>
        </w:rPr>
      </w:pPr>
    </w:p>
    <w:p>
      <w:pPr>
        <w:jc w:val="both"/>
        <w:ind w:left="120" w:right="180"/>
        <w:spacing w:after="0" w:line="258" w:lineRule="auto"/>
        <w:rPr>
          <w:sz w:val="20"/>
          <w:szCs w:val="20"/>
          <w:color w:val="auto"/>
        </w:rPr>
      </w:pPr>
      <w:r>
        <w:rPr>
          <w:rFonts w:ascii="Times New Roman" w:cs="Times New Roman" w:eastAsia="Times New Roman" w:hAnsi="Times New Roman"/>
          <w:sz w:val="18"/>
          <w:szCs w:val="18"/>
          <w:color w:val="auto"/>
        </w:rPr>
        <w:t>It is important that stockholders note that the below calculations are examples only and the number of NED Securities that will actually be granted to the non-executive directors under the Annual Grants will be calculated on the basis of the closing price of the Company’s shares of common stock on NASDAQ on the date on which the relevant non-executive director is granted their NED Securities under the Annual Grant, which will be the date of the Annual Meeting or shortly thereafter. As a result, the number of NED Securities actually granted to each non-executive director under the Annual Grants may vary materially from the examples set out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 – Lowest closing price on NASDAQ over 6-month period to February 28, 2023:</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under the Annual Grants on the date of the lowest closing price of the Company’s common stock on NASDAQ over the 6-month period to February 28, 2023, the number of NED Securities to be granted to that New NED under the Annual Grants would, by applying the abovementioned formulae, be as follows: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 US$4.53, being the lowest closing price of the Company’s common stock on NASDAQ over the 6-month period to February 28, 2023</w:t>
      </w: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47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4547235"/>
                    </a:xfrm>
                    <a:prstGeom prst="rect">
                      <a:avLst/>
                    </a:prstGeom>
                    <a:noFill/>
                  </pic:spPr>
                </pic:pic>
              </a:graphicData>
            </a:graphic>
          </wp:anchor>
        </w:drawing>
      </w:r>
    </w:p>
    <w:p>
      <w:pPr>
        <w:spacing w:after="0" w:line="343" w:lineRule="exact"/>
        <w:rPr>
          <w:sz w:val="20"/>
          <w:szCs w:val="20"/>
          <w:color w:val="auto"/>
        </w:rPr>
      </w:pPr>
    </w:p>
    <w:p>
      <w:pPr>
        <w:ind w:left="1100" w:hanging="431"/>
        <w:spacing w:after="0"/>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19,315 RSUs to acquire 19,315 shares of common stock (or 96,575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US$4.53, being the lowest closing price of the Company’s common stock on NASDAQ over the 6-month period to February 28, 2023</w:t>
      </w:r>
    </w:p>
    <w:p>
      <w:pPr>
        <w:spacing w:after="0" w:line="130" w:lineRule="exact"/>
        <w:rPr>
          <w:rFonts w:ascii="Times New Roman" w:cs="Times New Roman" w:eastAsia="Times New Roman" w:hAnsi="Times New Roman"/>
          <w:sz w:val="18"/>
          <w:szCs w:val="18"/>
          <w:color w:val="auto"/>
        </w:rPr>
      </w:pPr>
    </w:p>
    <w:p>
      <w:pPr>
        <w:ind w:left="1100" w:right="44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8,278 options to acquire 8,278 shares of common stock (or 41,390 CDIs if so elected) (being the result of dividing X by Y) at an exercise price of US$4.53 per option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2 – Highest closing price on NASDAQ over 6-month period to February 28, 2023:</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under the Annual Grants on the date of the highest closing price of the Company’s common stock on NASDAQ over the 6-month period to February 28, 2023, the number of NED Securities to be granted to that non-executive director under the Annual Grants would, by applying the abovementioned formula, would be as follows: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30" w:lineRule="exact"/>
        <w:rPr>
          <w:rFonts w:ascii="Times New Roman" w:cs="Times New Roman" w:eastAsia="Times New Roman" w:hAnsi="Times New Roman"/>
          <w:sz w:val="18"/>
          <w:szCs w:val="18"/>
          <w:color w:val="auto"/>
        </w:rPr>
      </w:pPr>
    </w:p>
    <w:p>
      <w:pPr>
        <w:ind w:left="1100" w:right="320" w:hanging="431"/>
        <w:spacing w:after="0" w:line="282"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6,524 RSUs to acquire 6,524 shares of common stock (or 32,620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1100" w:right="30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right="44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2,796 options to acquire 2,796 shares of common stock (or 13,980 CDIs if so elected) (being the result of dividing X by Y) at an exercise price of US$13.41 per option.</w:t>
      </w:r>
    </w:p>
    <w:p>
      <w:pPr>
        <w:spacing w:after="0" w:line="229"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stockholder approval is obtained, the NED Securities proposed to be granted to each relevant non-executive director will be granted under and subject to the terms and conditions of a template RSU agreement (in respect of the RSUs) and a template option agreement (in respect of the options) to be entered into between the relevant non-executive director and the Company (“NED Security Agreements”), the terms of which are summarized below.</w:t>
      </w:r>
    </w:p>
    <w:p>
      <w:pPr>
        <w:spacing w:after="0" w:line="158"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Each of Proposal No’s 3 – 10 (inclusive) are separate Proposals to be considered by stockholders independently. In addition, Proposal No’s 3 – 10 (inclusive) are not interdependent Proposals, meaning that the approval of one Proposal will not impact the outcome of another Proposal (e.g., if Proposal No.4 is not approved, this does not impact the ability of Proposal No. 5 to be approved). Accordingly, if only some of Proposal No’s 3 –10 are approved by stockholders, those Proposals that are approved will remain valid even if certain of Proposal No’s 3 – 10 are not approved by stockholders.</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Those non-executive directors who have the grant of NED Securities to them approved pursuant to the relevant Proposal will be entitled to be granted those NED Securities whereas those non-executive directors who do not have the grant of the relevant NED Securities to them approved will not be entitled to be granted those NED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requirement to seek stockholder approval for the grant of the NED Securities is contained in ASX Listing Rule 10.11. ASX Listing Rule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10.11 provides that a company must not, subject to specified exceptions, issue or agree to issue any equity securities to a related party, which includes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without stockholder approval. If stockholder approval to any of Proposal No’s 3 – 10 is received, approval of that Proposal is not required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ASX Listing Rule 7.1 and the subsequent issue of the shares of common stock (or CDIs) the subject of the options and RSUs referred to in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will not be counted towards the Company’s 15% placement capacity restriction set out in ASX Listing Rule 7.1.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the NED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noted above, the Board is also of the view that the grant of the NED Securities to the abovementioned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NED Security Agreements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value, vesting schedules and other terms of the NED securities noted in the tables above, the following is a summary of other material terms of the NED Security Agreements.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29"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options.</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the subject of the option will be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shares of common stock on NASDAQ on the date on which the option is granted.</w:t>
      </w:r>
    </w:p>
    <w:p>
      <w:pPr>
        <w:spacing w:after="0" w:line="63"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Each non-executive director may pay the applicable exercise price by personal check (or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87" w:lineRule="exact"/>
        <w:rPr>
          <w:rFonts w:ascii="Times New Roman" w:cs="Times New Roman" w:eastAsia="Times New Roman" w:hAnsi="Times New Roman"/>
          <w:sz w:val="18"/>
          <w:szCs w:val="18"/>
          <w:color w:val="auto"/>
        </w:rPr>
      </w:pPr>
    </w:p>
    <w:p>
      <w:pPr>
        <w:ind w:left="1080" w:right="100" w:hanging="532"/>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the non-executive director.</w:t>
      </w:r>
    </w:p>
    <w:p>
      <w:pPr>
        <w:spacing w:after="0" w:line="63" w:lineRule="exact"/>
        <w:rPr>
          <w:rFonts w:ascii="Times New Roman" w:cs="Times New Roman" w:eastAsia="Times New Roman" w:hAnsi="Times New Roman"/>
          <w:sz w:val="18"/>
          <w:szCs w:val="18"/>
          <w:color w:val="auto"/>
        </w:rPr>
      </w:pPr>
    </w:p>
    <w:p>
      <w:pPr>
        <w:ind w:left="1080" w:right="120" w:hanging="532"/>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options (which are entirely time based) are set out in Table 1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Grants proposed to be made to each New NED) and Table 2 (in respect of the Annual Grants proposed to be made to each non-executive director) above. Once 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option has vested it may be exercised at any time during the option term applicable to it unless it otherwise lapses or is forfeited pursuant to the terms of the Option Agreement</w:t>
      </w:r>
    </w:p>
    <w:p>
      <w:pPr>
        <w:spacing w:after="0" w:line="65" w:lineRule="exact"/>
        <w:rPr>
          <w:sz w:val="20"/>
          <w:szCs w:val="20"/>
          <w:color w:val="auto"/>
        </w:rPr>
      </w:pPr>
    </w:p>
    <w:p>
      <w:pPr>
        <w:ind w:left="1080" w:right="16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options will expire at the close of business at the Company’s headquarters on the applicable expiration date (being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85" w:lineRule="exact"/>
        <w:rPr>
          <w:rFonts w:ascii="Times New Roman" w:cs="Times New Roman" w:eastAsia="Times New Roman" w:hAnsi="Times New Roman"/>
          <w:sz w:val="18"/>
          <w:szCs w:val="18"/>
          <w:color w:val="auto"/>
        </w:rPr>
      </w:pPr>
    </w:p>
    <w:p>
      <w:pPr>
        <w:ind w:left="1080" w:right="120" w:hanging="532"/>
        <w:spacing w:after="0" w:line="25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 ceases to be a director of the Company prior to the relevant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6" w:lineRule="exact"/>
        <w:rPr>
          <w:rFonts w:ascii="Times New Roman" w:cs="Times New Roman" w:eastAsia="Times New Roman" w:hAnsi="Times New Roman"/>
          <w:sz w:val="18"/>
          <w:szCs w:val="18"/>
          <w:color w:val="auto"/>
        </w:rPr>
      </w:pPr>
    </w:p>
    <w:p>
      <w:pPr>
        <w:ind w:left="110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90"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87"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option granted to each non-executive director under the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option may be exercised at any one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80" w:hanging="532"/>
        <w:spacing w:after="0" w:line="26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option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RSU Agreements</w:t>
      </w:r>
    </w:p>
    <w:p>
      <w:pPr>
        <w:spacing w:after="0" w:line="129"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RSUs.</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RSUs (which are entirely time based) are set out in Table 1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Grants proposed to be made to the New NEDs) and Table 2 (in respect of the Annual Grants proposed to be made to each non-executive director (as applicable). The Company will issue or transfer to the non-executive director shares of common stock (or CDIs) on or as soon as administratively practical (and within 20 business days in accordance with the terms of the RSU Agreement) following the relevant vesting date of the RSUs.</w:t>
      </w:r>
    </w:p>
    <w:p>
      <w:pPr>
        <w:spacing w:after="0" w:line="88" w:lineRule="exact"/>
        <w:rPr>
          <w:rFonts w:ascii="Times New Roman" w:cs="Times New Roman" w:eastAsia="Times New Roman" w:hAnsi="Times New Roman"/>
          <w:sz w:val="18"/>
          <w:szCs w:val="18"/>
          <w:color w:val="auto"/>
        </w:rPr>
      </w:pPr>
    </w:p>
    <w:p>
      <w:pPr>
        <w:ind w:left="1080" w:right="4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director’s continuous service as a non-executive director of the Company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78"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w:t>
      </w:r>
    </w:p>
    <w:p>
      <w:pPr>
        <w:spacing w:after="0" w:line="97" w:lineRule="exact"/>
        <w:rPr>
          <w:rFonts w:ascii="Times New Roman" w:cs="Times New Roman" w:eastAsia="Times New Roman" w:hAnsi="Times New Roman"/>
          <w:sz w:val="18"/>
          <w:szCs w:val="18"/>
          <w:color w:val="auto"/>
        </w:rPr>
      </w:pPr>
    </w:p>
    <w:p>
      <w:pPr>
        <w:ind w:left="1080" w:right="32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RSU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RSUs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Certain US Federal Income Tax Consequences</w:t>
      </w:r>
    </w:p>
    <w:p>
      <w:pPr>
        <w:spacing w:after="0" w:line="11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this Proposal and not for award grantees,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exercise. The capital gain (or loss) will be a long-term capital gain (or loss) if the participant held the shares of common stock for more than a year after the exercise of the option, or otherwise a short-term capital gain (or loss).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87" w:lineRule="exact"/>
        <w:rPr>
          <w:sz w:val="20"/>
          <w:szCs w:val="20"/>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$1 million limitation on certain executive compensation under Section 162(m) of the Code.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right="28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NED Securities are proposed to be granted to the Company’s non-executive directors, namely Mr. Lou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Panaccio, Professor Suzanne Crowe, Mr. Jeremy Curnock Cook, Ms. Jan Stern Reed, Mr. Robert McNamara and Mr. Cary Vance.</w:t>
      </w:r>
    </w:p>
    <w:p>
      <w:pPr>
        <w:spacing w:after="0" w:line="63" w:lineRule="exact"/>
        <w:rPr>
          <w:rFonts w:ascii="Times New Roman" w:cs="Times New Roman" w:eastAsia="Times New Roman" w:hAnsi="Times New Roman"/>
          <w:sz w:val="18"/>
          <w:szCs w:val="18"/>
          <w:color w:val="auto"/>
        </w:rPr>
      </w:pPr>
    </w:p>
    <w:p>
      <w:pPr>
        <w:ind w:left="1080" w:right="40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Each of Mr. Lou Panaccio, Professor Suzanne Crowe, Mr. Jeremy Curnock Cook, Ms. Jan Stern 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Robert McNamara and Mr. Cary Vance are directors of the Company, and therefore fall into the category under ASX Listing Rule 10.11.1.</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class of securities to be issued to each relevant non-executive director is set out above.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NED Securities to be issued under the Initial Grants and the Annual Grants will be calculated on the date of grant in accordance with the formulae set out above.</w:t>
      </w:r>
    </w:p>
    <w:p>
      <w:pPr>
        <w:spacing w:after="0" w:line="78" w:lineRule="exact"/>
        <w:rPr>
          <w:rFonts w:ascii="Times New Roman" w:cs="Times New Roman" w:eastAsia="Times New Roman" w:hAnsi="Times New Roman"/>
          <w:sz w:val="18"/>
          <w:szCs w:val="18"/>
          <w:color w:val="auto"/>
        </w:rPr>
      </w:pPr>
    </w:p>
    <w:p>
      <w:pPr>
        <w:ind w:left="1080" w:right="38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under Proposal No’s 3 – 10 (inclusive) are the NED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comprising RSUs and options to acquire fully paid shares of common stock (which each relevant non-executive director may elect to receive as CDIs (where five CDIs are equal to one share of common stock) except in the case of a cashless exercise of an option). The material terms of the NED Securities are set out above.</w:t>
      </w:r>
    </w:p>
    <w:p>
      <w:pPr>
        <w:spacing w:after="0" w:line="85"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Any NED Securities to be granted to the relevant non-executive directors, if approved under Proposal No’s 3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will be granted on the date of the Annual Meeting or shortly thereafter (and no later than one month after the date of the Annual Meeting).</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RSUs (or for the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CDIs) to be issued or transferred upon the vesting of the RSUs) or the options, other than the continued provision of non-executive director services by the non-executive directors. In relation to the options, once vested, the relevant non-executive director will be required to pay the exercise price for the number of shares of common stock of the Company (which may be represented as CDIs) the subject of the options being exercised. The exercise price payable for each share of common stock to be issued under the option will be the closing price of the Company’s shares of common stock on NASDAQ on the date on which the option is granted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example, if the option was granted on March 21, 2023, (United States), the exercise price for each share of common stock to</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40"/>
        <w:spacing w:after="0" w:line="261" w:lineRule="auto"/>
        <w:rPr>
          <w:sz w:val="20"/>
          <w:szCs w:val="20"/>
          <w:color w:val="auto"/>
        </w:rPr>
      </w:pPr>
      <w:r>
        <w:rPr>
          <w:rFonts w:ascii="Times New Roman" w:cs="Times New Roman" w:eastAsia="Times New Roman" w:hAnsi="Times New Roman"/>
          <w:sz w:val="18"/>
          <w:szCs w:val="18"/>
          <w:color w:val="auto"/>
        </w:rPr>
        <w:t>be issued under the option would be US$13.49, being the closing price of the Company’s shares of common stock on NASDAQ on March 21, 2023 (United States). Where a non-executive director elects to receive CDIs instead of shares of common stock, the total exercise price will remain the same however the non-executive director will receive five CDIs for each share of common stock that the director would have otherwise received.</w:t>
      </w:r>
    </w:p>
    <w:p>
      <w:pPr>
        <w:spacing w:after="0" w:line="83" w:lineRule="exact"/>
        <w:rPr>
          <w:sz w:val="20"/>
          <w:szCs w:val="20"/>
          <w:color w:val="auto"/>
        </w:rPr>
      </w:pPr>
    </w:p>
    <w:p>
      <w:pPr>
        <w:ind w:left="1080" w:right="30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As noted above, the purpose of the proposed grant of the NED Securities is to promote ownership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the non-executive directors and to align their interests with stockholders by linking part of their compensation to the long-term success of the Company and its financial performance.</w:t>
      </w:r>
    </w:p>
    <w:p>
      <w:pPr>
        <w:spacing w:after="0" w:line="78" w:lineRule="exact"/>
        <w:rPr>
          <w:rFonts w:ascii="Times New Roman" w:cs="Times New Roman" w:eastAsia="Times New Roman" w:hAnsi="Times New Roman"/>
          <w:sz w:val="18"/>
          <w:szCs w:val="18"/>
          <w:color w:val="auto"/>
        </w:rPr>
      </w:pPr>
    </w:p>
    <w:p>
      <w:pPr>
        <w:ind w:left="1080" w:right="50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The details of each non-executive director’s current total remuneration package (in US dollars) is set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63" w:lineRule="exact"/>
        <w:rPr>
          <w:rFonts w:ascii="Times New Roman" w:cs="Times New Roman" w:eastAsia="Times New Roman" w:hAnsi="Times New Roman"/>
          <w:sz w:val="18"/>
          <w:szCs w:val="18"/>
          <w:color w:val="auto"/>
        </w:rPr>
      </w:pPr>
    </w:p>
    <w:p>
      <w:pPr>
        <w:ind w:left="1080" w:right="52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NED Securities are proposed to be granted in accordance with the terms and conditions of the 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Agreements. The material terms of the NED Security Agreements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Director’s Current Total Remuneration Table (as of December 31, 2022):</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Nomination</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2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Lou Panaccio</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$35,000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126,250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Professor Suzanne Crowe</w:t>
            </w:r>
          </w:p>
        </w:tc>
        <w:tc>
          <w:tcPr>
            <w:tcW w:w="1340" w:type="dxa"/>
            <w:vAlign w:val="bottom"/>
            <w:gridSpan w:val="3"/>
          </w:tcPr>
          <w:p>
            <w:pPr>
              <w:jc w:val="center"/>
              <w:ind w:left="215"/>
              <w:spacing w:after="0"/>
              <w:rPr>
                <w:sz w:val="20"/>
                <w:szCs w:val="20"/>
                <w:color w:val="auto"/>
              </w:rPr>
            </w:pPr>
            <w:r>
              <w:rPr>
                <w:rFonts w:ascii="Times New Roman" w:cs="Times New Roman" w:eastAsia="Times New Roman" w:hAnsi="Times New Roman"/>
                <w:sz w:val="17"/>
                <w:szCs w:val="17"/>
                <w:color w:val="auto"/>
              </w:rPr>
              <w:t>$70,000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95,000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Jeremy Curnock Cook</w:t>
            </w:r>
          </w:p>
        </w:tc>
        <w:tc>
          <w:tcPr>
            <w:tcW w:w="1340" w:type="dxa"/>
            <w:vAlign w:val="bottom"/>
            <w:gridSpan w:val="3"/>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$70,000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90,833</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Jan Stern Reed</w:t>
            </w:r>
          </w:p>
        </w:tc>
        <w:tc>
          <w:tcPr>
            <w:tcW w:w="1340" w:type="dxa"/>
            <w:vAlign w:val="bottom"/>
            <w:gridSpan w:val="3"/>
          </w:tcPr>
          <w:p>
            <w:pPr>
              <w:jc w:val="center"/>
              <w:ind w:left="215"/>
              <w:spacing w:after="0"/>
              <w:rPr>
                <w:sz w:val="20"/>
                <w:szCs w:val="20"/>
                <w:color w:val="auto"/>
              </w:rPr>
            </w:pPr>
            <w:r>
              <w:rPr>
                <w:rFonts w:ascii="Times New Roman" w:cs="Times New Roman" w:eastAsia="Times New Roman" w:hAnsi="Times New Roman"/>
                <w:sz w:val="17"/>
                <w:szCs w:val="17"/>
                <w:color w:val="auto"/>
              </w:rPr>
              <w:t>$70,000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92,500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Lou Panaccio, who abstains given his personal interest in Proposal No. 3) recommends that stockholders vote “FOR” Proposal No. 3.</w:t>
      </w:r>
    </w:p>
    <w:p>
      <w:pPr>
        <w:spacing w:after="0" w:line="155"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Professor Suzanne Crowe, who abstains given her personal interest in Proposal No. 4) recommends that stockholders vote “FOR” Proposal No. 4.</w:t>
      </w:r>
    </w:p>
    <w:p>
      <w:pPr>
        <w:spacing w:after="0" w:line="155"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Jeremy Curnock Cook, who abstains given his personal interest in Proposal No. 5) recommends that stockholders vote “FOR” Proposal No. 5.</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Ms. Jan Stern Reed, who abstains given her personal interest in Proposal No. 6) recommends that stockholders vote “FOR” Proposal No. 6.</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Robert McNamara, who abstains given his personal interest in Proposals No. 7 and No. 8) recommends the stockholders vote “FOR” Proposals No. 7 and No. 8.</w:t>
      </w:r>
    </w:p>
    <w:p>
      <w:pPr>
        <w:spacing w:after="0" w:line="155"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Cary Vance) who abstains given his personal interest in Proposals No. 9 and No. 10) recommends the stockholders vote “FOR” Proposals No. 9 and No. 10.</w:t>
      </w:r>
    </w:p>
    <w:p>
      <w:pPr>
        <w:spacing w:after="0" w:line="15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noted above, Proposal No’s 3 – 10 (inclusive) are not interdependent Proposals. Accordingly, if only some of Proposal No’s 3 – 10 are approved by stockholders, those Proposals that are approved will remain valid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even if certain of Proposal No’s 3 – 10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Approval of each of Proposal No’s 3 – 10 requires a number of “FOR” votes that is a majority of the votes cast by the Company’s stockholders present in person or represented by proxy at the Annual Meeting and entitled to vote on the relevant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will disregard any votes cast in favor of:</w:t>
      </w:r>
    </w:p>
    <w:p>
      <w:pPr>
        <w:spacing w:after="0" w:line="131" w:lineRule="exact"/>
        <w:rPr>
          <w:sz w:val="20"/>
          <w:szCs w:val="20"/>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by on or behalf of Mr. Panaccio and any other person who will obtain a material benefit as a result of the issue of the securities under Proposal No. 3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by or on behalf of Professor Crowe and any other person who will obtain a material benefit as a result of the issue of the securities under Proposal No. 4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by or on behalf of Mr. Curnock Cook and any other person who will obtain a material benefit as a result of the issue of the securities under Proposal No. 5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6 by or on behalf of Ms. Stern Reed and any other person who will obtain a material benefit as a result of the issue of the securities under Proposal No. 6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7 by on or behalf of Mr. Robert McNamara and any other person who will obtain a material benefit as a result of the issue of the securities under Proposal No. 7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8 by or on behalf of Mr. Robert McNamara and any other person who will obtain a material benefit as a result of the issue of the securities under Proposal No. 8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9 by or on behalf of Mr. Cary Vance and any other person who will obtain a material benefit as a result of the issue of the securities under Proposal No. 9 (except a benefit solely by reason of being a holder of the Company’s shares of common stock (or CDI(s)) or their associates); and</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10 by or on behalf of Mr. Cary Vance and any other person who will obtain a material benefit as a result of the issue of the securities under Proposal No. 10 (except a benefit solely by reason of being a holder of the Company’s shares of common stock (or CDI(s)) or their associates);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any of the above Proposals by:</w:t>
      </w:r>
    </w:p>
    <w:p>
      <w:pPr>
        <w:spacing w:after="0" w:line="131" w:lineRule="exact"/>
        <w:rPr>
          <w:sz w:val="20"/>
          <w:szCs w:val="20"/>
          <w:color w:val="auto"/>
        </w:rPr>
      </w:pPr>
    </w:p>
    <w:p>
      <w:pPr>
        <w:ind w:left="1080" w:right="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relevant Proposal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APPROVAL OF THE GRANT OF OPTIONS TO MR. JAMES CORBETT, CHIEF EXECUTIVE OFFICER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Proposal No. 11 seeks the approval of stockholders under ASX Listing Rule 10.11 for the grant of options to acquire 100,000 shares of common stock of the Company (or, if so elected, CDIs) to Mr. Corbett (“</w:t>
      </w:r>
      <w:r>
        <w:rPr>
          <w:rFonts w:ascii="Times New Roman" w:cs="Times New Roman" w:eastAsia="Times New Roman" w:hAnsi="Times New Roman"/>
          <w:sz w:val="18"/>
          <w:szCs w:val="18"/>
          <w:b w:val="1"/>
          <w:bCs w:val="1"/>
          <w:color w:val="auto"/>
        </w:rPr>
        <w:t>CEO Options</w:t>
      </w:r>
      <w:r>
        <w:rPr>
          <w:rFonts w:ascii="Times New Roman" w:cs="Times New Roman" w:eastAsia="Times New Roman" w:hAnsi="Times New Roman"/>
          <w:sz w:val="18"/>
          <w:szCs w:val="18"/>
          <w:color w:val="auto"/>
        </w:rPr>
        <w:t>”) on the terms and conditions of an option agreement (“Option Agreement”) to be entered into between Mr. Corbett and the Company, the proposed terms of which are set out below.</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option on vesting and payment of the applicable exercise price by Mr. Corbett (being the closing price of the Company’s shares of common stock on NASDAQ on the date on which the options are granted) will entitle Mr. Corbett to be issued one fully paid share of common stock of the Company. Mr. Corbett may (except where a cashless exercise program is implemented in respect of the relevant option) elect to acquire CDIs in place of common stock of the Company with five CDIs being equal to one share of common stock of the Company.</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CEO Options will be issued under and subject to the terms of the CEO Option Agreement. If stockholder approval is not obtained, the CEO Options will not be issued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10.11</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requirement to seek stockholder approval for the issue of the CEO Options is contained in ASX Listing Rule 10.11. ASX Listing Rule 10.11 provides that a company must not, subject to specified exceptions, issue or agree to issue any equity securities to a related party, which includes a director, without stockholder approval.</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stockholder approval in relation to this Proposal No. 11 is received, approval is not required under ASX Listing Rule 7.1 and the subsequent issue of the shares of common stock (or CDIs) the subject of the CEO Options will not be counted towards the Company’s 15% placement capacity restriction set out in ASX Listing Rule 7.1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the CEO Options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order to continue to incentivize Mr. Corbett in his CEO role with the Company, the Board has approved the proposed grant of the CEO Options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CEO Options and vesting conditions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are details of the CEO Options proposed to be issued to Mr. Corbett if approved by the stockholders under this Proposal No. 11.</w:t>
      </w:r>
    </w:p>
    <w:p>
      <w:pPr>
        <w:spacing w:after="0" w:line="246" w:lineRule="exact"/>
        <w:rPr>
          <w:sz w:val="20"/>
          <w:szCs w:val="20"/>
          <w:color w:val="auto"/>
        </w:rPr>
      </w:pPr>
    </w:p>
    <w:p>
      <w:pPr>
        <w:ind w:left="120"/>
        <w:spacing w:after="0"/>
        <w:tabs>
          <w:tab w:leader="none" w:pos="5840" w:val="left"/>
          <w:tab w:leader="none" w:pos="9060" w:val="left"/>
        </w:tabs>
        <w:rPr>
          <w:sz w:val="20"/>
          <w:szCs w:val="20"/>
          <w:color w:val="auto"/>
        </w:rPr>
      </w:pPr>
      <w:r>
        <w:rPr>
          <w:rFonts w:ascii="Times New Roman" w:cs="Times New Roman" w:eastAsia="Times New Roman" w:hAnsi="Times New Roman"/>
          <w:sz w:val="14"/>
          <w:szCs w:val="14"/>
          <w:b w:val="1"/>
          <w:bCs w:val="1"/>
          <w:u w:val="single" w:color="auto"/>
          <w:color w:val="auto"/>
        </w:rPr>
        <w:t>Number of CEO Options to be issued (1)</w:t>
      </w:r>
      <w:r>
        <w:rPr>
          <w:sz w:val="20"/>
          <w:szCs w:val="20"/>
          <w:color w:val="auto"/>
        </w:rPr>
        <w:tab/>
      </w:r>
      <w:r>
        <w:rPr>
          <w:rFonts w:ascii="Times New Roman" w:cs="Times New Roman" w:eastAsia="Times New Roman" w:hAnsi="Times New Roman"/>
          <w:sz w:val="14"/>
          <w:szCs w:val="14"/>
          <w:b w:val="1"/>
          <w:bCs w:val="1"/>
          <w:color w:val="auto"/>
        </w:rPr>
        <w:t>Vesting Terms (1)</w:t>
      </w:r>
      <w:r>
        <w:rPr>
          <w:sz w:val="20"/>
          <w:szCs w:val="20"/>
          <w:color w:val="auto"/>
        </w:rPr>
        <w:tab/>
      </w: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16510</wp:posOffset>
            </wp:positionV>
            <wp:extent cx="39090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Options to acquire 100,000 shares of Common Stock.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Tenure based—the CEO Options will vest on an annual basis over three years in equal installments, subject to</w:t>
      </w:r>
    </w:p>
    <w:p>
      <w:pPr>
        <w:ind w:right="40"/>
        <w:spacing w:after="0" w:line="255" w:lineRule="auto"/>
        <w:rPr>
          <w:sz w:val="20"/>
          <w:szCs w:val="20"/>
          <w:color w:val="auto"/>
        </w:rPr>
      </w:pPr>
      <w:r>
        <w:rPr>
          <w:rFonts w:ascii="Times New Roman" w:cs="Times New Roman" w:eastAsia="Times New Roman" w:hAnsi="Times New Roman"/>
          <w:sz w:val="18"/>
          <w:szCs w:val="18"/>
          <w:color w:val="auto"/>
        </w:rPr>
        <w:t>Mr. Corbett continuing to be employed with the Company. Upon vesting, the CEO Options may then be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Year 1: On the first anniversary of the grant date 33.3% of the CEO Options will vest (being 33,333 CEO Options)</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Year 2: On the second anniversary of the grant date</w:t>
      </w:r>
    </w:p>
    <w:p>
      <w:pPr>
        <w:sectPr>
          <w:pgSz w:w="11900" w:h="16838" w:orient="portrait"/>
          <w:cols w:equalWidth="0" w:num="3">
            <w:col w:w="4260" w:space="720"/>
            <w:col w:w="2840" w:space="240"/>
            <w:col w:w="3040"/>
          </w:cols>
          <w:pgMar w:left="320" w:top="455" w:right="4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15"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4"/>
          <w:szCs w:val="14"/>
          <w:b w:val="1"/>
          <w:bCs w:val="1"/>
          <w:u w:val="single" w:color="auto"/>
          <w:color w:val="auto"/>
        </w:rPr>
        <w:t>Number of CEO Options to be issued</w:t>
      </w:r>
      <w:r>
        <w:rPr>
          <w:sz w:val="20"/>
          <w:szCs w:val="20"/>
          <w:color w:val="auto"/>
        </w:rPr>
        <w:tab/>
      </w:r>
      <w:r>
        <w:rPr>
          <w:rFonts w:ascii="Times New Roman" w:cs="Times New Roman" w:eastAsia="Times New Roman" w:hAnsi="Times New Roman"/>
          <w:sz w:val="14"/>
          <w:szCs w:val="14"/>
          <w:b w:val="1"/>
          <w:bCs w:val="1"/>
          <w:color w:val="auto"/>
        </w:rPr>
        <w:t>Vesting Terms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16510</wp:posOffset>
            </wp:positionV>
            <wp:extent cx="18173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exercised (subject to the payment by</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Mr. Corbett of the exercise price) (2)</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with an expiration date of ten years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from the grant date (being the date of</w:t>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the Annual Meeting)</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54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8"/>
          <w:szCs w:val="18"/>
          <w:color w:val="auto"/>
        </w:rPr>
        <w:t>33.3% of the CEO Options will vest (being 33,333 CEO Options)</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Year 3: On the third anniversary of the grant date 33.3% of the CEO Options will vest (being 33,334 CEO Options)</w:t>
      </w:r>
    </w:p>
    <w:p>
      <w:pPr>
        <w:spacing w:after="0" w:line="200" w:lineRule="exact"/>
        <w:rPr>
          <w:sz w:val="20"/>
          <w:szCs w:val="20"/>
          <w:color w:val="auto"/>
        </w:rPr>
      </w:pPr>
    </w:p>
    <w:p>
      <w:pPr>
        <w:sectPr>
          <w:pgSz w:w="11900" w:h="16838" w:orient="portrait"/>
          <w:cols w:equalWidth="0" w:num="2">
            <w:col w:w="7660" w:space="400"/>
            <w:col w:w="3020"/>
          </w:cols>
          <w:pgMar w:left="320" w:top="455" w:right="499" w:bottom="1440" w:gutter="0" w:footer="0" w:header="0"/>
          <w:type w:val="continuous"/>
        </w:sectPr>
      </w:pPr>
    </w:p>
    <w:p>
      <w:pPr>
        <w:spacing w:after="0" w:line="14"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Corbett may elect to acquire CDIs in place of common stock, where five CDIs are equal to one share of common stock</w:t>
      </w:r>
    </w:p>
    <w:p>
      <w:pPr>
        <w:spacing w:after="0" w:line="29" w:lineRule="exact"/>
        <w:rPr>
          <w:rFonts w:ascii="Times New Roman" w:cs="Times New Roman" w:eastAsia="Times New Roman" w:hAnsi="Times New Roman"/>
          <w:sz w:val="18"/>
          <w:szCs w:val="18"/>
          <w:i w:val="1"/>
          <w:iCs w:val="1"/>
          <w:color w:val="auto"/>
        </w:rPr>
      </w:pPr>
    </w:p>
    <w:p>
      <w:pPr>
        <w:ind w:left="540" w:right="10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exercise price payable for each share of common stock to be issued upon exercise of each CEO Option will be the closing price of a share of Common Stock on NASDAQ on the date on which the CEO Options are granted, being the date of the Annual Meeting or shortly thereafter.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CEO Option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is a summary of the principal terms of the CEO Option Agreement.</w:t>
      </w:r>
    </w:p>
    <w:p>
      <w:pPr>
        <w:spacing w:after="0" w:line="129"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CEO Options.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to be issued under each CEO Option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price of a share of Common Stock on NASDAQ on the date on which the CEO Options are granted.</w:t>
      </w:r>
    </w:p>
    <w:p>
      <w:pPr>
        <w:spacing w:after="0" w:line="63"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Mr. Corbett may pay the applicable exercise price by personal check (or readily available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 transfer, cashier’s check or by consideration received by the Company pursuant to a broker-assisted cashless exercise program implemented by the “Administrator” under the CEO Option Agreement. Under a cashless exercise, also known as a same-day sale, a broker would facilitate the exercise of CEO Options by Mr. Corbett so that Mr. Corbett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w:t>
      </w:r>
    </w:p>
    <w:p>
      <w:pPr>
        <w:spacing w:after="0" w:line="88"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Mr. Corbett.</w:t>
      </w:r>
    </w:p>
    <w:p>
      <w:pPr>
        <w:spacing w:after="0" w:line="63" w:lineRule="exact"/>
        <w:rPr>
          <w:rFonts w:ascii="Times New Roman" w:cs="Times New Roman" w:eastAsia="Times New Roman" w:hAnsi="Times New Roman"/>
          <w:sz w:val="18"/>
          <w:szCs w:val="18"/>
          <w:color w:val="auto"/>
        </w:rPr>
      </w:pPr>
    </w:p>
    <w:p>
      <w:pPr>
        <w:ind w:left="1080" w:right="140" w:hanging="532"/>
        <w:spacing w:after="0" w:line="26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CEO Options are set out in the above table. Once a CEO Option has vested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at any time during the option term applicable to it unless it otherwise lapses or is forfeited pursuant to the terms of the CEO Option Agreement.</w:t>
      </w:r>
    </w:p>
    <w:p>
      <w:pPr>
        <w:spacing w:after="0" w:line="78" w:lineRule="exact"/>
        <w:rPr>
          <w:rFonts w:ascii="Times New Roman" w:cs="Times New Roman" w:eastAsia="Times New Roman" w:hAnsi="Times New Roman"/>
          <w:sz w:val="18"/>
          <w:szCs w:val="18"/>
          <w:color w:val="auto"/>
        </w:rPr>
      </w:pPr>
    </w:p>
    <w:p>
      <w:pPr>
        <w:ind w:left="1080" w:right="20" w:hanging="532"/>
        <w:spacing w:after="0" w:line="26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CEO Options will expire at the close of business at the Company’s headquarters on the applicable expiration date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years from the grant date of the CEO Option), unless the CEO Option Agreement terminates earlier in connection with Mr. Corbett no longer serving as an employee of the Company or in the event of a change of control.</w:t>
      </w:r>
    </w:p>
    <w:p>
      <w:pPr>
        <w:spacing w:after="0" w:line="78"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CEO: </w:t>
      </w:r>
      <w:r>
        <w:rPr>
          <w:rFonts w:ascii="Times New Roman" w:cs="Times New Roman" w:eastAsia="Times New Roman" w:hAnsi="Times New Roman"/>
          <w:sz w:val="18"/>
          <w:szCs w:val="18"/>
          <w:color w:val="auto"/>
        </w:rPr>
        <w:t>If Mr. Corbett ceases to be an employee of the Company prior to the relevant expiration date of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Times New Roman" w:cs="Times New Roman" w:eastAsia="Times New Roman" w:hAnsi="Times New Roman"/>
          <w:sz w:val="17"/>
          <w:szCs w:val="17"/>
          <w:color w:val="auto"/>
        </w:rPr>
        <w:t>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 whether he will be terminated for cause, all of Mr. Corbett’s rights under the CEO Options, including the right to exercise any vested CEO Options, will be suspended during the investigation period.</w:t>
      </w:r>
    </w:p>
    <w:p>
      <w:pPr>
        <w:spacing w:after="0" w:line="71" w:lineRule="exact"/>
        <w:rPr>
          <w:sz w:val="20"/>
          <w:szCs w:val="20"/>
          <w:color w:val="auto"/>
        </w:rPr>
      </w:pPr>
    </w:p>
    <w:p>
      <w:pPr>
        <w:ind w:left="1080" w:right="160" w:hanging="532"/>
        <w:spacing w:after="0" w:line="25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Mr. Corbett under the terms of the CEO Option Agreement including, amongst other things, restrictions on Mr. Corbett’s ability as an option holder to participate in new issues of shares of common stock (where a new issue is offered to existing holders of the Company’s shares of common stock) where it relates to the shares of common stock the subject of the CEO Option and restrictions in relation to the amendment or modification of the terms of the CEO Options (unless such amendment or modification is made to comply with the ASX Listing Rules or unless otherwise permitted by the ASX Listing Rule or by a waiver granted by the ASX).</w:t>
      </w:r>
    </w:p>
    <w:p>
      <w:pPr>
        <w:spacing w:after="0" w:line="87"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CEO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therefore.</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CEO Options granted to Mr. Corbett under the CEO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CEO Options may be exercised at any one time.</w:t>
      </w:r>
    </w:p>
    <w:p>
      <w:pPr>
        <w:spacing w:after="0" w:line="78" w:lineRule="exact"/>
        <w:rPr>
          <w:rFonts w:ascii="Times New Roman" w:cs="Times New Roman" w:eastAsia="Times New Roman" w:hAnsi="Times New Roman"/>
          <w:sz w:val="18"/>
          <w:szCs w:val="18"/>
          <w:color w:val="auto"/>
        </w:rPr>
      </w:pPr>
    </w:p>
    <w:p>
      <w:pPr>
        <w:ind w:left="1080" w:right="80" w:hanging="532"/>
        <w:spacing w:after="0" w:line="26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CEO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unvested portion of the relevant CEO Options outstanding as of immediately prior to the change in control will vest in full as of the change in control.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CEO Option Agreement based on US federal income tax laws in effect. This summary, which is presented for the information of stockholders considering how to vote on this Proposal and not for the award grantee,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CEO Options are proposed to be granted to Mr. James Corbett, the Company’s President and CEO.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Mr. Corbett is a director of the Company and therefore falls into the category under ASX Listing Rule 10.11.1.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to be issued to Mr. Corbett are set out above.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7"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are options to acquire fully paid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Corbett may elect to receive as CDIs (where five CDIs are equal to one share of common stock), except in the case of a cashless exercise of an option). The material terms of the CEO Options are set out above.</w:t>
      </w:r>
    </w:p>
    <w:p>
      <w:pPr>
        <w:spacing w:after="0" w:line="78"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If approved under this Proposal, the CEO Options will be issued on the date of the Annual Meeting or shortly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no later than one month after the date of the Annual Meeting).</w:t>
      </w:r>
    </w:p>
    <w:p>
      <w:pPr>
        <w:spacing w:after="0" w:line="6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CEO Options, other than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employment and director services by Mr. Corbett. Once vested, Mr. Corbett will be required to pay the exercise price for the number of shares of common stock of the Company (which may be represented as CDIs) the subject of the CEO Options being exercised. The exercise price payable for each share of common stock to be issued upon exercise of each CEO Option will be the closing price of a share of Common Stock on NASDAQ on the date on which the CEO Options are granted. If Mr. Corbett elects to receive CDIs instead of shares of common stock, the total exercise price will remain the same however Mr. Corbett will receive five CDIs for each share of common stock that Mr. Corbett would have otherwise received.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The purpose of the issue of the CEO Options is set out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Details of Mr. Corbett’s current total remuneration package is set out below.</w:t>
      </w:r>
    </w:p>
    <w:p>
      <w:pPr>
        <w:spacing w:after="0" w:line="132"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Mr. Corbett is paid an annualized base salary of $630,000 in periodic installments, in accordance with the Company’s customary payroll practices, subject to annual review by the Compensation Committee of the Board of Directors.</w:t>
      </w:r>
    </w:p>
    <w:p>
      <w:pPr>
        <w:spacing w:after="0" w:line="67" w:lineRule="exact"/>
        <w:rPr>
          <w:rFonts w:ascii="Times New Roman" w:cs="Times New Roman" w:eastAsia="Times New Roman" w:hAnsi="Times New Roman"/>
          <w:sz w:val="18"/>
          <w:szCs w:val="18"/>
          <w:color w:val="auto"/>
        </w:rPr>
      </w:pPr>
    </w:p>
    <w:p>
      <w:pPr>
        <w:ind w:left="1540" w:right="480" w:hanging="331"/>
        <w:spacing w:after="0" w:line="266" w:lineRule="auto"/>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each completed fiscal year, Mr. Corbett is eligible to receive an annual bonus. As of September 28, 2022, Mr. Corbett’s target bonus opportunity shall be equal to 60% of base salary, based on the achievement of Mr. Corbett’s and the Company’s performance goals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80"/>
        <w:spacing w:after="0" w:line="266" w:lineRule="auto"/>
        <w:rPr>
          <w:sz w:val="20"/>
          <w:szCs w:val="20"/>
          <w:color w:val="auto"/>
        </w:rPr>
      </w:pPr>
      <w:r>
        <w:rPr>
          <w:rFonts w:ascii="Times New Roman" w:cs="Times New Roman" w:eastAsia="Times New Roman" w:hAnsi="Times New Roman"/>
          <w:sz w:val="18"/>
          <w:szCs w:val="18"/>
          <w:color w:val="auto"/>
        </w:rPr>
        <w:t>established by the Board of Directors; provided, that, depending on the results, Mr. Corbett’s annual bonus may be lower or higher than the target amount with a minimum bonus opportunity of 0% of base salary and a maximum bonus opportunity of 200% of base salary, as determined by the Board of Directors.</w:t>
      </w:r>
    </w:p>
    <w:p>
      <w:pPr>
        <w:spacing w:after="0" w:line="79" w:lineRule="exact"/>
        <w:rPr>
          <w:sz w:val="20"/>
          <w:szCs w:val="20"/>
          <w:color w:val="auto"/>
        </w:rPr>
      </w:pPr>
    </w:p>
    <w:p>
      <w:pPr>
        <w:ind w:left="1080" w:right="200" w:hanging="424"/>
        <w:spacing w:after="0" w:line="284"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CEO Options are proposed to be issued in accordance with the terms and conditions of the CEO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material terms of the CEO Option Agreement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Corbett, who abstains given his personal interest in Proposal No. 11) recommends that stockholders vote “FOR” Proposal No. 11.</w:t>
      </w:r>
    </w:p>
    <w:p>
      <w:pPr>
        <w:spacing w:after="0" w:line="15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If this Proposal No. 11 is approved by stockholders, the CEO Options will be granted under and subject to the terms of the CEO Option Agreement. If this Proposal No. 11 is not approved by stockholders, the CEO Options will not be granted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No. 11 requires a number of “FOR” votes that is a majority of the votes cast by the Company’s stockholders present in person or represented by proxy at the Annual Meeting and entitled to vote on Proposal No. 11.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The Company will disregard any votes cast in favor of Proposal No. 11 by on or behalf of Mr. Corbett and any other person who will obtain a material benefit as a result of the issue of the securities under Proposal No. 11 (except a benefit solely by reason of being a holder of the Company’s shares of common stock (or CDI(s)) or their associates), however, the Company need not disregard a vote cast in favor of Proposal No. 11 by:</w:t>
      </w:r>
    </w:p>
    <w:p>
      <w:pPr>
        <w:spacing w:after="0" w:line="63" w:lineRule="exact"/>
        <w:rPr>
          <w:sz w:val="20"/>
          <w:szCs w:val="20"/>
          <w:color w:val="auto"/>
        </w:rPr>
      </w:pPr>
    </w:p>
    <w:p>
      <w:pPr>
        <w:ind w:left="1080" w:right="2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Proposal No. 11, in accordance with directions given to the proxy or attorney to vote on Proposal No. 11 in that way;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Proposal No. 11, in accordance with a direction given to the chair to vote on Proposal No. 11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Proposal No. 8;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Proposal No.11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12</w:t>
      </w:r>
    </w:p>
    <w:p>
      <w:pPr>
        <w:spacing w:after="0" w:line="225" w:lineRule="exact"/>
        <w:rPr>
          <w:sz w:val="20"/>
          <w:szCs w:val="20"/>
          <w:color w:val="auto"/>
        </w:rPr>
      </w:pPr>
    </w:p>
    <w:p>
      <w:pPr>
        <w:jc w:val="center"/>
        <w:ind w:left="480" w:right="46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FIRST AMENDMENT TO THE COMPANY’S 2020 OMNIBUS INCENTIVE PLAN AND THE ISSUE OF SECURITIES UNDER THE PLAN</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recommendation of the Compensation Committee, the Company’s Board of Directors unanimously approved the first amendment (“Amendment”) to the AVITA Medical, Inc. 2020 Omnibus Incentive Plan (the “Plan”) (a copy of which Amendment is contained in Annexure A to this Proxy Statement) subject to approval by stockholders at this Annual Meeting. If approved by stockholders, the Amendment will add 2,500,000 shares of Common Stock available for issuance under the Plan for a total of 4,250,000 shares of Common Stock. The Company’s Board of Directors believes the Amendment is necessary in order to ensure the Company has an adequate number of shares of Common Stock available to grant equity-based compensation to its employees and non-executive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was originally adopted and approved by stockholders on November 9, 2020 at the Company’s 2020 annual general meeting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AGM”). The issue of equity securities under the Plan for a period of three years was also approved by stockholders on November 9, 2020 at the 2020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AGM for the purposes of ASX Listing Rule 7.2, Exception 13(b) (which is further detailed below).</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Plan allows the Company to grant equity-based compensation to advance the interests and long-term success of the Company and its stockholders by encouraging stock ownership among employees, consultants, and non-employee directors. The Plan permits the Company to reward the efforts of its employees and to attract new personnel by providing incentives in the form of stock-based awards, including restricted stock awards, performance shares, and options to purchase shares of Common Stock.</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seeking the approval of stockholders to the Amendment in order to increase the number of shares of Common Stock available for issuance under the Plan from 1,750,000 to 4,250,000, pursuant to the various awards that may be made under the Plan. In addition, given the three-year period to issue equity securities under the Plan without having to include such issues in the calculation of the Company’s 15% placement capacity under the ASX Listing Rules (as approved at the 2020 AGM for the purposes of ASX Listing Rule 7.2, Exception 13(b)) will expire on November 9, 2023, the Company is seeking the approval of stockholders pursuant to ASX Listing Rule 7.2, Exception 13(b) in relation to the issue of equity securities under the Plan for a further three years commencing on the date that this Proposal No. 12 is approved.</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ASX Listing Rule 7.1 provides that a company must not, subject to specified exceptions, issue or agree to issue more equity securities during any 12 month period than that amount which represents 15% of the number of fully paid ordinary securities on issue at the commencement of that 12 month period without stockholder approval. ASX Listing Rule 7.2 sets out a number of exceptions to ASX Listing Rule 7.1. Relevantly, Exception 13(b) in ASX Listing Rule 7.2 provides an exception to ASX Listing Rule 7.1, being an issue of equity securities under an employee incentive scheme if, within three years before the date of issue, the stockholders of the Company approved the issue of equity securities under the scheme. Accordingly, if this Proposal No. 12 is approved by stockholders for the purposes of ASX Listing Rule 7.2, Exception 13(b), it will have the effect of enabling the equity securities issued under the Plan during the period of three years following the date that this Proposal No. 12 is approved to be automatically excluded from the formula used to calculate the number of securities which the Company may issue in any 12 month period under ASX Listing Rule 7.1 (15% placement capacity) without stockholder approval.</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Proposal No. 12 is approved by stockholders, the Amendment will be effective as of the date of the Annual Meeting and will increase the number of shares of Common Stock available for issuance under the Plan from 1,750,000 to 4,250,000 and the Company may issue up to an additional 2,500,000 shares of Common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Stock pursuant to the various awards that may be made under the Plan (in total under the Plan) during the three year period following such approval in reliance on ASX Listing Rule 7.2, Exception 13(b). If this Proposal No. 12 is not approved by stockholders, the Amendment will not be effective and therefore the maximum number of shares of Common Stock available for issuance under the Plan will remain at 1,750,000 (with 226,750 shares of Common Stock remaining available for issuance as of March 22, 2023). In addition, any equity securities issued by the Company under the Plan after November 9, 2023 will need to be counted towards the Company’s 15% placement capacity for the purposes of ASX Listing Rule 7.1. Given that the Company obtained stockholder approval for the issuance of equity securities under the Plan for the purposes of ASX Listing Rule 7.2 Exception 13(b) on November 9, 2020 at the 2020 AGM, the Company may continue to issue equity securities under the Plan up to November 9, 2023 in reliance on ASX Listing Rule 7.2 Exception 13(b).</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success depends in part on its ability to retain high quality employees, consultants and directors. Providing equity-based compensation is critical to this success. The Company would be disadvantaged if it could not use equity-based compensation as a retention tool. Equity-based compensation is also critical because it links compensation with stockholder value creation.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of March 22, 2023, the closing market price of the Company’s common stock was $13.26 per share, as reported by the NASDAQ Stock Market LLC, and the Company had 226,750 shares of Common Stock that remained available for issuance pursuant to awards that may be granted under the Plan. The Amendment will allow the Company to continue to grant equity and equity-based compensation awards to its employees and directors by increasing the number of shares of the Company’s outstanding common stock available under the Plan by an additional 2,500,000 shares of Common Stock. If the Amendment is not approved, it is anticipated that the Company will continue to grant awards under the Plan until the Plan’s share reserve is exhausted, at which point in time the Company may have to significantly increase cash-based compensation in lieu of equity-based compensation.</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the Amendment is not approved, the Company will not have any common stock remaining available under the Plan for use in attracting and keeping employees and directors. As a result, the Company may have to increase cash-based compensation, which may not necessarily link compensation with stockholder value creation, or may have to use cash, which would be better utilized if reinvested in the Company’s business.</w:t>
      </w:r>
    </w:p>
    <w:p>
      <w:pPr>
        <w:spacing w:after="0" w:line="176"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If the Amendment is approved, the potential dilution from outstanding awards and shares of Common Stock (including those represented by CDIs) available for future awards under the Plan would be approximately 14%. This percentage is calculated on a fully diluted basis by dividing the total shares underlying outstanding equity awards as of March 22, 2023 plus the shares of Common Stock (including those represented by CDIs) available for future awards under the Plan (together, the numerator) by the total shares of Common Stock outstanding as of March 22, 2023 plus the number of shares in the numerator. The Company’s two-year average burn rate of shares of Common Stock (including those represented by CDIs) for issue under the Plan as of March 22, 2023 was 3.16%. This percentage is calculated by dividing the total shares of Common Stock (including those represented by CDIs) underlying equity awards granted in a year by the weighted average shares outstanding during the year.</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number of proposed shares of Common Stock to be utilized under the Plan, the Company evaluated a number of factors, including the Company’s historical and recent share usage and criteria expected to be utilized by institutional proxy advisory firms in evaluating the Company’s proposal.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recommends that stockholders vote in favor of this Proposal No. 12 so that the Amendment to the Plan can be implemented to increase the share reserve. The Company expects that if stockholders approve this Proposal No. 12 (and therefore approve the Amendment), the additional shares of Common Stock, along with any shares that would become available again in connection with expired, cancelled, terminated or forfeited awards, will be sufficient to allow us to make equity awards in the amounts it believes are necessary to attract, motivate, retain and reward talented and experienced individuals for the next three years. This timeline is an estimate, and the Company’s expected equity grant practices are subject to change in the future. The Company’s equity grant practices could be affected by, among other things, the future price of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Common Stock, the number of employees or other service providers employed or providing services to the Company, including potential new hires, the equity award grant practices and amounts of the Company’s peer companies and other competitors, and general industry or market practices.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further recommends that stockholders vote in favor of this Proposal No. 12 so that the issue of equity securities under and subject to the terms of the Plan can be made in reliance on ASX Listing Rule 7.2, Exception 13(b), such that the issue of equity securities under the Plan will not reduce the Company’s 15% placement capacity under ASX Listing Rule 7.1 for the next three years.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 7.2</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approval of this Proposal No. 12 is obtained, the approval in relation to ASX Listing Rule 7.2, Exception 13(b) has a three year life span. Accordingly, it is the current intention of the Company to seek to refresh the approval for the purposes of ASX Listing Rule 7.2, Exception 13(b) in three years’ time so that the issue of securities under the Plan will not reduce the Company’s 15% placement capacity for a further three years.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 7.2, Exception 13(b), the Company confirm the following information:</w:t>
      </w:r>
    </w:p>
    <w:p>
      <w:pPr>
        <w:spacing w:after="0" w:line="131" w:lineRule="exact"/>
        <w:rPr>
          <w:sz w:val="20"/>
          <w:szCs w:val="20"/>
          <w:color w:val="auto"/>
        </w:rPr>
      </w:pPr>
    </w:p>
    <w:p>
      <w:pPr>
        <w:ind w:left="1080" w:right="3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material terms of the Plan (on the assumption that the Amendment is approved under this Proposal No. 12) is set out below;</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equity securities issued under the Plan since it was last approved by stockholders at the Company’s 2020 annual general meeting held on November 9, 2020 is 1,523,250 shares of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equity securities proposed to be issued under the Plan following the approval of this Proposal No. 12 is 2,726,750 shares of Common Stock pursuant to the various awards that may be made under the Plan (subject to any capitalization adjustment (as described below) and any other applicable provisions in the Plan);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exclusion statement in relation to Proposal No. 12 is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Terms of the Plan</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Plan is only a summary of its material terms, as amended to reflect the Amendment, and is qualified by reference to the full text of (i) the Plan, a copy of which is incorporated by reference to Exhibit 4.1 of the Company’s Registration Statement on Form S-8 filed on November 24, 2020 (File No. 333-250924), and (ii) the First Amendment, which is included with the Proxy Statement as Annexure A.</w:t>
      </w:r>
    </w:p>
    <w:p>
      <w:pPr>
        <w:spacing w:after="0" w:line="17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Purpose; Types of Awards. </w:t>
      </w:r>
      <w:r>
        <w:rPr>
          <w:rFonts w:ascii="Times New Roman" w:cs="Times New Roman" w:eastAsia="Times New Roman" w:hAnsi="Times New Roman"/>
          <w:sz w:val="18"/>
          <w:szCs w:val="18"/>
          <w:color w:val="auto"/>
        </w:rPr>
        <w:t>The purpose of the Plan is to attract and retain the best available personnel for the Company and its affiliates,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additional incentives to such personnel and to promote the success of the business of the Company and its affiliates. To accomplish this purpose, the Plan permits the granting of awards in the form of (a) incentive stock options, (b) non-statutory stock options, (c) stock appreciation rights, (d) restricted stock awards, (e) restricted stock unit awards, (f) performance awards, and (g) certain other awards (as described below).</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Plan is administered by the Compensation Committee of the Board of Directors, or those persons to whom administration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or part of the Plan, has been delegated, or by the Board of Directors (such administrator, the “Committee”). Subject to the general purposes, terms and conditions of the Plan, any charter adopted by the Board of Directors governing the actions of the Committee and applicable laws (including the ASX Listing Rules), the Committee has the full power to implement and carry out the Plan. The Committee has the power to determine the terms of the awards granted under the Plan, including the exercise price, the number of shares subject to each award, and the exercisability of the awards. The Committee also has the power to determine the persons to whom and the time or times at which awards will be made and to make all</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other determinations and take all other actions advisable for the administration of the Plan. The Committee may appoint a plan administrator (the “plan administrator”), who will have the authority to administer the day-to-day operations of the Plan and to make certain ministerial decisions without Committee approval as provided in the Plan or pursuant to resolutions adopted by the Committee. The plan administrator may not grant awards.</w:t>
      </w:r>
    </w:p>
    <w:p>
      <w:pPr>
        <w:spacing w:after="0" w:line="15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Participation in the Plan is open to employees of the Company or any parent or subsidiary of the Company, non-employee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or non-employee members of the board of directors of any parent or subsidiary of the Company, and consultants and other independent advisors who provide services to the Company (or any parent or subsidiary of the Company). Awards of incentive stock options, however, shall be limited to employees of the Company, its parent, and any subsidiary of the Company. All other awards may be awarded to employees, consultants and directors, provided such consultants and directors render bona fide services not in connection with the offer and sale of securities in a capital-raising transaction. As of March 23, 2023, approximately 140 employees, 7 non-employee members of the Company’s Board of Directors, and other personal service providers of the Company and its subsidiaries were eligible to participate in the Plan. The basis for such participation is that such participation would align their interests with those of the Company’s stockholders.</w:t>
      </w:r>
    </w:p>
    <w:p>
      <w:pPr>
        <w:spacing w:after="0" w:line="18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Subject to the Plan. </w:t>
      </w:r>
      <w:r>
        <w:rPr>
          <w:rFonts w:ascii="Times New Roman" w:cs="Times New Roman" w:eastAsia="Times New Roman" w:hAnsi="Times New Roman"/>
          <w:sz w:val="18"/>
          <w:szCs w:val="18"/>
          <w:color w:val="auto"/>
        </w:rPr>
        <w:t>A total of 4,250,000 shares of Common Stock (upon approval of the Amendment) are reserved for issuance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maximum number of shares of Common Stock (assuming approval of the Amendment) that may be issued pursuant to options intended to be incentive stock options is 4,250,000 shares of Common Stock. The Plan limits non-employee director compensation if issued under the Plan, including cash fees and incentive equity awards (based on their award date fair value), to a maximum of $150,000 in total value during any one fiscal year to any non-employee director for service on the Board of Directors, taken together with any cash fees paid by the Company to such non-employee director during such fiscal year for service on the Board of Directors.</w:t>
      </w:r>
    </w:p>
    <w:p>
      <w:pPr>
        <w:spacing w:after="0" w:line="18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Recycling. </w:t>
      </w:r>
      <w:r>
        <w:rPr>
          <w:rFonts w:ascii="Times New Roman" w:cs="Times New Roman" w:eastAsia="Times New Roman" w:hAnsi="Times New Roman"/>
          <w:sz w:val="18"/>
          <w:szCs w:val="18"/>
          <w:color w:val="auto"/>
        </w:rPr>
        <w:t>Shares subject to an outstanding grant are returned to the share reserve and are available for issuance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grants under the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w:t>
      </w:r>
    </w:p>
    <w:p>
      <w:pPr>
        <w:spacing w:after="0" w:line="183"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types of awards that may be granted under the Plan, subject to the conditions, limitations, restrictions, vesting and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determined by the Committee, subject to certain limitations provided in the Plan, are described below.</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An incentive stock option is a stock option that entitles the recipient to purchase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fixed exercise price and further meets the requirements of Section 422 of the Code. The recipient’s purchase of shares under an incentive stock option may be conditioned on vesting in accordance with terms and conditions established by the Committee and set forth in an applicable award agreement. Incentive stock options may be granted only to employees of the Company, its parent and any subsidiary of the Company. The exercise price per share of an incentive stock option must not be less than 100% of the fair market value of a share of the Company’s Common Stock on the date of grant. However, an incentive stock option may be awarded with an exercise price lower than 100% of the fair market value in connection with substitute awards. Additionally no incentive stock option will be exercisable after the expiration of ten (10) years from the date the option or stock appreciation right is awarded, or such shorter period specified in the award agreement. No incentive stock option may be granted to any person who, at the time of the grant, owns or is deemed to own stock possessing more than 10% of the Company’s total combined voting power or that of any of the Company’s affiliates unless (i) the option exercise price is at least 110% of the fair market value of the stock subject to the option on the date of grant and (ii) the term of the incentive stock option does not exceed five years from the date of grant.</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stock appreciation right (“SAR”) entitles the holder to receive an amount equal to the difference between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share of the Company’s Common Stock on the exercise date and the exercise price of the SAR. The exercise price of a SAR will be such price as is determined by the Committee, provided that, if the exercise price is less than one hundred percent (100%) of the fair market value on the date of award, it will otherwise comply with all applicable laws, including Section 409A of the Code. However, a stock appreciation right with an exercise price lower than 100% of the fair market value may be awarded in connection with substitute awards.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an award of shares of Common Stock that vest in accordance with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by the Committee and set forth in the applicable award agreement. The purchase price for shares of Common Stock issued pursuant to a restricted stock award, if any, will be determined by the Committee on the date the restricted stock award is awarded and, if permitted by applicable law, no cash consideration will be required in connection with the payment for the purchase price where the Committee provides that payment will be in the form of services previously rendered. Grantees holding restricted stock awards will be entitled to receive all dividends and other distributions paid with respect to such shares, unless the Committee provides otherwise at the time the award is awarded. Any such dividends or distributions will be subject to the same restrictions on transferability and forfeitability as the restricted stock awards with respect to which they were paid.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restricted stock unit is a right to receive shares of Common Stock (or their cash equivalent) at a specified date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subject to forfeiture of such right. If the restricted stock unit has not been forfeited, then on the date specified in the restricted stock unit grant, the Company must deliver to the holder of the restricted stock unit unrestricted shares of Common Stock (or their cash equivalent). Each restricted stock unit award will be in such form and will contain such terms and conditions, as the Committee deems appropriate. Unless otherwise determined by the Committee, no purchase price will apply to a restricted stock unit settled in shares. The Committee, in its sole discretion, may settle vested restricted stock units in cash, shares, or a combination of both. The Committee may permit grantees holding restricted stock units to receive dividend equivalent rights on outstanding restricted stock units if, and when, dividends are paid to stockholders on shares of Common Stock. Any such dividend equivalent rights will be subject to the same vesting or performance requirements as the restricted stock units. If the Committee permits dividend equivalent rights to be made on restricted stock units, the terms and conditions for such dividend equivalent rights will be set forth in the applicable award agreement.</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 vesting of performance awards are conditioned on satisfaction of the attainment during a performance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Such performance-based awards may include performance-based options, stock appreciation rights, restricted stock, restricted stock units or other awards, including cash-based awards. If the Committee determines the vesting of an award granted to a participant will be subject to the attainment of one or more performance goals prior to the award of any performance award, the Committee will determine and each award agreement will set forth the terms of each performance award. The Committee will determine the extent to which a performance award has been earned in its sole discretion, including the manner of calculating the performance criteria and the measure of whether and to what degree such performance goals have been attained subject to compliance with, and to the extent permitted by, applicable law. The Committee may, subject to compliance with applicable law, reduce or waive any criteria with respect to a performance goal, or adjust a performance goal (or method of calculating the attainment of a performance goal) to take into account unanticipated events, including changes in law and accounting or tax rules, as it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award agreement and under applicable law.</w:t>
      </w:r>
    </w:p>
    <w:p>
      <w:pPr>
        <w:spacing w:after="0" w:line="190"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Company may grant or sell to any participant unrestricted common stock, dividend equivalent rights and/or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denominated in or valued by reference to the Company’s common stock under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Plan. However, dividend equivalent rights will not be awarded in connection with an option or stock appreciation right. A dividend equivalent is a right to receive payments, based on dividends with respect to shares of the Company’s Common Stock.</w:t>
      </w:r>
    </w:p>
    <w:p>
      <w:pPr>
        <w:spacing w:after="0" w:line="160"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Cash-Based Awards</w:t>
      </w:r>
      <w:r>
        <w:rPr>
          <w:rFonts w:ascii="Times New Roman" w:cs="Times New Roman" w:eastAsia="Times New Roman" w:hAnsi="Times New Roman"/>
          <w:sz w:val="18"/>
          <w:szCs w:val="18"/>
          <w:color w:val="auto"/>
        </w:rPr>
        <w:t>. The Company may grant cash awards under the Plan, including cash awards based upon the attainment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goals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Awards. </w:t>
      </w:r>
      <w:r>
        <w:rPr>
          <w:rFonts w:ascii="Times New Roman" w:cs="Times New Roman" w:eastAsia="Times New Roman" w:hAnsi="Times New Roman"/>
          <w:sz w:val="18"/>
          <w:szCs w:val="18"/>
          <w:color w:val="auto"/>
        </w:rPr>
        <w:t>Except as expressly provided in the Plan or an applicable award agreement, or otherwise determined by the Committee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awards awarded under the Plan will not be transferable or assignable by the grantee, other than by will or by the laws of descent and distribution.</w:t>
      </w:r>
    </w:p>
    <w:p>
      <w:pPr>
        <w:spacing w:after="0" w:line="173"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Stockholder Rights. </w:t>
      </w:r>
      <w:r>
        <w:rPr>
          <w:rFonts w:ascii="Times New Roman" w:cs="Times New Roman" w:eastAsia="Times New Roman" w:hAnsi="Times New Roman"/>
          <w:sz w:val="17"/>
          <w:szCs w:val="17"/>
          <w:color w:val="auto"/>
        </w:rPr>
        <w:t>No grantee will have any of the rights of a stockholder with respect to any shares of Common Stock until the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are issued to the grantee, except for any dividend equivalent rights permitted by an applicable award agreement. After shares of Common Stock are issued to the grantee, the grantee will be a stockholder and have all the rights of a stockholder with respect to such shares of Common Stock, including the right to vote and receive all dividends or other distributions made or paid with respect to such shares of Common Stock, subject to any repurchase or forfeiture provisions in any restricted stock award, the terms of the Company’s Trading Policy, and applicable law.</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Exchange and Buyout of Awards; Repricings. </w:t>
      </w:r>
      <w:r>
        <w:rPr>
          <w:rFonts w:ascii="Times New Roman" w:cs="Times New Roman" w:eastAsia="Times New Roman" w:hAnsi="Times New Roman"/>
          <w:sz w:val="18"/>
          <w:szCs w:val="18"/>
          <w:color w:val="auto"/>
        </w:rPr>
        <w:t>Subject to the next sentence and the ASX Listing Rules (as applicable), the Committee may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exchange program, which means a program pursuant to which outstanding awards are surrendered, cancelled or exchanged for cash, the same type of award or a different award (or combination thereof) or the exercise price of an outstanding award is increased or reduced. Notwithstanding the foregoing or any other provision of the Plan or otherwise, except pursuant to the provisions relating to capitalization adjustments and substitute awards, in no event will the Committee take any of the following actions without stockholder approval and then only to the extent permitted by applicable law: lowering or reducing the exercise price of an outstanding option and/or outstanding stock appreciation right, cancelling, exchanging or surrendering any outstanding option and/or outstanding stock appreciation right in exchange for cash or another award for the purpose of lowering or reducing the exercise price of the outstanding option and/or outstanding stock appreciation right; cancelling, exchanging or surrendering any outstanding option and/or outstanding stock appreciation right in exchange for an option or stock appreciation right with an exercise price that is less than the exercise price of the original option or stock appreciation right; and any other action that is treated as a repricing under U.S. generally accepted accounting principles. The foregoing stockholder approval requirement may not be amended without stockholder approval.</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awarded under the Plan will be subject to clawback or recoupment under any clawback or recoupment policy adopted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or the Committee or required by applicable law during the term of the grantee’s employment or other service with the Company that is applicable to officers, employees, directors or other service providers of the Company. In addition, the Committee may, subject to compliance with applicable law, impose such other clawback, recovery or recoupment provisions in an award agreement as the Committee determines necessary or appropriate.</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For the purposes of the Plan, “fair market value” means, as of any date, the per share value of the shares determined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follows: if the shares are publicly traded and listed on a national securities exchange in the United States, the closing price on the date of determination on the principal national securities exchange on which the shares are listed or admitted to trading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plan administrator deems reliable, unless another method is approved by the Committee and subject to compliance with applicable law; or if the shares of Common Stock are publicly traded only on the official list of the ASX in the form of CHESS Depositary Interests (“CDIs”), the closing price of a CDI as reported on the ASX on such date, adjusted as necessary to reflect the CDI / per share of Common Stock ratio, or if the CDIs are not traded on the ASX on such date, then on the next preceding day that the CDIs are traded on the ASX, as reported on the ASX on such date, unless another method is approved by the Committee and subject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compliance with applicable law; or if the shares are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 or if none of the foregoing is applicable, by the Board of Directors or the Committee in good faith (and in accordance with Section 409A of the Code, as applicable).</w:t>
      </w:r>
    </w:p>
    <w:p>
      <w:pPr>
        <w:spacing w:after="0" w:line="178"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Deferrals. </w:t>
      </w:r>
      <w:r>
        <w:rPr>
          <w:rFonts w:ascii="Times New Roman" w:cs="Times New Roman" w:eastAsia="Times New Roman" w:hAnsi="Times New Roman"/>
          <w:sz w:val="18"/>
          <w:szCs w:val="18"/>
          <w:color w:val="auto"/>
        </w:rPr>
        <w:t>To the extent permitted by applicable law, the Committee, in its sole discretion, may determine that the delivery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the payment of cash, upon the exercise, vesting or settlement of all or a portion of any award may be deferred and may establish programs and procedures for deferral elections to be made by grantees. Deferrals by grantees will be made in accordance with Section 409A of the Code, if applicable, and any other applicable law.</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any Change in Control (as defined in the Plan), outstanding awards acquired under the Plan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evidencing the Change in Control, which need not treat all outstanding awards in an identical manner. Such agreement, without the grantee’s consent, will provide for one or more of the following with respect to all outstanding awards as of the effective date of such Change in Control: the continuation of an outstanding award by the Company (if the Company is the successor entity); the assumption of an outstanding award by the successor or acquiring entity (if any) of such Change in Control (or by its parents, if any), which assumption, will be binding on all selected grantees; the substitution by the successor or acquiring entity in such Change in Control (or by its parents, if any) of equivalent awards with substantially the same terms for such outstanding awards;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the settlement of such outstanding award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awards; or the cancellation of outstanding awards in exchange for no consideration. The Board of Directors will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Change in Control, the Committee will notify the grantee in writing or electronically that such award will be exercisable (to the extent vested and exercisable pursuant to its terms) for a period of time determined by the Committee in its sole discretion, and such award will terminate upon the expiration of such period.</w:t>
      </w:r>
    </w:p>
    <w:p>
      <w:pPr>
        <w:spacing w:after="0" w:line="19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Plan, as amended, will become effective, on the date it is approved by the stockholders. The Plan was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November 9, 2020. The Committee may amend the Plan or any award in any respect the Committee deems necessary or advisable, subject to the limitations of applicable law and the following restrictions. If required by applicable law, the Company will seek stockholder approval of any amendment of the Plan. The Plan will terminate automatically on November 9, 2030. The Committee may suspend or terminate the Plan at any earlier date at any time. No awards may be awarded under the Plan while the Plan is suspended or after it is terminated. Subject to certain exceptions set forth in the Plan, no amendment, suspension or termination of the Plan or any award may materially impair a grantee’s rights under any outstanding award, except with the written consent of the affected grantee or as otherwise expressly permitted in the Plan.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No awards have been granted and no shares of Common Stock have been issued on the basis of the proposed share increase.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noted below, all awards made under the amended Plan will be made at the Committee’s discretion, subject to the terms of the amended Plan.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the benefits and amounts that will be received or allocated under the amended Plan generally are not determinable at this time.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Plan Benefits</w:t>
      </w:r>
      <w:r>
        <w:rPr>
          <w:rFonts w:ascii="Times New Roman" w:cs="Times New Roman" w:eastAsia="Times New Roman" w:hAnsi="Times New Roman"/>
          <w:sz w:val="18"/>
          <w:szCs w:val="18"/>
          <w:color w:val="auto"/>
        </w:rPr>
        <w:t>. The following table sets forth the number of shares of common stock underlying outstanding awards issued to the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under the Plan as of March 28, 2023.</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4260" w:type="dxa"/>
            <w:vAlign w:val="bottom"/>
            <w:vMerge w:val="restart"/>
          </w:tcPr>
          <w:p>
            <w:pPr>
              <w:spacing w:after="0"/>
              <w:rPr>
                <w:sz w:val="13"/>
                <w:szCs w:val="13"/>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 value ($)</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960" w:type="dxa"/>
            <w:vAlign w:val="bottom"/>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Pr>
          <w:p>
            <w:pPr>
              <w:spacing w:after="0"/>
              <w:rPr>
                <w:sz w:val="15"/>
                <w:szCs w:val="15"/>
                <w:color w:val="auto"/>
              </w:rPr>
            </w:pPr>
          </w:p>
        </w:tc>
        <w:tc>
          <w:tcPr>
            <w:tcW w:w="1020" w:type="dxa"/>
            <w:vAlign w:val="bottom"/>
          </w:tcPr>
          <w:p>
            <w:pPr>
              <w:jc w:val="right"/>
              <w:ind w:right="334"/>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Group:</w:t>
            </w:r>
          </w:p>
        </w:tc>
        <w:tc>
          <w:tcPr>
            <w:tcW w:w="9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Ekins, Interim Chief Financial Officer</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Erin Liberto, Chief Commercial Officer</w:t>
            </w:r>
          </w:p>
        </w:tc>
        <w:tc>
          <w:tcPr>
            <w:tcW w:w="1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Quick, Chief Technology Officer</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Donna Shiroma, General Counsel</w:t>
            </w:r>
          </w:p>
        </w:tc>
        <w:tc>
          <w:tcPr>
            <w:tcW w:w="1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Units of Executive Group</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Non-Executive Director Group:</w:t>
            </w:r>
          </w:p>
        </w:tc>
        <w:tc>
          <w:tcPr>
            <w:tcW w:w="1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54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Units of all employees in Non-Executive Director</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Group:</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291,125</w:t>
            </w:r>
          </w:p>
        </w:tc>
        <w:tc>
          <w:tcPr>
            <w:tcW w:w="0" w:type="dxa"/>
            <w:vAlign w:val="bottom"/>
          </w:tcPr>
          <w:p>
            <w:pPr>
              <w:spacing w:after="0"/>
              <w:rPr>
                <w:sz w:val="1"/>
                <w:szCs w:val="1"/>
                <w:color w:val="auto"/>
              </w:rPr>
            </w:pPr>
          </w:p>
        </w:tc>
      </w:tr>
      <w:tr>
        <w:trPr>
          <w:trHeight w:val="194"/>
        </w:trPr>
        <w:tc>
          <w:tcPr>
            <w:tcW w:w="54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Grand Total Units of Executive Group and Non-Executive</w:t>
            </w: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 Group</w:t>
            </w: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501,125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number of options to be granted to each individual subject to shareholder approval.</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not determined as the shares have not been granted and have not been subjected to a Black-Scholes valuation model.</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Plan based on US federal income tax laws in effect. This summary, which is presented for the information of stockholders considering how to vote on this Proposal and not for Plan participants,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either an incentive stock option or a non-statutory stock option. In general, when a non-statutory stock option is exercised, the participant will recognize ordinary income equal to the excess of the fair market value of the shares for which the option is exercised on the date of exercise over the aggregate exercise price. 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a year after the exercise of the option, or otherwise a short-term capital gain (or loss).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when an incentive stock option is exercised, the option holder does not recognize income. If the participant holds the shares acquired upon exercise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equals the exercise price.</w:t>
      </w:r>
    </w:p>
    <w:p>
      <w:pPr>
        <w:spacing w:after="0" w:line="180"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If a participant disposes of shares acquired by exercising an incentive stock option before satisfying the one and two-year holding periods described above (a “disqualifying disposition”), then: (a) if the proceeds received exceed the exercise price, the participant will (i) realize ordinary income equal to the excess, if any, of the lesser of the proceeds received or the fair market value of the shares on the date of exercise over the exercise price, and (ii) realize capital gain equal to the excess, if any, of the proceeds received over the fair market value of the shares on the date of exercise; or</w:t>
      </w:r>
    </w:p>
    <w:p>
      <w:pPr>
        <w:spacing w:after="0" w:line="3" w:lineRule="exact"/>
        <w:rPr>
          <w:sz w:val="20"/>
          <w:szCs w:val="20"/>
          <w:color w:val="auto"/>
        </w:rPr>
      </w:pPr>
    </w:p>
    <w:p>
      <w:pPr>
        <w:ind w:left="120" w:right="160" w:hanging="4"/>
        <w:spacing w:after="0" w:line="260" w:lineRule="auto"/>
        <w:tabs>
          <w:tab w:leader="none" w:pos="3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received are less than the exercise price of the incentive stock option, the participant will realize a capital loss equal to the excess of the exercise price over the proceeds received.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When a stock appreciation right is granted, there are no U.S. income tax consequences for the Company or the recipient. When a stock appreciation right is exercised, the participant normally will be required to include as taxable ordinary income in the year of exercise an amount equal to the amount of cash received and the fair market value of any unrestricted stock received on exercise.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 federal income tax consequences of a grant of restricted stock depend on whether the participant elects to be taxed at the time of grant (an “83(b) election,” named for Section 83(b) of the Code). If the participant does not make an 83(b) election, the participant will not realize taxable income at the time of grant. When the shares are no longer subject to forfeiture or restrictions on transfer for purposes of Section 83 of the Code, the participant will realize ordinary income equal to the fair market value of the restricted stock at that time over any consideration paid for those shares. If the participant timely makes an 83(b) election, the participant will realize ordinary income at the time of grant in an amount equal to the fair market value of the shares at that time over any consideration paid for those shares, determined without regard to any of the restrictions. If shares are forfeited before the restrictions lapse, the participant will not be entitled to a deduction or any other adjustment. If an 83(b) election has not been made, any dividends received with respect to restricted stock that is subject to forfeiture or restrictions on transfer for purposes of Section 83 of the Code generally will be treated as compensation that is taxable as ordinary income to the participant. Upon the sale of restricted stock, the participant will realize a capital gain or loss equal to the difference between the sale proceeds and the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stock units will not have U.S. tax consequences for us or the recipient at the time of grant. Income will be realized when the awards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vest and are paid in cash or shares. At that time, the participant will realize ordinary income equal to the fair market value of the shares or cash paid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participant. Upon the sale of shares received in settlement of restricted stock units, the participant will realize a capital gain or loss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difference between the sale proceeds and income previously realized with respect to the shares. The capital gain (or loss) will be a long-term capital gain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loss) if the participant held the shares for more than one year after realizing income attributable to the shares, or otherwise a short-term capital gain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loss).</w:t>
      </w:r>
    </w:p>
    <w:p>
      <w:pPr>
        <w:spacing w:after="0" w:line="20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Participants who receive awards of dividend equivalent rights will be required to recognize ordinary income in the amount distributed to the participant pursuant to the award.</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New Plan Benefits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future grant of awards, if any, that will be made to eligible individuals under the Plan are subject to the discretion of the plan administrator, and thus it is not possible as of the date of this Proxy Statement to determine the nature or amount of any awards under the Plan that may be subject to future grants to employees, officers and directors of the Company and its subsidiaries or affiliates who will be eligible to participate in the Plan. Therefore, the New Plan Benefits Table is not provided.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the Company’s CDIs are listed for trading on the ASX, no amendments can be made to the Plan or the terms of any grant made under it and no grant can be made under the Plan or any other action taken under the Plan unless such relevant action complies with the ASX Listing Rules (to the extent applicable).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with the SEC</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Amendment is approved by stockholders, the Company intends to file a Registration Statement on Form S-8 with the Securities and Exchange Commission with respect to relating to the issuance of shares under the Plan with respect to the shares of the Company’s Common Stock to be registered pursuant to the amended plan as soon as reasonably practicable following stockholder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the Company’s shares of Common Stock entitled to vote on the Proposal, with abstentions counting as votes against the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 Recommendation</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recommends that stockholders approve this Proposal No. 12 because appropriate equity incentives are important to attract and retain high quality service providers, to link compensation to Company performance, to encourage employee and director ownership in the Company, and to align the interests of participants to those of stockholders.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Board of Directors recommends that stockholders vote in favor of this Proposal No. 12 so that the issue of equity securities under and subject to the terms of the Plan can be made in reliance on ASX Listing Rule 7.2, Exception 13(b) and therefore the issue of equity securities under the Plan will not reduce the Company’s 15% placement capacity under ASX Listing Rule 7.1 during the three years following the approval of this Proposal No. 12.</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this Proposal No. 12 is approved by stockholders, the Amendment will be effective as of the date of the Annual Meeting and will increase the number of shares of Common Stock available for issuance under the Plan from 1,750,000 to 4,250,000 and the Company may issue an additional 2,500,000 shares of Common Stock (in total under the Plan) pursuant to the various awards that may be made under the Plan during the three year period following such approval in reliance on ASX Listing Rule 7.2, Exception 13(b).</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this Proposal No. 12 is not approved by stockholders, the Amendment will not be effective and therefore the maximum number of shares of Common Stock available for issuance under the Plan will remain at 1,750,000. In addition, any equity securities issued by the Company under the Plan after November 9, 2023 will need to be counted towards the Company’s 15% placement capacity for the purposes of ASX Listing Rule 7.1. Given that the Company obtained stockholder approval for the issuance of equity securities under the Plan for the purposes of ASX Listing Rule 7.2 Exception 13(b) on November 9, 2020 at the 2020 AGM, the Company may continue to issue equity securities under the Plan up to November 9, 2023 in reliance on ASX Listing Rule 7.2 Exception 13(b).</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this Proposal No. 12 by or on behalf of any person who is eligible to participate in the Plan or an associate of those persons.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this Proposal No. 12 by:</w:t>
      </w:r>
    </w:p>
    <w:p>
      <w:pPr>
        <w:spacing w:after="0" w:line="131" w:lineRule="exact"/>
        <w:rPr>
          <w:sz w:val="20"/>
          <w:szCs w:val="20"/>
          <w:color w:val="auto"/>
        </w:rPr>
      </w:pPr>
    </w:p>
    <w:p>
      <w:pPr>
        <w:ind w:left="1080" w:right="3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13</w:t>
      </w:r>
    </w:p>
    <w:p>
      <w:pPr>
        <w:spacing w:after="0" w:line="225" w:lineRule="exact"/>
        <w:rPr>
          <w:sz w:val="20"/>
          <w:szCs w:val="20"/>
          <w:color w:val="auto"/>
        </w:rPr>
      </w:pPr>
    </w:p>
    <w:p>
      <w:pPr>
        <w:jc w:val="center"/>
        <w:ind w:left="4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EMPLOYEE STOCK PURCHASE PLAN AND THE ISSUANCE OF SECURITIES UNDER THE EMPLOYEE STOCK PURCHASE PLAN</w:t>
      </w:r>
    </w:p>
    <w:p>
      <w:pPr>
        <w:spacing w:after="0" w:line="159"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Upon the recommendation of the Compensation Committee, on February 21, 2023, the Board of Directors unanimously approved the Avita Medical, Inc. Employee Stock Purchase Plan (the “ESPP”), subject to approval by stockholders at this Annual Meeting. If approved, the ESPP will provide employees of the Company and its participating subsidiaries the opportunity to acquire an ownership interest in the Company through the purchase of the Company’s Common Stock at a price below current market price. The ESPP is intended to be a qualified “employee stock purchase plan” under Section 423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seeking the approval of stockholders of the ESPP in order to provide employees of the Company and its participating subsidiaries with the opportunity to acquire a proprietary interest in the Company’s growth and performance, to generate an increased incentive to contribute to the Company’s future success and to enhance its ability to attract and retain qualified individuals.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is also seeking the approval of stockholders for the purposes of ASX Listing Rule 7.2, Exception 13(b) in relation to the issue of equity securities under the ESPP for a period of three years commencing on the date that this Proposal No. 13 is approved.</w:t>
      </w:r>
    </w:p>
    <w:p>
      <w:pPr>
        <w:spacing w:after="0" w:line="162"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ASX Listing Rule 7.1 provides that a company must not, subject to specified exceptions, issue or agree to issue more equity securities during any 12-month period than that amount which represents 15% of the number of fully paid ordinary securities on issue at the commencement of that 12 month period without stockholder approval. ASX Listing Rule 7.2 sets out a number of exceptions to ASX Listing Rule 7.1. Relevantly, Exception 13(b) in ASX Listing Rule 7.2 provides an exception to ASX Listing Rule 7.1, being an issue of equity securities under an employee incentive scheme if, within three years before the date of issue, the stockholders of the Company approved the issue of equity securities under the scheme. The ESPP will be treated as an “employee incentive scheme” for the purposes of the ASX Listing Rules. Accordingly, if this Proposal No. 13 is approved by stockholders for the purposes of ASX Listing Rule 7.2, Exception 13(b), it will have the effect of enabling the equity securities issued under the ESPP during the period of three years following the date that this Proposal No. 13 is approved to be automatically excluded from the formula used to calculate the number of securities which the Company may issue in any 12 month period under ASX Listing Rule 7.1 (15% placement capacity) without stockholder approval.</w:t>
      </w:r>
    </w:p>
    <w:p>
      <w:pPr>
        <w:spacing w:after="0" w:line="17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Proposal No. 13 is approved by stockholders, the ESPP will be effective as of the date of the Annual Meeting and the Company may issue up to a maximum of 1,000,000 shares of Common Stock under the ESPP, pursuant to options granted under the ESPP during the three-year period following such approval in reliance on ASX Listing Rule 7, Exception 13(b).</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this Proposal No. 13 is not approved by stockholders, the ESPP will not be implemented.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 7.2</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approval of this Proposal No. 13 is obtained, the approval in relation to ASX Listing Rule 7.2, Exception 13 has a three-year life span. Accordingly, if the ESPP is approved by stockholders pursuant to this Proposal No. 13, it is the current intention of the Company to seek to refresh the approval for the purposes of ASX Listing Rule 7.2, Exception 13(b) in three years’ time so that the issue of equity securities under the ESPP will not reduce the Company’s 15% placement capacity for a further three years.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 7.2, Exception 13(b), the Company confirms the following information:</w:t>
      </w:r>
    </w:p>
    <w:p>
      <w:pPr>
        <w:spacing w:after="0" w:line="131" w:lineRule="exact"/>
        <w:rPr>
          <w:sz w:val="20"/>
          <w:szCs w:val="20"/>
          <w:color w:val="auto"/>
        </w:rPr>
      </w:pPr>
    </w:p>
    <w:p>
      <w:pPr>
        <w:ind w:left="5540" w:right="5400" w:hanging="4884"/>
        <w:spacing w:after="0" w:line="454" w:lineRule="auto"/>
        <w:tabs>
          <w:tab w:leader="none" w:pos="10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material terms of the ESPP is set out below; 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ESPP is a new employee stock purchase plan to be adopted by the Company, there have been no securities issued under the ESPP since the Company was listed on the ASX;</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equity securities proposed to be issued under the ESPP following the approval of this Proposal No. 13 is 1,000,000 shares of Common Stock, pursuant to options granted under the ESPP (subject to any capitalization adjustment (as described below) and any other applicable provisions in the ESPP);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exclusion statement in relation to Proposal No. 13 is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Terms of the ESPP</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features of the ESPP. The following summary of the ESPP does not purport to be a complete description of all of the provisions of the ESPP. It is qualified in its entirety by reference to the complete text of the ESPP, which is attached to this Proxy Statement as Annexure B.</w:t>
      </w:r>
    </w:p>
    <w:p>
      <w:pPr>
        <w:spacing w:after="0" w:line="174"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The Compensation Committee of the Board of Directors (the “Committee”) has authority to administer, interpret and implement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terms of the ESPP. The Committee may delegate its powers under the ESPP to any person or persons as a third party administrator as necessary or appropriate to administer and operate the ESPP. References to the Committee herein will mean any appointed third party administrator as well. The Committee will have the discretion to set the terms of each offering in accordance with the provisions of the ESPP, to designate any subsidiaries of the Company to participate in the ESPP, to make all determinations regarding the ESPP, including eligibility, and otherwise administer the ESPP.</w:t>
      </w:r>
    </w:p>
    <w:p>
      <w:pPr>
        <w:spacing w:after="0" w:line="16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Number of Authorized Shares</w:t>
      </w:r>
      <w:r>
        <w:rPr>
          <w:rFonts w:ascii="Times New Roman" w:cs="Times New Roman" w:eastAsia="Times New Roman" w:hAnsi="Times New Roman"/>
          <w:sz w:val="18"/>
          <w:szCs w:val="18"/>
          <w:color w:val="auto"/>
        </w:rPr>
        <w:t>. A total of 1,000,000 shares of Common Stock have been reserved under the ESPP, for issue pursuant to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granted under the ESPP, subject to adjustment in the event of any significant change in the Company’s capitalization, such as a stock split, a combination or exchange or shares, or a stock dividend or other distribution. In this respect, where the ASX Listing Rules apply, any such adjustment must be made in accordance with the ASX Listing Rules.</w:t>
      </w:r>
    </w:p>
    <w:p>
      <w:pPr>
        <w:spacing w:after="0" w:line="180"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Eligibility and Participation</w:t>
      </w:r>
      <w:r>
        <w:rPr>
          <w:rFonts w:ascii="Times New Roman" w:cs="Times New Roman" w:eastAsia="Times New Roman" w:hAnsi="Times New Roman"/>
          <w:sz w:val="17"/>
          <w:szCs w:val="17"/>
          <w:color w:val="auto"/>
        </w:rPr>
        <w:t>. All of the employees, excluding part-time and temporary employees, generally are eligible to participate in the ESPP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otherwise determined by Committee as a current Australian employee). As of the date of filing of this Proxy Statement, approximately 140 employees (including 5 executive officers) would be eligible to participate in the ESPP. For purposes of the ESPP, part-time and temporary employees are those employees who are customarily employed by us or any participating subsidiary for less than thirty (30) hours per week or less than five</w:t>
      </w:r>
    </w:p>
    <w:p>
      <w:pPr>
        <w:spacing w:after="0" w:line="1" w:lineRule="exact"/>
        <w:rPr>
          <w:sz w:val="20"/>
          <w:szCs w:val="20"/>
          <w:color w:val="auto"/>
        </w:rPr>
      </w:pPr>
    </w:p>
    <w:p>
      <w:pPr>
        <w:ind w:left="380" w:hanging="264"/>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any calendar year. In addition, an employee may not be granted rights to purchase stock under the ESPP if such employee would:</w:t>
      </w:r>
    </w:p>
    <w:p>
      <w:pPr>
        <w:spacing w:after="0" w:line="11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any grant of purchase rights, own stock possessing five percent (5%) or more of the total combined voting power or value of all classes of capital stock;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rights to purchase stock under all of the employee stock purchase plans that would accrue at a rate that exceeds $25,000 worth of the Company’s stock for each calendar year.</w:t>
      </w:r>
    </w:p>
    <w:p>
      <w:pPr>
        <w:spacing w:after="0" w:line="160"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Offering Periods</w:t>
      </w:r>
      <w:r>
        <w:rPr>
          <w:rFonts w:ascii="Times New Roman" w:cs="Times New Roman" w:eastAsia="Times New Roman" w:hAnsi="Times New Roman"/>
          <w:sz w:val="17"/>
          <w:szCs w:val="17"/>
          <w:color w:val="auto"/>
        </w:rPr>
        <w:t>. The ESPP will be implemented by consecutive offering periods, each of which being six (6) months in duration, with a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offering period commencing on the first day of the relevant offering period and terminating on the last day of the relevant offering period. Unless otherwise determined by the Committee, offering periods will run from June 1st through November 30th and from December 1st through May 31st. The Committee may change the duration, frequency, start date, and end date of offering periods, provided that offering periods may not exceed 27 months.</w:t>
      </w:r>
    </w:p>
    <w:p>
      <w:pPr>
        <w:spacing w:after="0" w:line="164"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Except as otherwise provided by the Committee, up to a maximum of 15% of a participant’s eligible “compensation”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ESPP), may be contributed by payroll deductions toward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purchase of shares of Common Stock during each offering period. A participant may elect to increase or decrease the rate of such contributions during any subsequent enrollment period by following electronic or other procedures prescribed by the Committee. Any such new rate of contribution will become effective on the first day of the first offering period following the completion such form. A participant may not change his or her rate of contributions during an offering period. Payroll deductions are held by the Company and do not accrue interest.</w:t>
      </w:r>
    </w:p>
    <w:p>
      <w:pPr>
        <w:spacing w:after="0" w:line="17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Exercise of Purchase Rights</w:t>
      </w:r>
      <w:r>
        <w:rPr>
          <w:rFonts w:ascii="Times New Roman" w:cs="Times New Roman" w:eastAsia="Times New Roman" w:hAnsi="Times New Roman"/>
          <w:sz w:val="18"/>
          <w:szCs w:val="18"/>
          <w:color w:val="auto"/>
        </w:rPr>
        <w:t>. Amounts deducted and accumulated by the participant will be used to purchase whole shares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at the end of each offering period. No fractional shares of Common Stock may be purchased but amounts remaining in a participant’s account will be returned to the participant as soon as administratively practicable. The purchase price of the shares will be 85% (or such other percentage determined by the Committee that is not less than 85%) of the fair market value of the Company’s Common Stock on the first trading day of the offering period or on the last day of the offering period, whichever is lower. On the Record Date, the closing sales price of the Company’s Common Stock as reported on the NASDAQ Stock Market under the symbol RCEL was $15.72 per share. The maximum number of shares of Common Stock purchasable per participant during any single offering period may not exceed 2,000 shares of Common Stock (or such other limit as may be imposed by the Committee), subject to adjustment in the event of certain changes in the Company’s capitalization.</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Withdrawals</w:t>
      </w:r>
      <w:r>
        <w:rPr>
          <w:rFonts w:ascii="Times New Roman" w:cs="Times New Roman" w:eastAsia="Times New Roman" w:hAnsi="Times New Roman"/>
          <w:sz w:val="18"/>
          <w:szCs w:val="18"/>
          <w:color w:val="auto"/>
        </w:rPr>
        <w:t>. Under procedures established by the Committee, a participant may withdraw from the ESPP during an offering period at least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before the purchase date. If a participant withdraws from the ESPP during an offering period, his or her accumulated contributions will be refunded without interest. If a participant withdraws from an offering, no payroll deductions will be made for any subsequent offering period unless the participant re-enrolls.</w:t>
      </w:r>
    </w:p>
    <w:p>
      <w:pPr>
        <w:spacing w:after="0" w:line="180"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 Change in Employment Status</w:t>
      </w:r>
      <w:r>
        <w:rPr>
          <w:rFonts w:ascii="Times New Roman" w:cs="Times New Roman" w:eastAsia="Times New Roman" w:hAnsi="Times New Roman"/>
          <w:sz w:val="18"/>
          <w:szCs w:val="18"/>
          <w:color w:val="auto"/>
        </w:rPr>
        <w:t>. If a participant ceases to be an eligible employee at least 30 days prior to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contributions for the participant will be discontinued and any amounts credited to the participant’s account will be promptly refunded, without interest.</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Purchase rights granted under the ESPP are not transferable by a participant other than by will or by the laws of descent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are exercisable during the participant’s lifetime only by the participant.</w:t>
      </w:r>
    </w:p>
    <w:p>
      <w:pPr>
        <w:spacing w:after="0" w:line="15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Committee in its discretion may amend, suspend or terminate the ESPP at any time. Unless sooner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will terminate at the earlier of the time that all of the shares reserved under the ESPP have been issued under the terms of the ESPP or on the tenth (10th) anniversary of the effective date of the ESPP. The ESPP also includes provisions related to the impact on the ESPP in case of a dissolution of the Company or certain other corporate transactions. While the Company’s shares of Common Stock (or CDIs) are listed for trading on any stock exchange or market (including, without limitation, ASX and the Nasdaq Stock Market), the Company and the Committee must not make any amendments to the ESPP or any option granted to a participant under the ESPP or take any other action unless such action complies with the relevant rules of such stock exchanges.</w:t>
      </w:r>
    </w:p>
    <w:p>
      <w:pPr>
        <w:spacing w:after="0" w:line="183"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New Plan Benefits</w:t>
      </w:r>
      <w:r>
        <w:rPr>
          <w:rFonts w:ascii="Times New Roman" w:cs="Times New Roman" w:eastAsia="Times New Roman" w:hAnsi="Times New Roman"/>
          <w:sz w:val="18"/>
          <w:szCs w:val="18"/>
          <w:color w:val="auto"/>
        </w:rPr>
        <w:t>. As of the date of this Proxy Statement, no options to purchase shares of Common Stock have been granted under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received by participants under the ESPP, including our executive officers, are not currently determinable because participation in the ESPP is voluntary and the benefits are subject to the market price of the Common Stock at future dates.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US federal income tax consequences of certain transactions under the ESPP. The following summary is based upon an interpretation of present federal tax laws and regulations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may be inapplicable if such laws and regulations are changed. This summary is not intended to be exhaustive or constitute tax advice and does not describe state, local or foreign tax consequences, nor does it describe the consequences to any particular participant.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It is the intention of the Company that the ESPP qualify as an “employee stock purchase plan” under Code Section 423. The provisions of the ESPP, accordingly, will be construed in a manner consistent with the requirements of that Section of the Code. The Company believes that the following federal income consequences normally will apply with respect to the ESPP.</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payroll deductions withheld from a participant’s pay under the ESPP will be taxable income to the participant and must be included in the participant’s gross income for federal income tax purposes in the year in which such amounts otherwise would have been received.</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participant will not be required to recognize any income for federal income tax purposes either at the time the participant is granted an option (which will be on the first day of the offering period) or by virtue of the exercise of the option (which will take place on the last day of such offering period). The federal income tax consequences of a sale or disposition of shares acquired under the ESPP depend in part on the length of time the shares are held by a participant before such sale or disposition. If a participant disposes of shares purchased under the ESPP more than two years after the offering date, the participant will be required to report as ordinary compensation income for the taxable year of disposition or death an amount equal to the lesser of (a) the excess of the fair market value of the shares at the time of disposition over the applicable purchase price, or (b) 15 percent of the fair market value of the shares on the offering date. Any gain on the disposition in excess of the amount treated as ordinary compensation income generally will be capital gain. In the case of such a disposition, the company will not be entitled to any deduction from income.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participant disposes of shares purchased under the ESPP within two years after the offering date, the participant will be required to report the excess of the fair market value of the shares on the purchase date over the applicable purchase price as ordinary compensation income for the year of disposition. The amount of such ordinary income will be added to the participant’s basis in the shares, and any additional gain or resulting loss recognized on the disposition of shares after such basis adjustment will be a capital gain or loss. A capital gain or loss will be long-term if the participant holds the shares for more than one year after the purchase date. In the event of such a disposition, the company generally will be entitled to a deduction from income in the year of such disposition equal to the amount the employee is required to report as ordinary compensation income.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with the SEC</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the ESPP is approved by stockholders, the Company intends to file a Registration Statement on Form S-8 with the Securities and Exchange Commission with respect to relating to the issuance of shares under the ESPP.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the Company’s CDIs are listed for trading on the ASX, no amendments can be made to the ESPP or the terms of any grant/offer made under it and no grant/offer can be made under the ESPP or any other action taken under the ESPP unless such relevant action complies with the ASX Listing Rules (to the extent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the Company’s shares of Common Stock entitled to vote on the Proposal, with abstentions counting as votes against the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 Recommendation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recommends that stockholders approve the ESPP under this Proposal No. 13 so that the Company and its participating subsidiaries may provide employees with the opportunity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acquire a proprietary interest in the Company’s growth and performance, to generate an increased incentive to contribute to the Company’s future success and to enhance its ability to attract and retain qualified individuals.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Company’s Board of Directors recommends that stockholders vote in favor of this Proposal No. 13 so that the issue of equity securities under and subject to the terms of the ESPP can be made in reliance on ASX Listing Rule 7.2, Exception 13(b) and therefore the issue of equity securities under the ESPP will not reduce the Company’s 15% placement capacity under ASX Listing Rule 7.1 during the three years following the approval of this Proposal No. 13.</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Proposal No. 13 is approved by stockholders, the ESPP will be effective as of the date of the Annual Meeting and the Company may issue up to a maximum of 1,000,000 shares of Common Stock (pursuant to options granted) under the ESPP during the three-year period following such approval in reliance on ASX Listing Rule 7.2, Exception 13(b).</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this Proposal No. 13 is not approved by stockholders, the ESPP will not be implemented.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this Proposal No. 13 by or on behalf of any person who is eligible to participate in the ESPP or an associate of those persons.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this Proposal No. 13 by:</w:t>
      </w:r>
    </w:p>
    <w:p>
      <w:pPr>
        <w:spacing w:after="0" w:line="131" w:lineRule="exact"/>
        <w:rPr>
          <w:sz w:val="20"/>
          <w:szCs w:val="20"/>
          <w:color w:val="auto"/>
        </w:rPr>
      </w:pPr>
    </w:p>
    <w:p>
      <w:pPr>
        <w:ind w:left="1080" w:right="3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14</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SAY ON PAY</w:t>
      </w:r>
    </w:p>
    <w:p>
      <w:pPr>
        <w:spacing w:after="0" w:line="225" w:lineRule="exact"/>
        <w:rPr>
          <w:sz w:val="20"/>
          <w:szCs w:val="20"/>
          <w:color w:val="auto"/>
        </w:rPr>
      </w:pPr>
    </w:p>
    <w:p>
      <w:pPr>
        <w:jc w:val="center"/>
        <w:ind w:left="480" w:right="2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TO APPROVE THE COMPENSATION OF THE COMPANY’S NAMED EXECUTIVE OFFICERS AS DISCLOSED IN THIS PROXY STATEMENT UNDER “EXECUTIVE COMPENSATION”</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with the SEC and ASX on February 23, 2023 (United States)/February 24, 2023 (Australia) (“Form 10-K”) and provided in this Proxy Statement, the Company believe that its compensation program is designed to support the Company’s long-term business strategies and creation of stockholder value by emphasizing long-term alignment with stockholders and pay-for-performance. You are encouraged to read the Executive Compensation discussion contained herein for additional details on the Company’s executive compensation, including its philosophy and objectives and the 2022 compensation of its named executive officers. This non-binding advisory “say-on-pay” vote gives you as a stockholder the opportunity to endorse the Company’s executive compensation program through the following resolution:</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Executive Compensation discussion, compensation tables and narrative discussion contained in the Company’s Annual Report on Form 10-K and this Proxy Statement is hereby APPROVED.”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recommends a vote “FOR” the advisory approval of the compensation of the Company’s named executive officers as disclosed in the Company’s Annual Report on Form 10-K and herein under the heading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Non-binding, advisory approval of the advisory proposal on the compensation of our named executive officers as disclosed in the “Executive Compensation” discussion section in the Annual Report on the Form 10-K and in this Proxy Statement requires the affirmative vote of the holders of a majority in voting power of the shares of stock of the Company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w:t>
      </w:r>
    </w:p>
    <w:p>
      <w:pPr>
        <w:spacing w:after="0" w:line="179" w:lineRule="exact"/>
        <w:rPr>
          <w:sz w:val="20"/>
          <w:szCs w:val="20"/>
          <w:color w:val="auto"/>
        </w:rPr>
      </w:pPr>
    </w:p>
    <w:p>
      <w:pPr>
        <w:jc w:val="center"/>
        <w:ind w:left="860" w:right="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“FOR” the approval on an advisory basis of the compensation of the Company’s named executive officers. </w:t>
      </w: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Company’s annual report to stockholders concerning its operations during the year ended December 31, 2022, including audited financial statements, is available at the Company’s website at www.avitamedical.com and is also available at the SEC’s website at www.sec.gov. The annual report is not incorporated in the proxy statement and is not to be considered a part of the soliciting material.</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WRITTEN REQUEST, THE COMPANY WILL PROVIDE, WITHOUT CHARGE, A COPY OF THE COMPANY’S ANNUAL REPORT ON FORM 10-K FOR THE YEAR ENDED DECEMBER 31, 2022 TO EACH STOCKHOLDER OF RECORD, TO EACH HOLDER OF CDIS OR TO EACH STOCKHOLDER WHO OWNED THE COMPANY’S COMMON STOCK LISTED IN THE NAME OF A BANK OR BROKER, AS NOMINEE, AT THE CLOSE OF BUSINESS ON APRIL 18, 2023, AT 5:00 P.M. (PACIFIC DAYLIGHT TIME) (BEING APRIL 18, 2023, AT 10:00 A.M. AEST). ANY REQUEST BY A STOCKHOLDER OR CDI HOLDER FOR THE COMPANY’S ANNUAL REPORT ON FORM 10-K SHOULD BE SENT TO INVESTOR RELATIONS AT AVITA MEDICAL, INC., 28159 AVENUE STANFORD, SUITE 220, VALENCIA, CALIFORNIA 91355.</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2024</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7"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Stockholders’ proposals intended to be presented at next year’s Annual Meeting of Stockholders must be submitted in writing to the Company’s Secretary at AVITA Medical, Inc., 28159 Avenue Stanford, Suite 220, Valencia, California 91355 no later than December 18, 2023 for inclusion in the Company’s proxy statement and form of proxy for that meeting, in addition to satisfying the foregoing requirements under the Bylaws.</w:t>
      </w:r>
    </w:p>
    <w:p>
      <w:pPr>
        <w:spacing w:after="0" w:line="15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Notice of any director nomination or other proposal that you intend to present at the 2024 annual meeting of stockholders, but do not intend to have included in the proxy statement and form of proxy relating to the 2024 annual meeting of stockholders, must be delivered to the Company’s Secretary at 28159 Avenue Stanford, Suite 220, Valencia, California, 91355 no earlier than the close of business on February 3, 2024 and not later than the close of business on March 3, 2024. In addition, your notice must set forth the information required by the Bylaws with respect to each director nomination or other proposal that you intend to present at the 2024 annual meeting of stockholders.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in addition to satisfying the requirements under the Bylaws, stockholders who intend to solicit proxies in support of director nominees other than the company’s nominees must provide notice that sets forth the information required by Rule 14a-19 under the Exchange Act no later than April 3, 2024 In addition, all proposals will need to comply with Rule 14a-8 of the Exchange Act, which lists the requirements for the inclusion of stockholder proposals in Company-sponsored proxy materials.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proxy solicited by the Company for the 2024 Annual Meeting of Stockholders will confer discretionary authority on the Company’s proxies to vote on any proposal presented by a stockholder at that meeting for which the Company has not been provided with notice on or prior to December 18, 2023 (or a reasonable time before the Company begins to send its proxy materials).</w:t>
      </w:r>
    </w:p>
    <w:p>
      <w:pPr>
        <w:spacing w:after="0" w:line="176"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This section is subject to and qualified entirely by the requirements for stockholder proposals set forth in the Company’s Bylaws. A copy of the Company’s Bylaws is available upon written request to the Company’s Secretary at 28159 Avenue Stanford, Suite 220, Valencia, California, 91355.</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year ended December 31, 2022.</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Company files annual, quarterly, and special reports, proxy statements and other information with the SEC. Stockholders may read and copy any reports, statements, or other information that the Company files at the SEC’s public reference room in Washington, D.C. Please call the SEC at</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 xml:space="preserve">1-800-SEC-0330 for further information about the public reference room. The Company’s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Copies of announcements made by the Company to the ASX are available on ASX’s website (www.asx.com.au).</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14, 2023.</w:t>
      </w:r>
    </w:p>
    <w:p>
      <w:pPr>
        <w:spacing w:after="0" w:line="180"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STOCKHOLDERS AND CDI HOLDERS SHOULD NOT ASSUME THAT THE INFORMATION CONTAINED IN THIS PROXY STATEMENT IS ACCURATE AS OF ANY DATE OTHER THAN THAT DATE.</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ANNEXURE 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NO. 1 TO THE 2020 OMNIBUS INCENTIVE PLAN</w:t>
      </w:r>
    </w:p>
    <w:p>
      <w:pPr>
        <w:spacing w:after="0" w:line="22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This Amendment No. 1, dated March 15, 2023 (this “Amendment”), amends the 2020 Omnibus Incentive Plan (the “Plan”), of AVITA Medical, Inc. (formerly known as AVITA Therapeutics, Inc.), a Delaware corporation (the “Company”), subject to approval of the stockholders of the Company, as set forth below. Defined terms used herein, but not otherwise defined in this Amendment, shall have the meanings ascribed to them in the Plan.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Plan was previously approved by the stockholders of the Company and became effective on September 9, 2020;</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WHEREAS, 1,750,000 shares of Common Stock were reserved for issuance under the Plan, each of which could be granted as Incentive Stock Options, Nonstatutory Stock Options, Stock Appreciation Rights, Restricted Stock Grants, Restricted Stock Unit Grants, Performance Grants, and Other Grants (“Grants”);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15.2 of the Plan, the Committee may amend the Plan in any respect it deems necessary or advisable, if required by Applicable Law, including any securities law or requirement issued by the New York Stock Exchange, Nasdaq Stock Market and the Financial Industry Regulatory Authority; and</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it is advisable and in the best interest of the Company to amend the Plan to increase the number of shares of Common Stock authorized for issuance and the number of shares that may be issued as Grants, as described in this Amendment.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Plan is hereby amended as follows, subject to and effective upon approval by the stockholders of the Company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Meeting of Stockholders on June 6, 2023:</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first sentence of Section 2.1 of the Plan, “Number of Shares Available”, is hereby amended to read as follows:</w:t>
      </w:r>
    </w:p>
    <w:p>
      <w:pPr>
        <w:spacing w:after="0" w:line="248" w:lineRule="exact"/>
        <w:rPr>
          <w:sz w:val="20"/>
          <w:szCs w:val="20"/>
          <w:color w:val="auto"/>
        </w:rPr>
      </w:pPr>
    </w:p>
    <w:p>
      <w:pPr>
        <w:ind w:left="540" w:right="440" w:hanging="431"/>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Number of Shares Available. </w:t>
      </w:r>
      <w:r>
        <w:rPr>
          <w:rFonts w:ascii="Times New Roman" w:cs="Times New Roman" w:eastAsia="Times New Roman" w:hAnsi="Times New Roman"/>
          <w:sz w:val="18"/>
          <w:szCs w:val="18"/>
          <w:color w:val="auto"/>
        </w:rPr>
        <w:t>Subject to any Capitalization Adjustment and any other applicable provisions in the Plan,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and available for grant and issuance pursuant to this Plan will not exceed 2,500,000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parties has executed, or caused to be executed, this Amendment as of the date first written above.</w:t>
      </w: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w:t>
      </w:r>
    </w:p>
    <w:p>
      <w:pPr>
        <w:sectPr>
          <w:pgSz w:w="11900" w:h="16838" w:orient="portrait"/>
          <w:cols w:equalWidth="0" w:num="1">
            <w:col w:w="10380"/>
          </w:cols>
          <w:pgMar w:left="320" w:top="455" w:right="119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232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Jeremy Curnock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32232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Professor 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-120650</wp:posOffset>
            </wp:positionV>
            <wp:extent cx="3068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Stern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-127635</wp:posOffset>
            </wp:positionV>
            <wp:extent cx="3068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ectPr>
          <w:pgSz w:w="11900" w:h="16838" w:orient="portrait"/>
          <w:cols w:equalWidth="0" w:num="2">
            <w:col w:w="5680" w:space="720"/>
            <w:col w:w="3980"/>
          </w:cols>
          <w:pgMar w:left="320" w:top="455" w:right="1199" w:bottom="1440" w:gutter="0" w:footer="0" w:header="0"/>
          <w:type w:val="continuous"/>
        </w:sectPr>
      </w:pP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380"/>
          </w:cols>
          <w:pgMar w:left="320" w:top="455" w:right="11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ANNEXURE B</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30"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Avita Medical, Inc. Employee Stock Purchase Plan is to encourage and to enable Eligible Employees of the Company and its Participating Subsidiaries, through payroll deductions, to acquire proprietary interests in the Company through the purchase and ownership of shares of Common Stock. The Company intends that this Plan qualify as an “employee stock purchase plan” under Code Section 423 and this Plan shall be interpreted in a manner that is consistent with that intent. Notwithstanding the foregoing, the Company makes no undertaking to, nor representation that it shall, maintain the qualified status of the Plan.</w:t>
      </w:r>
    </w:p>
    <w:p>
      <w:pPr>
        <w:spacing w:after="0" w:line="32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 bookkeeping account established and maintained to record the amount of funds accumulated pursuant to the Plan with respect to a Participant for the purpose of purchasing Shares under the Plan.</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the Compensation Committee of the Board, or any other committee designated by the Board to administer the Plan from time to time. If no committee is designated by the Board to administer the Plan, the Board shall be the Administrator.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ASX</w:t>
      </w:r>
      <w:r>
        <w:rPr>
          <w:rFonts w:ascii="Times New Roman" w:cs="Times New Roman" w:eastAsia="Times New Roman" w:hAnsi="Times New Roman"/>
          <w:sz w:val="18"/>
          <w:szCs w:val="18"/>
          <w:color w:val="auto"/>
        </w:rPr>
        <w:t>” means ASX Limited (ABN 98 008 624 691), or the securities market which it operates, as the context requires.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ASX Listing Rules</w:t>
      </w:r>
      <w:r>
        <w:rPr>
          <w:rFonts w:ascii="Times New Roman" w:cs="Times New Roman" w:eastAsia="Times New Roman" w:hAnsi="Times New Roman"/>
          <w:sz w:val="18"/>
          <w:szCs w:val="18"/>
          <w:color w:val="auto"/>
        </w:rPr>
        <w:t>” means the official listing rules of the ASX.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CDI</w:t>
      </w:r>
      <w:r>
        <w:rPr>
          <w:rFonts w:ascii="Times New Roman" w:cs="Times New Roman" w:eastAsia="Times New Roman" w:hAnsi="Times New Roman"/>
          <w:sz w:val="18"/>
          <w:szCs w:val="18"/>
          <w:color w:val="auto"/>
        </w:rPr>
        <w:t>” means a CHESS Depositary Interest, being a unit of beneficial ownership in one-fifth of a share of Common Stock in the Company or such other ratio as may be adopted by the Company from time to time.</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it may be amended from time to time. Any reference to a section of the Code shall be deemed to include, as applicable, any regulations and guidance promulgated under such Code section.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AVITA Medical, Inc., a Delaware Corporation, and any successor or assign.</w:t>
      </w:r>
    </w:p>
    <w:p>
      <w:pPr>
        <w:spacing w:after="0" w:line="22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except as may otherwise be determined by the Administrator consistent with the requirements of Section 423 of the Code,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income received in connection with stock options or other equity-based awards, and any other non-cash remuneration.</w:t>
      </w:r>
    </w:p>
    <w:p>
      <w:pPr>
        <w:spacing w:after="0" w:line="18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means a merger, consolidation, acquisition of property or stock, separation, reorganization, or other corporate event described in Code Section 424.</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Broker</w:t>
      </w:r>
      <w:r>
        <w:rPr>
          <w:rFonts w:ascii="Times New Roman" w:cs="Times New Roman" w:eastAsia="Times New Roman" w:hAnsi="Times New Roman"/>
          <w:sz w:val="18"/>
          <w:szCs w:val="18"/>
          <w:color w:val="auto"/>
        </w:rPr>
        <w:t>” means the financial services firm or other agent designated by the Company to maintain ESPP Share Accounts on behalf of Participants who have purchased shares of Common Stock under this Plan.</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date as of which this Plan is adopted by the Board, subject to this Plan obtaining stockholder approval in accordance with </w:t>
      </w:r>
      <w:r>
        <w:rPr>
          <w:rFonts w:ascii="Times New Roman" w:cs="Times New Roman" w:eastAsia="Times New Roman" w:hAnsi="Times New Roman"/>
          <w:sz w:val="18"/>
          <w:szCs w:val="18"/>
          <w:b w:val="1"/>
          <w:bCs w:val="1"/>
          <w:color w:val="auto"/>
        </w:rPr>
        <w:t>Section 19.11</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natural person who renders services to the Company or a Participating Subsidiary as an employee pursuant to an employment relationship with such employer. For purposes of this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after such three (3)-month period, or such other period specified in Treasury Regulation Section 1.421-1(h)(2).</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each Employee except the following, who shall not be eligible to participate under the Plan: (i) an employee who is customarily employed by the Company or a Participating Subsidiary for twenty (20) hours per week or less, or (ii) an employee who is customarily employed by the Company or a Participating Subsidiary for not more than five (5) months per calendar year. Consistent with the requirements of Code Section 423, the Administrator may (A) select a shorter time period than those specified in clauses (i) - (ii), and (B) exclude highly compensated employees with compensation above a specified level or who are subject to Section 16 of the Securities Exchange Act of 1934, in each case to be applied in an identical manner for an Offering. No employee shall be deemed an “Eligible Employee” if the employee is a citizen or resident of a foreign jurisdiction and (i) the grant of an option under the Plan or Offering to such employee is prohibited under the laws of such foreign jurisdiction, or (ii) compliance with the laws of such foreign jurisdiction would cause the Plan or Offering to violate the requirements of Section 423 of the Code.</w:t>
      </w:r>
    </w:p>
    <w:p>
      <w:pPr>
        <w:spacing w:after="0" w:line="18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Enrollment Form</w:t>
      </w:r>
      <w:r>
        <w:rPr>
          <w:rFonts w:ascii="Times New Roman" w:cs="Times New Roman" w:eastAsia="Times New Roman" w:hAnsi="Times New Roman"/>
          <w:sz w:val="18"/>
          <w:szCs w:val="18"/>
          <w:color w:val="auto"/>
        </w:rPr>
        <w:t>” means an agreement between the Company and an Eligible Employee in such written, electronic, or other format and/or pursuant to such written, electronic, or other process as may be established by the Administrator from time to time, pursuant to which an Eligible Employee may elect to enroll in this Plan, to authorize a new level of payroll deductions, or to stop payroll deductions and withdraw from an Offering Period.</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Enrollment Period</w:t>
      </w:r>
      <w:r>
        <w:rPr>
          <w:rFonts w:ascii="Times New Roman" w:cs="Times New Roman" w:eastAsia="Times New Roman" w:hAnsi="Times New Roman"/>
          <w:sz w:val="18"/>
          <w:szCs w:val="18"/>
          <w:color w:val="auto"/>
        </w:rPr>
        <w:t>” means that period of time prescribed by the Administrator, which period shall conclude prior to the Grant Date, during which Eligible Employees may elect to participate in an Offering Period. The duration and timing of Enrollment Periods may be changed or modified by the Administrator from time to time.</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 Share Account</w:t>
      </w:r>
      <w:r>
        <w:rPr>
          <w:rFonts w:ascii="Times New Roman" w:cs="Times New Roman" w:eastAsia="Times New Roman" w:hAnsi="Times New Roman"/>
          <w:sz w:val="18"/>
          <w:szCs w:val="18"/>
          <w:color w:val="auto"/>
        </w:rPr>
        <w:t>” means an account into which Common Stock purchased with accumulated payroll deductions at the end of an Offering Period are held on behalf of a Participant.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shares of Common Stock as determined in the immediately following sentences. If the shares are listed on any established stock exchange or a national market system in the United States, including, without limitation, the New York Stock Exchange or the Nasdaq Stock Market, the Fair Market Value shall be the closing price of a share (or if no sales were reported, the closing price on the first Trading Day immediately preceding such date) as quoted on such exchange or system on the day of determination, as reported in </w:t>
      </w:r>
      <w:r>
        <w:rPr>
          <w:rFonts w:ascii="Times New Roman" w:cs="Times New Roman" w:eastAsia="Times New Roman" w:hAnsi="Times New Roman"/>
          <w:sz w:val="17"/>
          <w:szCs w:val="17"/>
          <w:i w:val="1"/>
          <w:iCs w:val="1"/>
          <w:color w:val="auto"/>
        </w:rPr>
        <w:t>The Wall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Street Journal</w:t>
      </w:r>
      <w:r>
        <w:rPr>
          <w:rFonts w:ascii="Times New Roman" w:cs="Times New Roman" w:eastAsia="Times New Roman" w:hAnsi="Times New Roman"/>
          <w:sz w:val="17"/>
          <w:szCs w:val="17"/>
          <w:color w:val="auto"/>
        </w:rPr>
        <w:t>. If the shares are traded in an over-the-counter market, the Fair Market Value shall be the average of the closing bid and asked prices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shares in such over-the-counter market for such date or, if such date is not a Trading Day, the last preceding date on which there was a sale of</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such Common Stock in such market. In the absence of an established market for the shares, the Fair Market Value shall be determined in good faith by the Administrator and such determination shall be conclusive and binding on all persons.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first Trading Day of each Offering Period as designated by the Administrator.</w:t>
      </w:r>
    </w:p>
    <w:p>
      <w:pPr>
        <w:spacing w:after="0" w:line="22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or Offering Period</w:t>
      </w:r>
      <w:r>
        <w:rPr>
          <w:rFonts w:ascii="Times New Roman" w:cs="Times New Roman" w:eastAsia="Times New Roman" w:hAnsi="Times New Roman"/>
          <w:sz w:val="18"/>
          <w:szCs w:val="18"/>
          <w:color w:val="auto"/>
        </w:rPr>
        <w:t xml:space="preserve">” means a period of six (6) months beginning June 1 and December 1 of each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Administrator may change the duration of future Offering Periods (subject to a maximum Offering Period of twenty-seven (27) months) and/or the start and end dates of future Offering Periods.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Employee who is actively participating in this Plan.</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Subsidiaries</w:t>
      </w:r>
      <w:r>
        <w:rPr>
          <w:rFonts w:ascii="Times New Roman" w:cs="Times New Roman" w:eastAsia="Times New Roman" w:hAnsi="Times New Roman"/>
          <w:sz w:val="18"/>
          <w:szCs w:val="18"/>
          <w:color w:val="auto"/>
        </w:rPr>
        <w:t>” means the Subsidiaries that have been designated as eligible to participate in this Plan, and such other Subsidiaries that may be designated by the Administrator from time to time in its sole discretion.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AVITA Medical, Inc. Employee Stock Purchase Plan, as set forth herein, and as amended from time to time.</w:t>
      </w:r>
    </w:p>
    <w:p>
      <w:pPr>
        <w:spacing w:after="0" w:line="22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for an Offering Period means the last Trading Day of the Offering Period, or such other day(s) during the Offering Period as determined by the Administrator.</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an amount equal to the lesser of (i) eighty-five percent (85%) (or such greater percentage as designated by the Administrator) of the Fair Market Value of a share of Common Stock on the Grant Date or (ii) eighty-five percent (85%) (or such greater percentage as designated by the Administrator) of the Fair Market Value of a share of Common Stock on the Purchase Date, provided that the Purchase Price per share of Common Stock will in no event be less than the par value of the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domestic or foreign, of which not less than fifty percent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Code Section 424(f).</w:t>
      </w:r>
    </w:p>
    <w:p>
      <w:pPr>
        <w:spacing w:after="0" w:line="171"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national stock exchange upon which the Common Stock is listed in the United States is open for trading or, if the Common Stock is not listed on an established stock exchange or national market system in the United States, a business day, as determined by the Administrator in good faith.</w:t>
      </w:r>
    </w:p>
    <w:p>
      <w:pPr>
        <w:spacing w:after="0" w:line="319"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17" w:lineRule="exact"/>
        <w:rPr>
          <w:sz w:val="20"/>
          <w:szCs w:val="20"/>
          <w:color w:val="auto"/>
        </w:rPr>
      </w:pPr>
    </w:p>
    <w:p>
      <w:pPr>
        <w:jc w:val="both"/>
        <w:ind w:left="120"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3.1 General. </w:t>
      </w:r>
      <w:r>
        <w:rPr>
          <w:rFonts w:ascii="Times New Roman" w:cs="Times New Roman" w:eastAsia="Times New Roman" w:hAnsi="Times New Roman"/>
          <w:sz w:val="17"/>
          <w:szCs w:val="17"/>
          <w:color w:val="auto"/>
        </w:rPr>
        <w:t>Subject to applicable law, including the ASX Listing Rules, this Plan shall be administered by the Administrator, which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full authority, in its sole discretion, to take any actions it deems necessary or advisable for the administration of the Plan, including, without limitation:</w:t>
      </w:r>
    </w:p>
    <w:p>
      <w:pPr>
        <w:spacing w:after="0" w:line="24" w:lineRule="exact"/>
        <w:rPr>
          <w:sz w:val="20"/>
          <w:szCs w:val="20"/>
          <w:color w:val="auto"/>
        </w:rPr>
      </w:pPr>
    </w:p>
    <w:p>
      <w:pPr>
        <w:ind w:left="560"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color w:val="auto"/>
        </w:rPr>
        <w:t>Interpreting and construing the Plan; prescribing, adopting, amending, suspending, waiving, and rescinding rules and regulations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appropriate to administer and implement the Plan; correcting any defect or supplying any omission or reconciling any inconsistency or ambiguity in the Plan; and making all other decisions and determinations necessary and advisable in administering the Plan;</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color w:val="auto"/>
        </w:rPr>
        <w:t>Making determinations relating to eligibility;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color w:val="auto"/>
        </w:rPr>
        <w:t>Determining the Purchase Price;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color w:val="auto"/>
        </w:rPr>
        <w:t>Establishing the timing and length of Offering Periods; and</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color w:val="auto"/>
        </w:rPr>
        <w:t>Taking any other actions necessary or desirable for the administration of the Plan, including adopting sub-plans applicable to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Subsidiaries or locations, which sub-plans may be designed to be outside the scope of Code Section 423.</w:t>
      </w:r>
    </w:p>
    <w:p>
      <w:pPr>
        <w:spacing w:after="0" w:line="15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All decisions shall be final and binding on all persons. All expenses of administering this Plan shall be borne by the Company. The Board may take any action under this Plan that would otherwise be the responsibility of the Administrator.</w:t>
      </w:r>
    </w:p>
    <w:p>
      <w:pPr>
        <w:spacing w:after="0" w:line="158"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Delegation. </w:t>
      </w:r>
      <w:r>
        <w:rPr>
          <w:rFonts w:ascii="Times New Roman" w:cs="Times New Roman" w:eastAsia="Times New Roman" w:hAnsi="Times New Roman"/>
          <w:sz w:val="18"/>
          <w:szCs w:val="18"/>
          <w:color w:val="auto"/>
        </w:rPr>
        <w:t>To the extent necessary or appropriate, the Administrator may delegate any of its duties or responsibilities under the Plan as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pertain to a Participating Subsidiary to such Participating Subsidiary. The Administrator (or any Participating Subsidiary with the consent of the Administrator) may appoint or engage any person or persons as a third party administrator to perform ministerial functions pertaining to the issuance, accounting, recordkeeping, forfeiture, exercise, communication, transfer, or any other functions or activities necessary or appropriate to administer and operate this Plan.</w:t>
      </w:r>
    </w:p>
    <w:p>
      <w:pPr>
        <w:spacing w:after="0" w:line="328"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17"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General. </w:t>
      </w:r>
      <w:r>
        <w:rPr>
          <w:rFonts w:ascii="Times New Roman" w:cs="Times New Roman" w:eastAsia="Times New Roman" w:hAnsi="Times New Roman"/>
          <w:sz w:val="18"/>
          <w:szCs w:val="18"/>
          <w:color w:val="auto"/>
        </w:rPr>
        <w:t>Unless otherwise determined by the Administrator in a manner that is consistent with Code Section 423, any individual who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 as of the first day of the Enrollment Period for a particular Offering Period shall be eligible to participate in such Offering Period, subject to the requirements of Code Section 423.</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Eligibility Restrictions. </w:t>
      </w:r>
      <w:r>
        <w:rPr>
          <w:rFonts w:ascii="Times New Roman" w:cs="Times New Roman" w:eastAsia="Times New Roman" w:hAnsi="Times New Roman"/>
          <w:sz w:val="18"/>
          <w:szCs w:val="18"/>
          <w:color w:val="auto"/>
        </w:rPr>
        <w:t>Notwithstanding any provision of this Plan to the contrary, no Eligible Employee shall be granted an option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if (i) immediately after the grant of the option, such Eligible Employee (or any other person whose stock would be attributed to such Eligible Employee pursuant to Code Section 424(d)) would own capital stock of the Company or hold outstanding options to purchase stock possessing five percent (5%) or more of the total combined voting power or value of all classes of stock of the Company or any Subsidiary or (ii) such option would permit his or her rights to purchase stock under all employee stock purchase plans (described in Code Section 423) of the Company and its Subsidiaries to accrue at a rate that exceeds twenty-five thousand dollars ($25,000) of the Fair Market Value of such stock (determined at the time the option is granted) for each calendar year in which such option is outstanding at any time.</w:t>
      </w:r>
    </w:p>
    <w:p>
      <w:pPr>
        <w:spacing w:after="0" w:line="331"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Plan shall be implemented by a series of Offering Periods, each of which shall be six (6) months in duration, with new Offering Periods commencing on or about June 1 and December 1 of each year (or such other times as determined by the Administrator). The Administrator shall have the authority to change the duration, frequency, start date, and end date of Offering Periods.</w:t>
      </w:r>
    </w:p>
    <w:p>
      <w:pPr>
        <w:spacing w:after="0" w:line="320"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p>
    <w:p>
      <w:pPr>
        <w:spacing w:after="0" w:line="117"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 Enrollment; Payroll Deductions. </w:t>
      </w:r>
      <w:r>
        <w:rPr>
          <w:rFonts w:ascii="Times New Roman" w:cs="Times New Roman" w:eastAsia="Times New Roman" w:hAnsi="Times New Roman"/>
          <w:sz w:val="18"/>
          <w:szCs w:val="18"/>
          <w:color w:val="auto"/>
        </w:rPr>
        <w:t>An Eligible Employee may elect to participate in this Plan by properly completing the prescribed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Enrollment Form and submitting it to the Company, in the format and pursuant to the process prescribed by the Administrator during the Enrollment Period of the Offering Period to which it relates. Participation in this Plan is entirely voluntary. By submitting an Enrollment Form, the Eligible Employee authorizes payroll deductions from his or her paycheck in an amount equal to at least one percent (1%), but not more than fifteen percent (15%) (or such other maximum percentage as the Administrator may establish from time to time before an Offering Period begins) of his or her Compensation on each pay day occurring during an Offering Period. Payroll deductions shall commence on the first payroll date after the Grant Date and end on the last payroll date on or before the Purchase Date. The Company shall maintain records of all payroll deductions in such Participant’s Account, but shall have no obligation to pay interest on payroll deductions or to hold such amounts in a trust or in any segregated account. Unless expressly permitted by the Administrator, a Participant may not make any separate contributions or payments to this Plan.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Election Changes. </w:t>
      </w:r>
      <w:r>
        <w:rPr>
          <w:rFonts w:ascii="Times New Roman" w:cs="Times New Roman" w:eastAsia="Times New Roman" w:hAnsi="Times New Roman"/>
          <w:sz w:val="18"/>
          <w:szCs w:val="18"/>
          <w:color w:val="auto"/>
        </w:rPr>
        <w:t>During an Offering Period, a Participant may not change his or her rate of payroll deductions applicable to such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unless the Administrator determines otherwise. To make such a change, the Participant must submit a new Enrollment Form authorizing the new rate of payroll deductions at least fifteen (15) days before the Purchase Date. A Participant may decrease or increase his or her rate of payroll deductions for future Offering Periods by submitting a new Enrollment Form authorizing the new rate of payroll deductions at least fifteen (15) days before the start of the next Offering Period.</w:t>
      </w:r>
    </w:p>
    <w:p>
      <w:pPr>
        <w:spacing w:after="0" w:line="17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Automatic Re-enrollment. </w:t>
      </w:r>
      <w:r>
        <w:rPr>
          <w:rFonts w:ascii="Times New Roman" w:cs="Times New Roman" w:eastAsia="Times New Roman" w:hAnsi="Times New Roman"/>
          <w:sz w:val="18"/>
          <w:szCs w:val="18"/>
          <w:color w:val="auto"/>
        </w:rPr>
        <w:t>The deduction rate selected in the Enrollment Form shall remain in effect for subsequent Offering Periods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Participant (i) submits a new Enrollment Form authorizing a new level of payroll deductions in accordance with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(ii) withdraws from this Plan in accordance with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or (iii) terminates employment or otherwise becomes ineligible to participate in this Plan.</w:t>
      </w:r>
    </w:p>
    <w:p>
      <w:pPr>
        <w:spacing w:after="0" w:line="319"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w:t>
      </w:r>
    </w:p>
    <w:p>
      <w:pPr>
        <w:spacing w:after="0" w:line="121" w:lineRule="exact"/>
        <w:rPr>
          <w:sz w:val="20"/>
          <w:szCs w:val="20"/>
          <w:color w:val="auto"/>
        </w:rPr>
      </w:pPr>
    </w:p>
    <w:p>
      <w:pPr>
        <w:ind w:left="120"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On each Grant Date, each Participant in the applicable Offering Period shall be granted an option to purchase, on the Purchase Date, a number of shares of Common Stock determined by dividing the Participant’s accumulated payroll deductions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no event shall any Participant purchase more than 5,000 shares of Common Stock during an Offering Period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adjustment in accordance with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and the limitations set forth in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OPTION/PURCHASE OF SHARES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Participant’s option to purchase shares of Common Stock shall be exercised automatically on the Purchase Date of each Offering Period. The Participant’s accumulated payroll deductions shall be used to purchase the maximum number of whole shares that can be purchased with the amounts in the Participant’s Account, subject to the limitations set forth in this Plan. No fractional shares may be purchased, but, unused payroll deductions remaining in a Participant’s Account at the end of an Offering Period (i.e., by reason of the inability to purchase a fractional share), as well as any accumulated payroll deductions that remain in a Participant’s Account after applying the limitations of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shall be returned to the Participant as soon as administratively practicable.</w:t>
      </w:r>
    </w:p>
    <w:p>
      <w:pPr>
        <w:spacing w:after="0" w:line="332"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soon as reasonably practicable after each Purchase Date, the Company shall arrange for the delivery to each Participant of the shares of Common Stock purchased upon exercise of his or her option. The Administrator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shall not have any voting, dividend, or other rights of a stockholder with respect to the shares of Common Stock subject to any option granted hereunder until such shares have been delivered pursuant to this Section 9.</w:t>
      </w:r>
    </w:p>
    <w:p>
      <w:pPr>
        <w:spacing w:after="0" w:line="328"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 Withdrawal Procedure. </w:t>
      </w:r>
      <w:r>
        <w:rPr>
          <w:rFonts w:ascii="Times New Roman" w:cs="Times New Roman" w:eastAsia="Times New Roman" w:hAnsi="Times New Roman"/>
          <w:sz w:val="18"/>
          <w:szCs w:val="18"/>
          <w:color w:val="auto"/>
        </w:rPr>
        <w:t>A Participant may withdraw from an Offering by submitting to the Company a revised Enrollment Form indicating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his or her election to withdraw at least twenty one (21) days before the Purchase Date. The accumulated payroll deductions held on behalf of a Participant in his or her Account (that have not been used to purchase shares of Common Stock) shall be paid to the Participant promptly after receipt of the Participant’s Enrollment Form indicating his or her election to withdraw and the Participant’s option shall be automatically terminated. If a Participant withdraws from an Offering Period, no payroll deductions shall be made during any succeeding Offering Period, unless the Participant re-enrolls in accordance with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 Effect on Succeeding Offering Periods. </w:t>
      </w:r>
      <w:r>
        <w:rPr>
          <w:rFonts w:ascii="Times New Roman" w:cs="Times New Roman" w:eastAsia="Times New Roman" w:hAnsi="Times New Roman"/>
          <w:sz w:val="18"/>
          <w:szCs w:val="18"/>
          <w:color w:val="auto"/>
        </w:rPr>
        <w:t>A Participant’s election to withdraw from an Offering Period shall not have any effect upon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eligibility to participate in succeeding Offering Periods that commence after the completion of the Offering Period from which the Participant withdraws.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CHANGE IN EMPLOYMENT STATUS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Upon termination of a Participant’s employment from the Company and the Participating Subsidiaries for any reason or at any other time, or a change in the Participant’s employment status after which the Participant is no longer an Eligible Employee, which in either case occurs at least thirty days before the Purchase Date, the Participant shall be deemed to have withdrawn from this Plan and the payroll deductions in the Participant’s Account (that have not been used to purchase shares of Common Stock) shall be returned to the Participant, or in the case of the Participant’s death, to the person(s) entitled to such amounts under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and the Participant’s option shall be automatically terminated. If the Participant’s termination of employment or change in status occurs within thirty days before a Purchase Date, the accumulated payroll deductions shall be used to purchase shares on the Purchase Date.</w:t>
      </w:r>
    </w:p>
    <w:p>
      <w:pPr>
        <w:spacing w:after="0" w:line="333"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interest shall accrue on or be payable with respect to the payroll deductions of a Participant in this Plan.</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RESERVED FOR PLAN</w:t>
      </w:r>
    </w:p>
    <w:p>
      <w:pPr>
        <w:spacing w:after="0" w:line="117"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 Number of Shares. </w:t>
      </w:r>
      <w:r>
        <w:rPr>
          <w:rFonts w:ascii="Times New Roman" w:cs="Times New Roman" w:eastAsia="Times New Roman" w:hAnsi="Times New Roman"/>
          <w:sz w:val="18"/>
          <w:szCs w:val="18"/>
          <w:color w:val="auto"/>
        </w:rPr>
        <w:t>A total of 1,000,000 shares of Common Stock have been reserved as authorized for the grant of options under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Common Stock may be newly issued shares, treasury shares, or shares acquired on the open market. If an option under this Plan expires or is terminated unexercised for any reason, the shares as to which such option so expired or terminated again may be made subject to an option under this Plan.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13.2 Oversubscribed Offerings. </w:t>
      </w:r>
      <w:r>
        <w:rPr>
          <w:rFonts w:ascii="Times New Roman" w:cs="Times New Roman" w:eastAsia="Times New Roman" w:hAnsi="Times New Roman"/>
          <w:sz w:val="18"/>
          <w:szCs w:val="18"/>
          <w:color w:val="auto"/>
        </w:rPr>
        <w:t>The number of shares of Common Stock that a Participant may purchase in an Offering under this Plan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if the Offering is oversubscribed. No option granted under this Plan shall permit a Participant to purchase shares of Common Stock that, if added together with the total number of shares of Common Stock purchased by all other Participants in such Offering, would exceed the total number of shares of Common Stock remaining available under this Plan. If the Administrator determines that, on a particular Purchase Date, the number of shares of Common Stock with respect to which options are to be exercised exceeds the number of shares of Common Stock then available under this Plan, the Company shall make a pro rata allocation of the shares of Common Stock remaining available for purchase in as uniform a manner as practicable and as the Administrator determines to be equitable.</w:t>
      </w:r>
    </w:p>
    <w:p>
      <w:pPr>
        <w:spacing w:after="0" w:line="331"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by the Participant. Any attempt to assign, transfer, pledge, or otherwise dispose of such rights or amounts shall be without effect.</w:t>
      </w:r>
    </w:p>
    <w:p>
      <w:pPr>
        <w:spacing w:after="0" w:line="324"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FUNDS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All payroll deductions received or held by the Company under this Plan may be used by the Company for any corporate purpose to the extent permitted by applicable law, and the Company shall not be required to segregate such payroll deductions or contributions.</w:t>
      </w:r>
    </w:p>
    <w:p>
      <w:pPr>
        <w:spacing w:after="0" w:line="306"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Participants shall be provided with statements at least annually that shall set forth the contributions made by the Participant to this Plan, the Purchase Price of any shares of Common Stock purchased with accumulated funds, the number of shares of Common Stock purchased, and any payroll deduction amounts remaining in the Participant’s notional account.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BENEFICIARY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Participant may file, on forms supplied by the Administrator, a written designation of beneficiary who is to receive any shares of Common Stock and cash in respect of any fractional shares of Common Stock, if any, from the Participant’s ESPP Share Account under this Plan in the event of such Participant’s death. In addition, a Participant may file, on forms supplied by the Administrator, a written designation of beneficiary who is to receive any cash withheld through payroll deductions and credited to the Participant’s notional account in the event of the Participant’s death before the Purchase Date of an Offering Period.</w:t>
      </w:r>
    </w:p>
    <w:p>
      <w:pPr>
        <w:spacing w:after="0" w:line="328"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FOR CHANGES IN CAPITALIZATION; DISSOLUTION OR LIQUIDATION; CORPORATE TRANSACTIONS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18.1 Adjustments. </w:t>
      </w:r>
      <w:r>
        <w:rPr>
          <w:rFonts w:ascii="Times New Roman" w:cs="Times New Roman" w:eastAsia="Times New Roman" w:hAnsi="Times New Roman"/>
          <w:sz w:val="18"/>
          <w:szCs w:val="18"/>
          <w:color w:val="auto"/>
        </w:rPr>
        <w:t>In the event that any dividend or other distribution (whether in the form of cash, Common Stock, or other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this Plan, the Administrator shall, in such manner as it deems equitable, adjust the number of shares and class of Common Stock that may be delivered under this Plan, the Purchase Price per share, and the number of shares of Common Stock covered by each outstanding option under this Plan, and the numerical limits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In this respect, where the ASX Listing Rules apply, the Administrator shall make such adjustments as are necessary and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ASX Listing Rules to the number of shares and class of Common Stock that may be delivered under this Plan, the Purchase Price per share, and the number of shares of Common Stock covered by each outstanding option under this Plan, and the numerical limits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and such other adjustments as are appropriate in the discretion of the Administrator and in accordance with the ASX Listing Rules.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18.2 Dissolution or Liquidation. </w:t>
      </w:r>
      <w:r>
        <w:rPr>
          <w:rFonts w:ascii="Times New Roman" w:cs="Times New Roman" w:eastAsia="Times New Roman" w:hAnsi="Times New Roman"/>
          <w:sz w:val="18"/>
          <w:szCs w:val="18"/>
          <w:color w:val="auto"/>
        </w:rPr>
        <w:t>Unless otherwise determined by the Administrator, in the event of a proposed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any Offering Period then in progress shall be shortened by setting a new Purchase Date and the Offering Period shall end immediately before the proposed dissolution or liquidation. The new Purchase Date shall be before the date of the Company’s proposed dissolution or liquidation. Before the new Purchase Date, the Administrator shall provide each Participant with written notice, which may be electronic, of the new Purchase Date and that the Participant’s option shall be exercised automatically on such date, unless before such time, the Participant has withdrawn from the Offering in accordance with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18.3 Corporate Transactions. </w:t>
      </w:r>
      <w:r>
        <w:rPr>
          <w:rFonts w:ascii="Times New Roman" w:cs="Times New Roman" w:eastAsia="Times New Roman" w:hAnsi="Times New Roman"/>
          <w:sz w:val="18"/>
          <w:szCs w:val="18"/>
          <w:color w:val="auto"/>
        </w:rPr>
        <w:t>In the event of a Corporate Transaction, the then-current Offering Period shall be shortened by setting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 Date on which the Offering Period shall end. The new Purchase Date shall occur before the date of the Corporate Transaction. Before the new Purchase Date, the Administrator shall provide each Participant with written notice, which may be electronic, of the new Purchase Date and that the Participant’s option shall be exercised automatically on such date, unless before such time, the Participant has withdrawn from the Offering in accordance with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jc w:val="both"/>
        <w:ind w:left="120" w:right="4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19.1 Equal Rights and Privileges. </w:t>
      </w:r>
      <w:r>
        <w:rPr>
          <w:rFonts w:ascii="Times New Roman" w:cs="Times New Roman" w:eastAsia="Times New Roman" w:hAnsi="Times New Roman"/>
          <w:sz w:val="17"/>
          <w:szCs w:val="17"/>
          <w:color w:val="auto"/>
        </w:rPr>
        <w:t>Notwithstanding any provision of this Plan to the contrary and in accordance with Code Section 423,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Eligible Employees who are granted options under this Plan for an Offering shall have the same rights and privileges with respect to that Offering.</w:t>
      </w:r>
    </w:p>
    <w:p>
      <w:pPr>
        <w:spacing w:after="0" w:line="13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19.2 No Right to Continued Service. </w:t>
      </w:r>
      <w:r>
        <w:rPr>
          <w:rFonts w:ascii="Times New Roman" w:cs="Times New Roman" w:eastAsia="Times New Roman" w:hAnsi="Times New Roman"/>
          <w:sz w:val="18"/>
          <w:szCs w:val="18"/>
          <w:color w:val="auto"/>
        </w:rPr>
        <w:t>Neither this Plan nor any compensation paid hereunder shall confer on any Participant the right to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or in any other capacity.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19.3 Rights as Stockholder. </w:t>
      </w:r>
      <w:r>
        <w:rPr>
          <w:rFonts w:ascii="Times New Roman" w:cs="Times New Roman" w:eastAsia="Times New Roman" w:hAnsi="Times New Roman"/>
          <w:sz w:val="18"/>
          <w:szCs w:val="18"/>
          <w:color w:val="auto"/>
        </w:rPr>
        <w:t>A Participant shall become a stockholder with respect to the shares of Common Stock that are purchased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granted under this Plan when the shares are transferred to the Participant’s ESPP Share Account. A Participant shall have no rights as a stockholder (including to participate in the new issues of shares to existing holders of shares of Common Stock) with respect to shares of Common Stock for which an election to participate in an Offering Period has been made until such Participant becomes a stockholder as provided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19.4 Successors and Assigns. </w:t>
      </w:r>
      <w:r>
        <w:rPr>
          <w:rFonts w:ascii="Times New Roman" w:cs="Times New Roman" w:eastAsia="Times New Roman" w:hAnsi="Times New Roman"/>
          <w:sz w:val="18"/>
          <w:szCs w:val="18"/>
          <w:color w:val="auto"/>
        </w:rPr>
        <w:t>This Plan shall be binding on the Company and its successors and assigns.</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19.5 Entire Plan. </w:t>
      </w:r>
      <w:r>
        <w:rPr>
          <w:rFonts w:ascii="Times New Roman" w:cs="Times New Roman" w:eastAsia="Times New Roman" w:hAnsi="Times New Roman"/>
          <w:sz w:val="18"/>
          <w:szCs w:val="18"/>
          <w:color w:val="auto"/>
        </w:rPr>
        <w:t>This Plan constitutes the entire plan with respect to the subject matter hereof and supersedes all prior plans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w:t>
      </w:r>
    </w:p>
    <w:p>
      <w:pPr>
        <w:spacing w:after="0" w:line="15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19.6 Compliance with Law. </w:t>
      </w:r>
      <w:r>
        <w:rPr>
          <w:rFonts w:ascii="Times New Roman" w:cs="Times New Roman" w:eastAsia="Times New Roman" w:hAnsi="Times New Roman"/>
          <w:sz w:val="17"/>
          <w:szCs w:val="17"/>
          <w:color w:val="auto"/>
        </w:rPr>
        <w:t>The obligations of the Company with respect to payments under this Plan are subject to compliance with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laws and regulations (including the ASX Listing Rules, to the extent applicable). Common Stock shall not be issued with respect to an option granted under this Plan unless the exercise of such option and the issuance and delivery of the shares of Common Stock pursuant thereto shall comply with all applicable provisions of law, including the Securities Act, the Exchange Act, and the requirements of any stock exchange upon which the shares may then be listed. While the Company’s shares of Common Stock (or CDIs) are listed for trading on any stock exchange or market (including, without limitation, ASX and the Nasdaq Stock Market), the Company and the Administrator must not make any amendments to this Plan or any option granted to any Participant under this Plan or take any other action unless such action complies with the relevant rules of such stock exchanges.</w:t>
      </w:r>
    </w:p>
    <w:p>
      <w:pPr>
        <w:spacing w:after="0" w:line="171" w:lineRule="exact"/>
        <w:rPr>
          <w:sz w:val="20"/>
          <w:szCs w:val="20"/>
          <w:color w:val="auto"/>
        </w:rPr>
      </w:pPr>
    </w:p>
    <w:p>
      <w:pPr>
        <w:ind w:left="120" w:right="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19.7 Notice of Disqualifying Dispositions. </w:t>
      </w:r>
      <w:r>
        <w:rPr>
          <w:rFonts w:ascii="Times New Roman" w:cs="Times New Roman" w:eastAsia="Times New Roman" w:hAnsi="Times New Roman"/>
          <w:sz w:val="18"/>
          <w:szCs w:val="18"/>
          <w:color w:val="auto"/>
        </w:rPr>
        <w:t>Each Participant shall give the Company prompt written notice of any disposition or other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acquired pursuant to the exercise of an option acquired under this Plan, if such disposition or transfer is made within two</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years after the applicable Grant Date or within one (1) year after the applicable Purchase Date.</w:t>
      </w:r>
    </w:p>
    <w:p>
      <w:pPr>
        <w:spacing w:after="0" w:line="203"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19.8 Term of Plan. </w:t>
      </w:r>
      <w:r>
        <w:rPr>
          <w:rFonts w:ascii="Times New Roman" w:cs="Times New Roman" w:eastAsia="Times New Roman" w:hAnsi="Times New Roman"/>
          <w:sz w:val="18"/>
          <w:szCs w:val="18"/>
          <w:color w:val="auto"/>
        </w:rPr>
        <w:t>This Plan shall become effective on the Effective Date and, unless terminated earlier pursuant to</w:t>
      </w:r>
      <w:r>
        <w:rPr>
          <w:rFonts w:ascii="Times New Roman" w:cs="Times New Roman" w:eastAsia="Times New Roman" w:hAnsi="Times New Roman"/>
          <w:sz w:val="18"/>
          <w:szCs w:val="18"/>
          <w:b w:val="1"/>
          <w:bCs w:val="1"/>
          <w:color w:val="auto"/>
        </w:rPr>
        <w:t xml:space="preserve"> Section 19.9</w:t>
      </w:r>
      <w:r>
        <w:rPr>
          <w:rFonts w:ascii="Times New Roman" w:cs="Times New Roman" w:eastAsia="Times New Roman" w:hAnsi="Times New Roman"/>
          <w:sz w:val="18"/>
          <w:szCs w:val="18"/>
          <w:color w:val="auto"/>
        </w:rPr>
        <w:t>, shall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ten (10) years.</w:t>
      </w:r>
    </w:p>
    <w:p>
      <w:pPr>
        <w:spacing w:after="0" w:line="155"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19.9 Amendment or Termination. </w:t>
      </w:r>
      <w:r>
        <w:rPr>
          <w:rFonts w:ascii="Times New Roman" w:cs="Times New Roman" w:eastAsia="Times New Roman" w:hAnsi="Times New Roman"/>
          <w:sz w:val="18"/>
          <w:szCs w:val="18"/>
          <w:color w:val="auto"/>
        </w:rPr>
        <w:t>The Administrator may, in its sole discretion, amend, suspend, or terminate this Plan at any time and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 If this Plan is terminated, the Administrator may elect to terminate all outstanding Offering Periods either immediately or once shares of Common Stock have been purchased on the next Purchase Date (which may, in the discretion of the Administrator, be accelerated) or permit Offering Periods to expire in accordance with their terms (and subject to any adjustment in accordance with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If any Offering Period is terminated before its scheduled expiration, all amounts that have not been used to purchase shares of Common Stock shall be returned to Participants (without interest, except as otherwise required by law) as soon as administratively practicable.</w:t>
      </w:r>
    </w:p>
    <w:p>
      <w:pPr>
        <w:spacing w:after="0" w:line="182"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19.10 Applicable Law. </w:t>
      </w:r>
      <w:r>
        <w:rPr>
          <w:rFonts w:ascii="Times New Roman" w:cs="Times New Roman" w:eastAsia="Times New Roman" w:hAnsi="Times New Roman"/>
          <w:sz w:val="18"/>
          <w:szCs w:val="18"/>
          <w:color w:val="auto"/>
        </w:rPr>
        <w:t>The laws of the State of Delaware shall govern all questions concerning the construction, validity, and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without regard to such state’s conflict of law rules.</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19.11 Stockholder Approval. </w:t>
      </w:r>
      <w:r>
        <w:rPr>
          <w:rFonts w:ascii="Times New Roman" w:cs="Times New Roman" w:eastAsia="Times New Roman" w:hAnsi="Times New Roman"/>
          <w:sz w:val="18"/>
          <w:szCs w:val="18"/>
          <w:color w:val="auto"/>
        </w:rPr>
        <w:t>This Plan shall be subject to approval by the stockholders of the Company within twelve (12) months before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this Plan is adopted by the Board.</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19.12 Code Section 423. </w:t>
      </w:r>
      <w:r>
        <w:rPr>
          <w:rFonts w:ascii="Times New Roman" w:cs="Times New Roman" w:eastAsia="Times New Roman" w:hAnsi="Times New Roman"/>
          <w:sz w:val="18"/>
          <w:szCs w:val="18"/>
          <w:color w:val="auto"/>
        </w:rPr>
        <w:t>This Plan is intended to qualify as an “employee stock purchase plan” under Code Section 423.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that is inconsistent with Code Section 423 shall be reformed to comply with Code Section 423.</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19.13 Withholding. </w:t>
      </w:r>
      <w:r>
        <w:rPr>
          <w:rFonts w:ascii="Times New Roman" w:cs="Times New Roman" w:eastAsia="Times New Roman" w:hAnsi="Times New Roman"/>
          <w:sz w:val="18"/>
          <w:szCs w:val="18"/>
          <w:color w:val="auto"/>
        </w:rPr>
        <w:t>To the extent required by applicable Federal, state, or local law, a Participant must make arrangements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the payment of any withholding or similar tax obligations that arise in connection with this Plan.</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19.14 Severability. </w:t>
      </w:r>
      <w:r>
        <w:rPr>
          <w:rFonts w:ascii="Times New Roman" w:cs="Times New Roman" w:eastAsia="Times New Roman" w:hAnsi="Times New Roman"/>
          <w:sz w:val="17"/>
          <w:szCs w:val="17"/>
          <w:color w:val="auto"/>
        </w:rPr>
        <w:t>If any provision of this Plan shall for any reason be held to be invalid or unenforceable, such invalidity or unenforceability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affect any other provision hereof, and this Plan shall be construed as if such invalid or unenforceable provision were omitted.</w:t>
      </w:r>
    </w:p>
    <w:p>
      <w:pPr>
        <w:spacing w:after="0" w:line="13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19.15 Plan Construction. </w:t>
      </w:r>
      <w:r>
        <w:rPr>
          <w:rFonts w:ascii="Times New Roman" w:cs="Times New Roman" w:eastAsia="Times New Roman" w:hAnsi="Times New Roman"/>
          <w:sz w:val="18"/>
          <w:szCs w:val="18"/>
          <w:color w:val="auto"/>
        </w:rPr>
        <w:t>In this Plan, unless otherwise stated, the following uses apply: (i) references to a statute or law shall refer to the statute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law and any amendments and any successor statutes or laws, and to all regulations promulgated under or implementing the statute or law, as amended, or its successors, as in effect at the relevant time; (ii) in computing periods from a specified date to a later specified date, the words “from” and “commencing on” (and the like) mean “from and including,” and the words “to,” “until” and “ending on” (and the like) mean “to and including”;</w:t>
      </w:r>
    </w:p>
    <w:p>
      <w:pPr>
        <w:spacing w:after="0" w:line="3" w:lineRule="exact"/>
        <w:rPr>
          <w:sz w:val="20"/>
          <w:szCs w:val="20"/>
          <w:color w:val="auto"/>
        </w:rPr>
      </w:pPr>
    </w:p>
    <w:p>
      <w:pPr>
        <w:ind w:left="120" w:right="80" w:hanging="4"/>
        <w:spacing w:after="0" w:line="265" w:lineRule="auto"/>
        <w:tabs>
          <w:tab w:leader="none" w:pos="43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indications of time of day shall be based upon the time applicable to the location of the principal headquarters of the Company; (iv) the words “include,” “includes” and “including” mean “include, without limitation,” “includes, without limitation” and “including, without limitation,” respectively; (v) all references to articles and sections are to articles and sections in this Plan; (vi) all words used shall be construed to be of such gender or number as the circumstances and context require; (vii) the captions and headings of articles and sections have been inserted solely for convenience of reference and shall not be considered a part of this Plan, nor shall any of them affect the meaning or interpretation of this Plan or any of its provisions;</w:t>
      </w:r>
    </w:p>
    <w:p>
      <w:pPr>
        <w:ind w:left="120" w:hanging="4"/>
        <w:spacing w:after="0" w:line="253" w:lineRule="auto"/>
        <w:tabs>
          <w:tab w:leader="none" w:pos="5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GAAP.</w:t>
      </w:r>
    </w:p>
    <w:p>
      <w:pPr>
        <w:spacing w:after="0" w:line="185"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19.16 Number of options. </w:t>
      </w:r>
      <w:r>
        <w:rPr>
          <w:rFonts w:ascii="Times New Roman" w:cs="Times New Roman" w:eastAsia="Times New Roman" w:hAnsi="Times New Roman"/>
          <w:sz w:val="18"/>
          <w:szCs w:val="18"/>
          <w:color w:val="auto"/>
        </w:rPr>
        <w:t>At all times while the Company is subject to the ASX Listing Rules, the Company may not grant options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under this Plan if to do so would result in there being more options granted than underlying Common Stock in the Company, except as permitted under the ASX Listing Rules.</w:t>
      </w:r>
    </w:p>
    <w:p>
      <w:pPr>
        <w:spacing w:after="0" w:line="171" w:lineRule="exact"/>
        <w:rPr>
          <w:sz w:val="20"/>
          <w:szCs w:val="20"/>
          <w:color w:val="auto"/>
        </w:rPr>
      </w:pPr>
    </w:p>
    <w:p>
      <w:pPr>
        <w:jc w:val="both"/>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19.17 Type of option. </w:t>
      </w:r>
      <w:r>
        <w:rPr>
          <w:rFonts w:ascii="Times New Roman" w:cs="Times New Roman" w:eastAsia="Times New Roman" w:hAnsi="Times New Roman"/>
          <w:sz w:val="18"/>
          <w:szCs w:val="18"/>
          <w:color w:val="auto"/>
        </w:rPr>
        <w:t>At all times while the Company is subject to the ASX Listing Rules, no option to purchase Common Stock that is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can be exercisable over a percentage of the Company’s capital.</w:t>
      </w:r>
    </w:p>
    <w:p>
      <w:pPr>
        <w:spacing w:after="0" w:line="155"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19.18 Amendment or cancellation of options. </w:t>
      </w:r>
      <w:r>
        <w:rPr>
          <w:rFonts w:ascii="Times New Roman" w:cs="Times New Roman" w:eastAsia="Times New Roman" w:hAnsi="Times New Roman"/>
          <w:sz w:val="17"/>
          <w:szCs w:val="17"/>
          <w:color w:val="auto"/>
        </w:rPr>
        <w:t>While the Company is subject to the ASX Listing Rules: (i) under no circumstances may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any outstanding option be amended or modified so as to have any of the following effects unless the amendment or modification is made to comply with the ASX Listing Rules or unless otherwise permitted by the ASX Listing Rules or by a waiver granted by the ASX: (1) reducing the Purchase Price of an option; (2) increasing the Offering Period or any period of exercise of an option; or (3) increasing the number of shares of Common Stock received on exercise of an option. Further, any other amendment or modification to the terms of any option (ie any amendment or modification that is not prohibited pursuant to the first sentence of this section 19.18) can only be made with stockholder approval or on the provision of a waiver granted by ASX from the ASX Listing Rules; and (ii) under no circumstances may any amendment or modification be made to the terms of an option which has the effect of cancelling the option unless: (1) stockholder approval has been obtained for the cancellation of the option; (2) no consideration is provided to the Participant in connection with the cancellation of the option; or (3) the amendment or modification is made to comply with the ASX Listing Rules.</w:t>
      </w:r>
    </w:p>
    <w:p>
      <w:pPr>
        <w:spacing w:after="0" w:line="17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19.19 Compliance with ASX Listing Rules. </w:t>
      </w:r>
      <w:r>
        <w:rPr>
          <w:rFonts w:ascii="Times New Roman" w:cs="Times New Roman" w:eastAsia="Times New Roman" w:hAnsi="Times New Roman"/>
          <w:sz w:val="18"/>
          <w:szCs w:val="18"/>
          <w:color w:val="auto"/>
        </w:rPr>
        <w:t>Notwithstanding any other provision in this Plan, while the Company is listed on the ASX,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holding options and the terms of any such option must be amended by the Company to the extent necessary to comply with the ASX Listing Rules applying to a reorganization of capital at the time of the reorganization, and each Participant that is granted an option under this Plan is deemed to have consented to any such amendments. To the extent that the terms of the relevant option granted to a Participant do not permit the option to be treated in accordance with the ASX Listing Rules, the terms of that option so granted must be amended so that the option can be treated in accordance with the ASX Listing Rules.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3343275" cy="19888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4327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MR A SAMPLE</w:t>
      </w:r>
    </w:p>
    <w:p>
      <w:pPr>
        <w:spacing w:after="0" w:line="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DESIGNATION (IF ANY)</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ADD 1</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ADD 2</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ADD 3</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ADD 4</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ADD 5</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EC008C"/>
        </w:rPr>
        <w:t>ADD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699135</wp:posOffset>
            </wp:positionV>
            <wp:extent cx="300355"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035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b w:val="1"/>
          <w:bCs w:val="1"/>
          <w:u w:val="single" w:color="auto"/>
          <w:color w:val="auto"/>
        </w:rPr>
        <w:t>black ink</w:t>
      </w:r>
      <w:r>
        <w:rPr>
          <w:rFonts w:ascii="Times New Roman" w:cs="Times New Roman" w:eastAsia="Times New Roman" w:hAnsi="Times New Roman"/>
          <w:sz w:val="14"/>
          <w:szCs w:val="14"/>
          <w:color w:val="auto"/>
        </w:rPr>
        <w:t xml:space="preserve"> pen, mark your votes with an </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 xml:space="preserve"> as shown in this example.</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60" w:type="dxa"/>
            <w:vAlign w:val="bottom"/>
          </w:tcPr>
          <w:p>
            <w:pPr>
              <w:spacing w:after="0"/>
              <w:rPr>
                <w:sz w:val="16"/>
                <w:szCs w:val="16"/>
                <w:color w:val="auto"/>
              </w:rPr>
            </w:pPr>
          </w:p>
        </w:tc>
        <w:tc>
          <w:tcPr>
            <w:tcW w:w="2060" w:type="dxa"/>
            <w:vAlign w:val="bottom"/>
          </w:tcPr>
          <w:p>
            <w:pPr>
              <w:ind w:left="1320"/>
              <w:spacing w:after="0"/>
              <w:rPr>
                <w:sz w:val="20"/>
                <w:szCs w:val="20"/>
                <w:color w:val="auto"/>
              </w:rPr>
            </w:pPr>
            <w:r>
              <w:rPr>
                <w:rFonts w:ascii="Times New Roman" w:cs="Times New Roman" w:eastAsia="Times New Roman" w:hAnsi="Times New Roman"/>
                <w:sz w:val="14"/>
                <w:szCs w:val="14"/>
                <w:color w:val="EC008C"/>
                <w:w w:val="99"/>
              </w:rPr>
              <w:t>C123456789</w:t>
            </w:r>
          </w:p>
        </w:tc>
      </w:tr>
      <w:tr>
        <w:trPr>
          <w:trHeight w:val="3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EC008C"/>
              </w:rPr>
              <w:t>000000000.000000 ext</w:t>
            </w:r>
          </w:p>
        </w:tc>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EC008C"/>
              </w:rPr>
              <w:t>000000000.000000 ext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EC008C"/>
              </w:rPr>
              <w:t>000000000.000000 ext</w:t>
            </w:r>
          </w:p>
        </w:tc>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EC008C"/>
              </w:rPr>
              <w:t>000000000.000000 ext</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EC008C"/>
              </w:rPr>
              <w:t>000000000.000000 ext</w:t>
            </w:r>
          </w:p>
        </w:tc>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EC008C"/>
              </w:rPr>
              <w:t>000000000.000000 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-1054100</wp:posOffset>
            </wp:positionV>
            <wp:extent cx="157734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7734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-685165</wp:posOffset>
            </wp:positionV>
            <wp:extent cx="189420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94205" cy="1885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vote matters – here’s how to vote!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online instead of mailing this card.</w:t>
      </w:r>
    </w:p>
    <w:p>
      <w:pPr>
        <w:spacing w:after="0" w:line="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94335" cy="394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11" w:lineRule="exact"/>
        <w:rPr>
          <w:sz w:val="20"/>
          <w:szCs w:val="20"/>
          <w:color w:val="auto"/>
        </w:rPr>
      </w:pPr>
    </w:p>
    <w:p>
      <w:pPr>
        <w:ind w:left="740" w:right="260"/>
        <w:spacing w:after="0" w:line="255" w:lineRule="auto"/>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b w:val="1"/>
          <w:bCs w:val="1"/>
          <w:color w:val="auto"/>
        </w:rPr>
        <w:t>www.investorvote.com/RCEL</w:t>
      </w:r>
      <w:r>
        <w:rPr>
          <w:rFonts w:ascii="Times New Roman" w:cs="Times New Roman" w:eastAsia="Times New Roman" w:hAnsi="Times New Roman"/>
          <w:sz w:val="18"/>
          <w:szCs w:val="18"/>
          <w:color w:val="auto"/>
        </w:rPr>
        <w:t xml:space="preserve"> or scan the QR code – login details are located in the shaded bar below.</w:t>
      </w:r>
    </w:p>
    <w:p>
      <w:pPr>
        <w:spacing w:after="0" w:line="69" w:lineRule="exact"/>
        <w:rPr>
          <w:sz w:val="20"/>
          <w:szCs w:val="20"/>
          <w:color w:val="auto"/>
        </w:rPr>
      </w:pPr>
    </w:p>
    <w:p>
      <w:pPr>
        <w:ind w:left="740" w:right="420"/>
        <w:spacing w:after="0" w:line="276" w:lineRule="auto"/>
        <w:rPr>
          <w:sz w:val="20"/>
          <w:szCs w:val="20"/>
          <w:color w:val="auto"/>
        </w:rPr>
      </w:pPr>
      <w:r>
        <w:rPr>
          <w:rFonts w:ascii="Times New Roman" w:cs="Times New Roman" w:eastAsia="Times New Roman" w:hAnsi="Times New Roman"/>
          <w:sz w:val="19"/>
          <w:szCs w:val="19"/>
          <w:b w:val="1"/>
          <w:bCs w:val="1"/>
          <w:color w:val="auto"/>
        </w:rPr>
        <w:t>Save paper, time and money! Sign up for electronic delivery at www.investorvote.com/RCEL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360045" cy="368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0045" cy="36830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6480" w:space="720"/>
            <w:col w:w="3920"/>
          </w:cols>
          <w:pgMar w:left="320" w:top="455" w:right="459" w:bottom="727" w:gutter="0" w:footer="0" w:header="0"/>
        </w:sectPr>
      </w:pP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5"/>
          <w:szCs w:val="25"/>
          <w:b w:val="1"/>
          <w:bCs w:val="1"/>
          <w:color w:val="auto"/>
        </w:rPr>
        <w:t>2023 Annual Meeting Proxy Card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205105</wp:posOffset>
            </wp:positionV>
            <wp:extent cx="664337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43370" cy="171450"/>
                    </a:xfrm>
                    <a:prstGeom prst="rect">
                      <a:avLst/>
                    </a:prstGeom>
                    <a:noFill/>
                  </pic:spPr>
                </pic:pic>
              </a:graphicData>
            </a:graphic>
          </wp:anchor>
        </w:drawing>
      </w:r>
    </w:p>
    <w:p>
      <w:pPr>
        <w:spacing w:after="0" w:line="307" w:lineRule="exact"/>
        <w:rPr>
          <w:sz w:val="20"/>
          <w:szCs w:val="20"/>
          <w:color w:val="auto"/>
        </w:rPr>
      </w:pPr>
    </w:p>
    <w:p>
      <w:pPr>
        <w:ind w:left="540" w:hanging="336"/>
        <w:spacing w:after="0"/>
        <w:tabs>
          <w:tab w:leader="none" w:pos="540" w:val="left"/>
        </w:tabs>
        <w:numPr>
          <w:ilvl w:val="0"/>
          <w:numId w:val="100"/>
        </w:numPr>
        <w:rPr>
          <w:rFonts w:ascii="Times New Roman" w:cs="Times New Roman" w:eastAsia="Times New Roman" w:hAnsi="Times New Roman"/>
          <w:sz w:val="18"/>
          <w:szCs w:val="18"/>
          <w:b w:val="1"/>
          <w:bCs w:val="1"/>
          <w:color w:val="FFFFFF"/>
        </w:rPr>
      </w:pPr>
      <w:r>
        <w:rPr>
          <w:rFonts w:ascii="Times New Roman" w:cs="Times New Roman" w:eastAsia="Times New Roman" w:hAnsi="Times New Roman"/>
          <w:sz w:val="18"/>
          <w:szCs w:val="18"/>
          <w:b w:val="1"/>
          <w:bCs w:val="1"/>
          <w:color w:val="auto"/>
        </w:rPr>
        <w:t>Proposals – The Board of Directors recommend a vote FOR Proposals 1 – 14.</w:t>
      </w:r>
    </w:p>
    <w:p>
      <w:pPr>
        <w:sectPr>
          <w:pgSz w:w="11900" w:h="16838" w:orient="portrait"/>
          <w:cols w:equalWidth="0" w:num="1">
            <w:col w:w="11120"/>
          </w:cols>
          <w:pgMar w:left="320" w:top="455" w:right="459" w:bottom="727" w:gutter="0" w:footer="0" w:header="0"/>
          <w:type w:val="continuous"/>
        </w:sectPr>
      </w:pPr>
    </w:p>
    <w:p>
      <w:pPr>
        <w:spacing w:after="0" w:line="90" w:lineRule="exact"/>
        <w:rPr>
          <w:sz w:val="20"/>
          <w:szCs w:val="20"/>
          <w:color w:val="auto"/>
        </w:rPr>
      </w:pPr>
    </w:p>
    <w:p>
      <w:pPr>
        <w:ind w:left="260" w:right="760" w:hanging="143"/>
        <w:spacing w:after="0" w:line="261" w:lineRule="auto"/>
        <w:rPr>
          <w:sz w:val="20"/>
          <w:szCs w:val="20"/>
          <w:color w:val="auto"/>
        </w:rPr>
      </w:pPr>
      <w:r>
        <w:rPr>
          <w:rFonts w:ascii="Times New Roman" w:cs="Times New Roman" w:eastAsia="Times New Roman" w:hAnsi="Times New Roman"/>
          <w:sz w:val="14"/>
          <w:szCs w:val="14"/>
          <w:color w:val="auto"/>
        </w:rPr>
        <w:t>1. To elect seven directors to serve for a one-year term or until their respective successors have been duly elected and qualified;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400" w:type="dxa"/>
            <w:vAlign w:val="bottom"/>
          </w:tcPr>
          <w:p>
            <w:pPr>
              <w:spacing w:after="0"/>
              <w:rPr>
                <w:sz w:val="13"/>
                <w:szCs w:val="13"/>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For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0" w:type="dxa"/>
            <w:vAlign w:val="bottom"/>
          </w:tcPr>
          <w:p>
            <w:pPr>
              <w:spacing w:after="0"/>
              <w:rPr>
                <w:sz w:val="1"/>
                <w:szCs w:val="1"/>
                <w:color w:val="auto"/>
              </w:rPr>
            </w:pPr>
          </w:p>
        </w:tc>
      </w:tr>
      <w:tr>
        <w:trPr>
          <w:trHeight w:val="287"/>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Lou Panaccio</w:t>
            </w:r>
          </w:p>
        </w:tc>
        <w:tc>
          <w:tcPr>
            <w:tcW w:w="4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2160" w:type="dxa"/>
            <w:vAlign w:val="bottom"/>
            <w:gridSpan w:val="2"/>
            <w:vMerge w:val="restart"/>
          </w:tcPr>
          <w:p>
            <w:pPr>
              <w:ind w:left="220"/>
              <w:spacing w:after="0" w:line="380" w:lineRule="exact"/>
              <w:rPr>
                <w:sz w:val="20"/>
                <w:szCs w:val="20"/>
                <w:color w:val="auto"/>
              </w:rPr>
            </w:pPr>
            <w:r>
              <w:rPr>
                <w:rFonts w:ascii="MS PGothic" w:cs="MS PGothic" w:eastAsia="MS PGothic" w:hAnsi="MS PGothic"/>
                <w:sz w:val="44"/>
                <w:szCs w:val="44"/>
                <w:color w:val="auto"/>
                <w:vertAlign w:val="superscript"/>
              </w:rPr>
              <w:t>☐</w:t>
            </w:r>
            <w:r>
              <w:rPr>
                <w:rFonts w:ascii="Times New Roman" w:cs="Times New Roman" w:eastAsia="Times New Roman" w:hAnsi="Times New Roman"/>
                <w:sz w:val="13"/>
                <w:szCs w:val="13"/>
                <w:color w:val="auto"/>
              </w:rPr>
              <w:t xml:space="preserve"> 05 - Jan Stern Reed</w:t>
            </w:r>
          </w:p>
        </w:tc>
        <w:tc>
          <w:tcPr>
            <w:tcW w:w="560" w:type="dxa"/>
            <w:vAlign w:val="bottom"/>
            <w:vMerge w:val="restart"/>
          </w:tcPr>
          <w:p>
            <w:pPr>
              <w:jc w:val="right"/>
              <w:spacing w:after="0" w:line="291" w:lineRule="exact"/>
              <w:rPr>
                <w:sz w:val="20"/>
                <w:szCs w:val="20"/>
                <w:color w:val="auto"/>
              </w:rPr>
            </w:pPr>
            <w:r>
              <w:rPr>
                <w:rFonts w:ascii="MS PGothic" w:cs="MS PGothic" w:eastAsia="MS PGothic" w:hAnsi="MS PGothic"/>
                <w:sz w:val="29"/>
                <w:szCs w:val="29"/>
                <w:color w:val="auto"/>
              </w:rPr>
              <w:t>☐</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James Corbett</w:t>
            </w:r>
          </w:p>
        </w:tc>
        <w:tc>
          <w:tcPr>
            <w:tcW w:w="40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2160" w:type="dxa"/>
            <w:vAlign w:val="bottom"/>
            <w:gridSpan w:val="2"/>
          </w:tcPr>
          <w:p>
            <w:pPr>
              <w:ind w:left="220"/>
              <w:spacing w:after="0" w:line="322" w:lineRule="exact"/>
              <w:rPr>
                <w:sz w:val="20"/>
                <w:szCs w:val="20"/>
                <w:color w:val="auto"/>
              </w:rPr>
            </w:pPr>
            <w:r>
              <w:rPr>
                <w:rFonts w:ascii="MS PGothic" w:cs="MS PGothic" w:eastAsia="MS PGothic" w:hAnsi="MS PGothic"/>
                <w:sz w:val="28"/>
                <w:szCs w:val="28"/>
                <w:color w:val="auto"/>
              </w:rPr>
              <w:t>☐</w:t>
            </w:r>
            <w:r>
              <w:rPr>
                <w:rFonts w:ascii="Times New Roman" w:cs="Times New Roman" w:eastAsia="Times New Roman" w:hAnsi="Times New Roman"/>
                <w:sz w:val="14"/>
                <w:szCs w:val="14"/>
                <w:color w:val="auto"/>
              </w:rPr>
              <w:t xml:space="preserve"> 06 - Robert McNamara</w:t>
            </w:r>
          </w:p>
        </w:tc>
        <w:tc>
          <w:tcPr>
            <w:tcW w:w="560" w:type="dxa"/>
            <w:vAlign w:val="bottom"/>
          </w:tcPr>
          <w:p>
            <w:pPr>
              <w:jc w:val="right"/>
              <w:spacing w:after="0" w:line="291" w:lineRule="exact"/>
              <w:rPr>
                <w:sz w:val="20"/>
                <w:szCs w:val="20"/>
                <w:color w:val="auto"/>
              </w:rPr>
            </w:pPr>
            <w:r>
              <w:rPr>
                <w:rFonts w:ascii="MS PGothic" w:cs="MS PGothic" w:eastAsia="MS PGothic" w:hAnsi="MS PGothic"/>
                <w:sz w:val="29"/>
                <w:szCs w:val="29"/>
                <w:color w:val="auto"/>
              </w:rPr>
              <w:t>☐</w:t>
            </w:r>
          </w:p>
        </w:tc>
        <w:tc>
          <w:tcPr>
            <w:tcW w:w="600" w:type="dxa"/>
            <w:vAlign w:val="bottom"/>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18"/>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Jeremy Curnock</w:t>
            </w:r>
          </w:p>
        </w:tc>
        <w:tc>
          <w:tcPr>
            <w:tcW w:w="4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1760" w:type="dxa"/>
            <w:vAlign w:val="bottom"/>
            <w:vMerge w:val="restart"/>
          </w:tcPr>
          <w:p>
            <w:pPr>
              <w:ind w:left="220"/>
              <w:spacing w:after="0" w:line="322" w:lineRule="exact"/>
              <w:rPr>
                <w:sz w:val="20"/>
                <w:szCs w:val="20"/>
                <w:color w:val="auto"/>
              </w:rPr>
            </w:pPr>
            <w:r>
              <w:rPr>
                <w:rFonts w:ascii="MS PGothic" w:cs="MS PGothic" w:eastAsia="MS PGothic" w:hAnsi="MS PGothic"/>
                <w:sz w:val="28"/>
                <w:szCs w:val="28"/>
                <w:color w:val="auto"/>
              </w:rPr>
              <w:t>☐</w:t>
            </w:r>
            <w:r>
              <w:rPr>
                <w:rFonts w:ascii="Times New Roman" w:cs="Times New Roman" w:eastAsia="Times New Roman" w:hAnsi="Times New Roman"/>
                <w:sz w:val="14"/>
                <w:szCs w:val="14"/>
                <w:color w:val="auto"/>
              </w:rPr>
              <w:t xml:space="preserve"> 07 - Cary Vance</w:t>
            </w:r>
          </w:p>
        </w:tc>
        <w:tc>
          <w:tcPr>
            <w:tcW w:w="400" w:type="dxa"/>
            <w:vAlign w:val="bottom"/>
          </w:tcPr>
          <w:p>
            <w:pPr>
              <w:spacing w:after="0"/>
              <w:rPr>
                <w:sz w:val="18"/>
                <w:szCs w:val="18"/>
                <w:color w:val="auto"/>
              </w:rPr>
            </w:pPr>
          </w:p>
        </w:tc>
        <w:tc>
          <w:tcPr>
            <w:tcW w:w="560" w:type="dxa"/>
            <w:vAlign w:val="bottom"/>
            <w:vMerge w:val="restart"/>
          </w:tcPr>
          <w:p>
            <w:pPr>
              <w:jc w:val="right"/>
              <w:spacing w:after="0" w:line="291" w:lineRule="exact"/>
              <w:rPr>
                <w:sz w:val="20"/>
                <w:szCs w:val="20"/>
                <w:color w:val="auto"/>
              </w:rPr>
            </w:pPr>
            <w:r>
              <w:rPr>
                <w:rFonts w:ascii="MS PGothic" w:cs="MS PGothic" w:eastAsia="MS PGothic" w:hAnsi="MS PGothic"/>
                <w:sz w:val="29"/>
                <w:szCs w:val="29"/>
                <w:color w:val="auto"/>
              </w:rPr>
              <w:t>☐</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126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Cook</w:t>
            </w:r>
          </w:p>
        </w:tc>
        <w:tc>
          <w:tcPr>
            <w:tcW w:w="40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Professor Suzanne</w:t>
            </w:r>
          </w:p>
        </w:tc>
        <w:tc>
          <w:tcPr>
            <w:tcW w:w="4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1760" w:type="dxa"/>
            <w:vAlign w:val="bottom"/>
            <w:vMerge w:val="restart"/>
          </w:tcPr>
          <w:p>
            <w:pPr>
              <w:ind w:left="220"/>
              <w:spacing w:after="0" w:line="291" w:lineRule="exact"/>
              <w:rPr>
                <w:sz w:val="20"/>
                <w:szCs w:val="20"/>
                <w:color w:val="auto"/>
              </w:rPr>
            </w:pPr>
            <w:r>
              <w:rPr>
                <w:rFonts w:ascii="MS PGothic" w:cs="MS PGothic" w:eastAsia="MS PGothic" w:hAnsi="MS PGothic"/>
                <w:sz w:val="29"/>
                <w:szCs w:val="29"/>
                <w:color w:val="auto"/>
              </w:rPr>
              <w: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Crowe</w:t>
            </w:r>
          </w:p>
        </w:tc>
        <w:tc>
          <w:tcPr>
            <w:tcW w:w="40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700" w:type="dxa"/>
            <w:vAlign w:val="bottom"/>
            <w:gridSpan w:val="4"/>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2. The ratification of the appointment of Grant Thornton LLP</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53"/>
        </w:trPr>
        <w:tc>
          <w:tcPr>
            <w:tcW w:w="3700" w:type="dxa"/>
            <w:vAlign w:val="bottom"/>
            <w:gridSpan w:val="4"/>
            <w:vMerge w:val="continue"/>
          </w:tcPr>
          <w:p>
            <w:pPr>
              <w:spacing w:after="0"/>
              <w:rPr>
                <w:sz w:val="13"/>
                <w:szCs w:val="13"/>
                <w:color w:val="auto"/>
              </w:rPr>
            </w:pPr>
          </w:p>
        </w:tc>
        <w:tc>
          <w:tcPr>
            <w:tcW w:w="960" w:type="dxa"/>
            <w:vAlign w:val="bottom"/>
            <w:gridSpan w:val="2"/>
            <w:vMerge w:val="restart"/>
          </w:tcPr>
          <w:p>
            <w:pPr>
              <w:jc w:val="right"/>
              <w:ind w:right="5"/>
              <w:spacing w:after="0" w:line="291" w:lineRule="exact"/>
              <w:rPr>
                <w:sz w:val="20"/>
                <w:szCs w:val="20"/>
                <w:color w:val="auto"/>
              </w:rPr>
            </w:pPr>
            <w:r>
              <w:rPr>
                <w:rFonts w:ascii="MS PGothic" w:cs="MS PGothic" w:eastAsia="MS PGothic" w:hAnsi="MS PGothic"/>
                <w:sz w:val="29"/>
                <w:szCs w:val="29"/>
                <w:color w:val="auto"/>
              </w:rPr>
              <w:t>☐ ☐</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48"/>
        </w:trPr>
        <w:tc>
          <w:tcPr>
            <w:tcW w:w="3700" w:type="dxa"/>
            <w:vAlign w:val="bottom"/>
            <w:gridSpan w:val="4"/>
          </w:tcPr>
          <w:p>
            <w:pPr>
              <w:jc w:val="center"/>
              <w:ind w:right="95"/>
              <w:spacing w:after="0" w:line="149" w:lineRule="exact"/>
              <w:rPr>
                <w:sz w:val="20"/>
                <w:szCs w:val="20"/>
                <w:color w:val="auto"/>
              </w:rPr>
            </w:pPr>
            <w:r>
              <w:rPr>
                <w:rFonts w:ascii="Times New Roman" w:cs="Times New Roman" w:eastAsia="Times New Roman" w:hAnsi="Times New Roman"/>
                <w:sz w:val="14"/>
                <w:szCs w:val="14"/>
                <w:color w:val="auto"/>
              </w:rPr>
              <w:t>as our independent public accountants for the fiscal year</w:t>
            </w:r>
          </w:p>
        </w:tc>
        <w:tc>
          <w:tcPr>
            <w:tcW w:w="9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ending December 31, 2023;</w:t>
            </w: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3. To approve the grant of restricted stock units to acquire</w:t>
            </w:r>
          </w:p>
        </w:tc>
        <w:tc>
          <w:tcPr>
            <w:tcW w:w="960" w:type="dxa"/>
            <w:vAlign w:val="bottom"/>
            <w:gridSpan w:val="2"/>
            <w:vMerge w:val="restart"/>
          </w:tcPr>
          <w:p>
            <w:pPr>
              <w:jc w:val="right"/>
              <w:ind w:right="5"/>
              <w:spacing w:after="0" w:line="291" w:lineRule="exact"/>
              <w:rPr>
                <w:sz w:val="20"/>
                <w:szCs w:val="20"/>
                <w:color w:val="auto"/>
              </w:rPr>
            </w:pPr>
            <w:r>
              <w:rPr>
                <w:rFonts w:ascii="MS PGothic" w:cs="MS PGothic" w:eastAsia="MS PGothic" w:hAnsi="MS PGothic"/>
                <w:sz w:val="29"/>
                <w:szCs w:val="29"/>
                <w:color w:val="auto"/>
              </w:rPr>
              <w:t>☐ ☐</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65"/>
        </w:trPr>
        <w:tc>
          <w:tcPr>
            <w:tcW w:w="370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color w:val="auto"/>
              </w:rPr>
              <w:t>shares of Common Stock (which may be represented by</w:t>
            </w:r>
          </w:p>
        </w:tc>
        <w:tc>
          <w:tcPr>
            <w:tcW w:w="9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260"/>
        <w:spacing w:after="0" w:line="221" w:lineRule="auto"/>
        <w:rPr>
          <w:sz w:val="20"/>
          <w:szCs w:val="20"/>
          <w:color w:val="auto"/>
        </w:rPr>
      </w:pPr>
      <w:r>
        <w:rPr>
          <w:rFonts w:ascii="Times New Roman" w:cs="Times New Roman" w:eastAsia="Times New Roman" w:hAnsi="Times New Roman"/>
          <w:sz w:val="14"/>
          <w:szCs w:val="14"/>
          <w:color w:val="auto"/>
        </w:rPr>
        <w:t>CDIs) equal in value to $87,500 (at the time of the grant) and</w:t>
      </w:r>
    </w:p>
    <w:p>
      <w:pPr>
        <w:ind w:left="260"/>
        <w:spacing w:after="0" w:line="221" w:lineRule="auto"/>
        <w:rPr>
          <w:sz w:val="20"/>
          <w:szCs w:val="20"/>
          <w:color w:val="auto"/>
        </w:rPr>
      </w:pPr>
      <w:r>
        <w:rPr>
          <w:rFonts w:ascii="Times New Roman" w:cs="Times New Roman" w:eastAsia="Times New Roman" w:hAnsi="Times New Roman"/>
          <w:sz w:val="14"/>
          <w:szCs w:val="14"/>
          <w:color w:val="auto"/>
        </w:rPr>
        <w:t>the grant of options to acquire shares of Common Stock</w:t>
      </w:r>
    </w:p>
    <w:p>
      <w:pPr>
        <w:ind w:left="260"/>
        <w:spacing w:after="0" w:line="222" w:lineRule="auto"/>
        <w:rPr>
          <w:sz w:val="20"/>
          <w:szCs w:val="20"/>
          <w:color w:val="auto"/>
        </w:rPr>
      </w:pPr>
      <w:r>
        <w:rPr>
          <w:rFonts w:ascii="Times New Roman" w:cs="Times New Roman" w:eastAsia="Times New Roman" w:hAnsi="Times New Roman"/>
          <w:sz w:val="14"/>
          <w:szCs w:val="14"/>
          <w:color w:val="auto"/>
        </w:rPr>
        <w:t>(which may be represented by CDIs) equal in value to</w:t>
      </w:r>
    </w:p>
    <w:p>
      <w:pPr>
        <w:ind w:left="260"/>
        <w:spacing w:after="0" w:line="221" w:lineRule="auto"/>
        <w:rPr>
          <w:sz w:val="20"/>
          <w:szCs w:val="20"/>
          <w:color w:val="auto"/>
        </w:rPr>
      </w:pPr>
      <w:r>
        <w:rPr>
          <w:rFonts w:ascii="Times New Roman" w:cs="Times New Roman" w:eastAsia="Times New Roman" w:hAnsi="Times New Roman"/>
          <w:sz w:val="14"/>
          <w:szCs w:val="14"/>
          <w:color w:val="auto"/>
        </w:rPr>
        <w:t>$37,500 (at the time of the grant) to Mr. Lou Panaccio on the</w:t>
      </w:r>
    </w:p>
    <w:p>
      <w:pPr>
        <w:ind w:left="260"/>
        <w:spacing w:after="0" w:line="221" w:lineRule="auto"/>
        <w:rPr>
          <w:sz w:val="20"/>
          <w:szCs w:val="20"/>
          <w:color w:val="auto"/>
        </w:rPr>
      </w:pPr>
      <w:r>
        <w:rPr>
          <w:rFonts w:ascii="Times New Roman" w:cs="Times New Roman" w:eastAsia="Times New Roman" w:hAnsi="Times New Roman"/>
          <w:sz w:val="14"/>
          <w:szCs w:val="14"/>
          <w:color w:val="auto"/>
        </w:rPr>
        <w:t>terms and conditions set out in this Proxy Statement,</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and for the purposes of ASX Listing Rule 10.11;</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400"/>
        <w:spacing w:after="0"/>
        <w:tabs>
          <w:tab w:leader="none" w:pos="3760" w:val="left"/>
          <w:tab w:leader="none" w:pos="4360" w:val="left"/>
        </w:tabs>
        <w:rPr>
          <w:sz w:val="20"/>
          <w:szCs w:val="20"/>
          <w:color w:val="auto"/>
        </w:rPr>
      </w:pPr>
      <w:r>
        <w:rPr>
          <w:rFonts w:ascii="Times New Roman" w:cs="Times New Roman" w:eastAsia="Times New Roman" w:hAnsi="Times New Roman"/>
          <w:sz w:val="14"/>
          <w:szCs w:val="14"/>
          <w:b w:val="1"/>
          <w:bCs w:val="1"/>
          <w:color w:val="auto"/>
        </w:rPr>
        <w:t>For</w:t>
        <w:tab/>
        <w:t>Against</w:t>
        <w:tab/>
        <w:t>Abstain</w:t>
      </w:r>
    </w:p>
    <w:p>
      <w:pPr>
        <w:spacing w:after="0" w:line="191" w:lineRule="auto"/>
        <w:rPr>
          <w:sz w:val="20"/>
          <w:szCs w:val="20"/>
          <w:color w:val="auto"/>
        </w:rPr>
      </w:pPr>
      <w:r>
        <w:rPr>
          <w:rFonts w:ascii="Times New Roman" w:cs="Times New Roman" w:eastAsia="Times New Roman" w:hAnsi="Times New Roman"/>
          <w:sz w:val="14"/>
          <w:szCs w:val="14"/>
          <w:color w:val="auto"/>
        </w:rPr>
        <w:t>4. To approve the grant of restricted stock units to</w:t>
      </w:r>
    </w:p>
    <w:p>
      <w:pPr>
        <w:ind w:left="140"/>
        <w:spacing w:after="0" w:line="169" w:lineRule="exact"/>
        <w:tabs>
          <w:tab w:leader="none" w:pos="3360" w:val="left"/>
          <w:tab w:leader="none" w:pos="4480" w:val="left"/>
        </w:tabs>
        <w:rPr>
          <w:sz w:val="20"/>
          <w:szCs w:val="20"/>
          <w:color w:val="auto"/>
        </w:rPr>
      </w:pPr>
      <w:r>
        <w:rPr>
          <w:rFonts w:ascii="Times New Roman" w:cs="Times New Roman" w:eastAsia="Times New Roman" w:hAnsi="Times New Roman"/>
          <w:sz w:val="14"/>
          <w:szCs w:val="14"/>
          <w:color w:val="auto"/>
        </w:rPr>
        <w:t>acquire shares of Common Stock (which may be</w:t>
      </w:r>
      <w:r>
        <w:rPr>
          <w:sz w:val="20"/>
          <w:szCs w:val="20"/>
          <w:color w:val="auto"/>
        </w:rPr>
        <w:tab/>
      </w:r>
      <w:r>
        <w:rPr>
          <w:rFonts w:ascii="MS PGothic" w:cs="MS PGothic" w:eastAsia="MS PGothic" w:hAnsi="MS PGothic"/>
          <w:sz w:val="22"/>
          <w:szCs w:val="22"/>
          <w:color w:val="auto"/>
        </w:rPr>
        <w:t>☐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-46355</wp:posOffset>
            </wp:positionV>
            <wp:extent cx="179705"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ind w:left="140" w:right="2120"/>
        <w:spacing w:after="0" w:line="224" w:lineRule="auto"/>
        <w:rPr>
          <w:sz w:val="20"/>
          <w:szCs w:val="20"/>
          <w:color w:val="auto"/>
        </w:rPr>
      </w:pPr>
      <w:r>
        <w:rPr>
          <w:rFonts w:ascii="Times New Roman" w:cs="Times New Roman" w:eastAsia="Times New Roman" w:hAnsi="Times New Roman"/>
          <w:sz w:val="14"/>
          <w:szCs w:val="14"/>
          <w:color w:val="auto"/>
        </w:rPr>
        <w:t>represented by CDIs) equal in value to $87,500 (at the time of the grant) and the grant of options to acquire shares of Common Stock (which may be represented by CDIs) equal in value to $37,500 (at the time of the grant) to Professor Suzanne Crowe on the terms and conditions set out in this Proxy Statement, pursuant to and for the purposes of ASX Listing Rule 10.11;</w:t>
      </w:r>
    </w:p>
    <w:p>
      <w:pPr>
        <w:spacing w:after="0" w:line="1" w:lineRule="exact"/>
        <w:rPr>
          <w:sz w:val="20"/>
          <w:szCs w:val="20"/>
          <w:color w:val="auto"/>
        </w:rPr>
      </w:pPr>
    </w:p>
    <w:p>
      <w:pPr>
        <w:jc w:val="right"/>
        <w:ind w:right="20"/>
        <w:spacing w:after="0" w:line="189" w:lineRule="exact"/>
        <w:rPr>
          <w:sz w:val="20"/>
          <w:szCs w:val="20"/>
          <w:color w:val="auto"/>
        </w:rPr>
      </w:pPr>
      <w:r>
        <w:rPr>
          <w:rFonts w:ascii="Times New Roman" w:cs="Times New Roman" w:eastAsia="Times New Roman" w:hAnsi="Times New Roman"/>
          <w:sz w:val="12"/>
          <w:szCs w:val="12"/>
          <w:color w:val="auto"/>
        </w:rPr>
        <w:t xml:space="preserve">5. To approve the grant of restricted stock units to acquire shares   </w:t>
      </w:r>
      <w:r>
        <w:rPr>
          <w:rFonts w:ascii="Times New Roman" w:cs="Times New Roman" w:eastAsia="Times New Roman" w:hAnsi="Times New Roman"/>
          <w:sz w:val="21"/>
          <w:szCs w:val="21"/>
          <w:b w:val="1"/>
          <w:bCs w:val="1"/>
          <w:color w:val="auto"/>
          <w:vertAlign w:val="superscript"/>
        </w:rPr>
        <w:t>For  Against  Abstain</w:t>
      </w:r>
      <w:r>
        <w:rPr>
          <w:rFonts w:ascii="Times New Roman" w:cs="Times New Roman" w:eastAsia="Times New Roman" w:hAnsi="Times New Roman"/>
          <w:sz w:val="12"/>
          <w:szCs w:val="12"/>
          <w:color w:val="auto"/>
        </w:rPr>
        <w:t xml:space="preserve"> of Common Stock (which may be represented by CDIs) equal   </w:t>
      </w:r>
      <w:r>
        <w:rPr>
          <w:rFonts w:ascii="MS PGothic" w:cs="MS PGothic" w:eastAsia="MS PGothic" w:hAnsi="MS PGothic"/>
          <w:sz w:val="21"/>
          <w:szCs w:val="21"/>
          <w:color w:val="auto"/>
        </w:rPr>
        <w:t>☐ ☐  ☐</w:t>
      </w:r>
    </w:p>
    <w:p>
      <w:pPr>
        <w:spacing w:after="0" w:line="2" w:lineRule="exact"/>
        <w:rPr>
          <w:sz w:val="20"/>
          <w:szCs w:val="20"/>
          <w:color w:val="auto"/>
        </w:rPr>
      </w:pPr>
    </w:p>
    <w:p>
      <w:pPr>
        <w:ind w:left="140" w:right="1660"/>
        <w:spacing w:after="0" w:line="227" w:lineRule="auto"/>
        <w:rPr>
          <w:sz w:val="20"/>
          <w:szCs w:val="20"/>
          <w:color w:val="auto"/>
        </w:rPr>
      </w:pPr>
      <w:r>
        <w:rPr>
          <w:rFonts w:ascii="Times New Roman" w:cs="Times New Roman" w:eastAsia="Times New Roman" w:hAnsi="Times New Roman"/>
          <w:sz w:val="14"/>
          <w:szCs w:val="14"/>
          <w:color w:val="auto"/>
        </w:rPr>
        <w:t>in value to $87,500 (at the time of the grant) and the grant of options to acquire shares of Common Stock (which may be represented by CDIs) equal in value to $37,500 (at the time of the grant) to Mr. Jeremy Curnock Cook on the terms and conditions set out in this Proxy Statement, pursuant to and for the purposes of ASX Listing Rule 10.11;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6. To approve the grant of restricted stock units to acquire shares</w:t>
            </w:r>
          </w:p>
        </w:tc>
        <w:tc>
          <w:tcPr>
            <w:tcW w:w="1020" w:type="dxa"/>
            <w:vAlign w:val="bottom"/>
            <w:vMerge w:val="restart"/>
          </w:tcPr>
          <w:p>
            <w:pPr>
              <w:ind w:left="80"/>
              <w:spacing w:after="0" w:line="291" w:lineRule="exact"/>
              <w:rPr>
                <w:sz w:val="20"/>
                <w:szCs w:val="20"/>
                <w:color w:val="auto"/>
              </w:rPr>
            </w:pPr>
            <w:r>
              <w:rPr>
                <w:rFonts w:ascii="MS PGothic" w:cs="MS PGothic" w:eastAsia="MS PGothic" w:hAnsi="MS PGothic"/>
                <w:sz w:val="29"/>
                <w:szCs w:val="29"/>
                <w:color w:val="auto"/>
              </w:rPr>
              <w:t>☐ ☐</w:t>
            </w:r>
          </w:p>
        </w:tc>
        <w:tc>
          <w:tcPr>
            <w:tcW w:w="440" w:type="dxa"/>
            <w:vAlign w:val="bottom"/>
            <w:vMerge w:val="restart"/>
          </w:tcPr>
          <w:p>
            <w:pPr>
              <w:ind w:left="180"/>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Common Stock (which may be represented by CDIs) equal</w:t>
            </w:r>
          </w:p>
        </w:tc>
        <w:tc>
          <w:tcPr>
            <w:tcW w:w="10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value to $87,500 (at the time of the grant) and the grant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options to acquire shares of Common Stock (which may be</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represented by CDIs) equal in value to $37,500 (at the time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grant) to Ms. Jan Stern Reed on the terms and conditions</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set out in this Proxy Statement, pursuant to and for the</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purposes of ASX Listing Rule 10.11;</w:t>
            </w:r>
          </w:p>
        </w:tc>
        <w:tc>
          <w:tcPr>
            <w:tcW w:w="1020" w:type="dxa"/>
            <w:vAlign w:val="bottom"/>
            <w:vMerge w:val="restart"/>
          </w:tcPr>
          <w:p>
            <w:pPr>
              <w:ind w:left="80"/>
              <w:spacing w:after="0" w:line="291" w:lineRule="exact"/>
              <w:rPr>
                <w:sz w:val="20"/>
                <w:szCs w:val="20"/>
                <w:color w:val="auto"/>
              </w:rPr>
            </w:pPr>
            <w:r>
              <w:rPr>
                <w:rFonts w:ascii="MS PGothic" w:cs="MS PGothic" w:eastAsia="MS PGothic" w:hAnsi="MS PGothic"/>
                <w:sz w:val="29"/>
                <w:szCs w:val="29"/>
                <w:color w:val="auto"/>
              </w:rPr>
              <w:t>☐ ☐</w:t>
            </w:r>
          </w:p>
        </w:tc>
        <w:tc>
          <w:tcPr>
            <w:tcW w:w="440" w:type="dxa"/>
            <w:vAlign w:val="bottom"/>
            <w:vMerge w:val="restart"/>
          </w:tcPr>
          <w:p>
            <w:pPr>
              <w:ind w:left="180"/>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7. To approve the grant of restricted stock units to acquire shares</w:t>
            </w:r>
          </w:p>
        </w:tc>
        <w:tc>
          <w:tcPr>
            <w:tcW w:w="10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Common Stock (which may be represented by CDIs) equal</w:t>
            </w:r>
          </w:p>
        </w:tc>
        <w:tc>
          <w:tcPr>
            <w:tcW w:w="10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value to $147,000 (at the time of the grant) and the grant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options to acquire shares of Common Stock (which may be</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represented by CDIs) equal in value to $63,000 (at the time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grant) to Mr. Robert McNamara on the terms and</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conditions set out in this Proxy Statement, pursuant to and for</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purposes of ASX Listing Rule 10.11, in recognition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Mr. McNamara being appointed as a new director of the</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Company during 2023;</w:t>
            </w: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80" w:space="360"/>
            <w:col w:w="5380"/>
          </w:cols>
          <w:pgMar w:left="320" w:top="455" w:right="459" w:bottom="727" w:gutter="0" w:footer="0" w:header="0"/>
          <w:type w:val="continuous"/>
        </w:sectPr>
      </w:pPr>
    </w:p>
    <w:tbl>
      <w:tblPr>
        <w:tblLayout w:type="fixed"/>
        <w:tblInd w:w="5740" w:type="dxa"/>
        <w:tblCellMar>
          <w:top w:w="0" w:type="dxa"/>
          <w:left w:w="0" w:type="dxa"/>
          <w:bottom w:w="0" w:type="dxa"/>
          <w:right w:w="0" w:type="dxa"/>
        </w:tblCellMar>
      </w:tblPr>
      <w:tr>
        <w:trPr>
          <w:trHeight w:val="176"/>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8. To approve the grant of restricted stock units to acquire shares</w:t>
            </w:r>
          </w:p>
        </w:tc>
        <w:tc>
          <w:tcPr>
            <w:tcW w:w="1020" w:type="dxa"/>
            <w:vAlign w:val="bottom"/>
            <w:vMerge w:val="restart"/>
          </w:tcPr>
          <w:p>
            <w:pPr>
              <w:ind w:left="80"/>
              <w:spacing w:after="0" w:line="291" w:lineRule="exact"/>
              <w:rPr>
                <w:sz w:val="20"/>
                <w:szCs w:val="20"/>
                <w:color w:val="auto"/>
              </w:rPr>
            </w:pPr>
            <w:r>
              <w:rPr>
                <w:rFonts w:ascii="MS PGothic" w:cs="MS PGothic" w:eastAsia="MS PGothic" w:hAnsi="MS PGothic"/>
                <w:sz w:val="29"/>
                <w:szCs w:val="29"/>
                <w:color w:val="auto"/>
              </w:rPr>
              <w:t>☐ ☐</w:t>
            </w:r>
          </w:p>
        </w:tc>
        <w:tc>
          <w:tcPr>
            <w:tcW w:w="440" w:type="dxa"/>
            <w:vAlign w:val="bottom"/>
            <w:vMerge w:val="restart"/>
          </w:tcPr>
          <w:p>
            <w:pPr>
              <w:ind w:left="180"/>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Common Stock (which may be represented by CDIs) equal</w:t>
            </w:r>
          </w:p>
        </w:tc>
        <w:tc>
          <w:tcPr>
            <w:tcW w:w="10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value to $87,500 (at the time of the grant) and the grant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options to acquire shares of Common Stock (which may be</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represented by CDIs) equal in value to $37,500 (at the time of</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grant) to Mr. Robert McNamara on the terms and</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conditions set out in this Proxy Statement, pursuant to and for</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purposes of ASX Listing Rule 10.11;</w:t>
            </w: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120"/>
          </w:cols>
          <w:pgMar w:left="320" w:top="455" w:right="459" w:bottom="727" w:gutter="0" w:footer="0" w:header="0"/>
          <w:type w:val="continuous"/>
        </w:sectPr>
      </w:pPr>
    </w:p>
    <w:p>
      <w:pPr>
        <w:ind w:left="4000"/>
        <w:spacing w:after="0" w:line="373" w:lineRule="auto"/>
        <w:rPr>
          <w:sz w:val="20"/>
          <w:szCs w:val="20"/>
          <w:color w:val="auto"/>
        </w:rPr>
      </w:pPr>
      <w:r>
        <w:rPr>
          <w:rFonts w:ascii="Times New Roman" w:cs="Times New Roman" w:eastAsia="Times New Roman" w:hAnsi="Times New Roman"/>
          <w:sz w:val="22"/>
          <w:szCs w:val="22"/>
          <w:color w:val="EC008C"/>
        </w:rPr>
        <w:t xml:space="preserve">C 1234567890 J N T </w:t>
      </w:r>
      <w:r>
        <w:rPr>
          <w:rFonts w:ascii="Times New Roman" w:cs="Times New Roman" w:eastAsia="Times New Roman" w:hAnsi="Times New Roman"/>
          <w:sz w:val="22"/>
          <w:szCs w:val="22"/>
          <w:color w:val="000000"/>
        </w:rPr>
        <w:t xml:space="preserve">1 U P X </w:t>
      </w:r>
      <w:r>
        <w:rPr>
          <w:rFonts w:ascii="Times New Roman" w:cs="Times New Roman" w:eastAsia="Times New Roman" w:hAnsi="Times New Roman"/>
          <w:sz w:val="22"/>
          <w:szCs w:val="22"/>
          <w:color w:val="EC008C"/>
        </w:rPr>
        <w:t>5 7 5 7 2 4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-481330</wp:posOffset>
            </wp:positionV>
            <wp:extent cx="2288540" cy="540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8540" cy="540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60"/>
        <w:spacing w:after="0"/>
        <w:rPr>
          <w:sz w:val="20"/>
          <w:szCs w:val="20"/>
          <w:color w:val="auto"/>
        </w:rPr>
      </w:pPr>
      <w:r>
        <w:rPr>
          <w:rFonts w:ascii="Times New Roman" w:cs="Times New Roman" w:eastAsia="Times New Roman" w:hAnsi="Times New Roman"/>
          <w:sz w:val="14"/>
          <w:szCs w:val="14"/>
          <w:color w:val="EC008C"/>
        </w:rPr>
        <w:t>MR A SAMPLE (THIS AREA IS SET UP TO ACCOMMODATE 140 CHARACTERS) MR A SAMPLE AND MR A SAMPLE AND MR A SAMPLE AND MR A SAMPLE AND MR A SAMPLE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-8890</wp:posOffset>
            </wp:positionV>
            <wp:extent cx="17970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07" w:lineRule="exact"/>
        <w:rPr>
          <w:sz w:val="20"/>
          <w:szCs w:val="20"/>
          <w:color w:val="auto"/>
        </w:rPr>
      </w:pPr>
    </w:p>
    <w:p>
      <w:pPr>
        <w:ind w:right="860"/>
        <w:spacing w:after="0" w:line="239" w:lineRule="auto"/>
        <w:rPr>
          <w:sz w:val="20"/>
          <w:szCs w:val="20"/>
          <w:color w:val="auto"/>
        </w:rPr>
      </w:pPr>
      <w:r>
        <w:rPr>
          <w:rFonts w:ascii="Times New Roman" w:cs="Times New Roman" w:eastAsia="Times New Roman" w:hAnsi="Times New Roman"/>
          <w:sz w:val="14"/>
          <w:szCs w:val="14"/>
          <w:color w:val="EC008C"/>
        </w:rPr>
        <w:t>MR A SAMPLE AND MR A SAMPLE AND MR A SAMPLE AND</w:t>
      </w:r>
    </w:p>
    <w:p>
      <w:pPr>
        <w:spacing w:after="0" w:line="149" w:lineRule="exact"/>
        <w:rPr>
          <w:sz w:val="20"/>
          <w:szCs w:val="20"/>
          <w:color w:val="auto"/>
        </w:rPr>
      </w:pPr>
    </w:p>
    <w:p>
      <w:pPr>
        <w:sectPr>
          <w:pgSz w:w="11900" w:h="16838" w:orient="portrait"/>
          <w:cols w:equalWidth="0" w:num="2">
            <w:col w:w="6400" w:space="200"/>
            <w:col w:w="4520"/>
          </w:cols>
          <w:pgMar w:left="320" w:top="455" w:right="459" w:bottom="727"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color w:val="auto"/>
        </w:rPr>
        <w:t>03SV6E</w:t>
      </w:r>
    </w:p>
    <w:p>
      <w:pPr>
        <w:sectPr>
          <w:pgSz w:w="11900" w:h="16838" w:orient="portrait"/>
          <w:cols w:equalWidth="0" w:num="1">
            <w:col w:w="11120"/>
          </w:cols>
          <w:pgMar w:left="320" w:top="455" w:right="459" w:bottom="727"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3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5"/>
          <w:szCs w:val="25"/>
          <w:b w:val="1"/>
          <w:bCs w:val="1"/>
          <w:color w:val="auto"/>
        </w:rPr>
        <w:t>Proxy – Avita Medical, Inc.</w:t>
      </w: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Notice of 2023 Annual Meeting of Shareholders</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Proxy Solicited by Board of Directors for Annual Meeting – June 6, 2023</w:t>
      </w:r>
    </w:p>
    <w:p>
      <w:pPr>
        <w:spacing w:after="0" w:line="116"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Lou Panaccio, Chairman of the Board, and Donna Shiroma, General Counsel, or any of them, each with the power of substitution, are hereby authorized to represent and vote the shares of the undersigned, with all the powers which the undersigned would possess, at the Annual Meeting of Shareholders of Avita Medical, Inc. to be held at 3:00 p.m. (Pacific Daylight Time) on June 6, 2023 via the internet or at any postponement or adjournment thereof.</w:t>
      </w:r>
    </w:p>
    <w:p>
      <w:pPr>
        <w:spacing w:after="0" w:line="4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by the shareholder. If no such directions are indicated, the Proxies will have authority to vote FOR items 1 – 14.</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(Additional items to be voted appear on reverse side)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June 6, 2023 3:00pm, (Pacific Daylight Time) virtually via the internet at meetnow.global/MD7TYY7.</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access the virtual meeting, you must have the information that is printed in the shaded bar</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located on the reverse side of this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 for the Annual Meeting of Shareholders.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The material is available at: </w:t>
      </w:r>
      <w:r>
        <w:rPr>
          <w:rFonts w:ascii="Times New Roman" w:cs="Times New Roman" w:eastAsia="Times New Roman" w:hAnsi="Times New Roman"/>
          <w:sz w:val="18"/>
          <w:szCs w:val="18"/>
          <w:color w:val="auto"/>
        </w:rPr>
        <w:t>http://www.edocumentview.com/RCEL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160020</wp:posOffset>
            </wp:positionV>
            <wp:extent cx="5323205" cy="5746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23205" cy="574675"/>
                    </a:xfrm>
                    <a:prstGeom prst="rect">
                      <a:avLst/>
                    </a:prstGeom>
                    <a:noFill/>
                  </pic:spPr>
                </pic:pic>
              </a:graphicData>
            </a:graphic>
          </wp:anchor>
        </w:drawing>
      </w: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Small steps make an impact.</w:t>
      </w:r>
    </w:p>
    <w:p>
      <w:pPr>
        <w:spacing w:after="0" w:line="9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Help the environment by consenting to receive electronic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delivery, sign up at www.investorvote.com/RCEL</w:t>
      </w: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 xml:space="preserve">q </w:t>
      </w:r>
      <w:r>
        <w:rPr>
          <w:rFonts w:ascii="Times New Roman" w:cs="Times New Roman" w:eastAsia="Times New Roman" w:hAnsi="Times New Roman"/>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9.   To approve the grant of restricted stock units to acquire shares of Common Stock (which may be represented by CDIs) equal in value to $147,000 (at</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80" w:type="dxa"/>
            <w:vAlign w:val="bottom"/>
            <w:vMerge w:val="continue"/>
          </w:tcPr>
          <w:p>
            <w:pPr>
              <w:spacing w:after="0"/>
              <w:rPr>
                <w:sz w:val="13"/>
                <w:szCs w:val="13"/>
                <w:color w:val="auto"/>
              </w:rPr>
            </w:pPr>
          </w:p>
        </w:tc>
        <w:tc>
          <w:tcPr>
            <w:tcW w:w="880" w:type="dxa"/>
            <w:vAlign w:val="bottom"/>
            <w:gridSpan w:val="2"/>
            <w:vMerge w:val="restart"/>
          </w:tcPr>
          <w:p>
            <w:pPr>
              <w:ind w:left="20"/>
              <w:spacing w:after="0" w:line="291" w:lineRule="exact"/>
              <w:rPr>
                <w:sz w:val="20"/>
                <w:szCs w:val="20"/>
                <w:color w:val="auto"/>
              </w:rPr>
            </w:pPr>
            <w:r>
              <w:rPr>
                <w:rFonts w:ascii="MS PGothic" w:cs="MS PGothic" w:eastAsia="MS PGothic" w:hAnsi="MS PGothic"/>
                <w:sz w:val="29"/>
                <w:szCs w:val="29"/>
                <w:color w:val="auto"/>
              </w:rPr>
              <w:t>☐ ☐</w:t>
            </w:r>
          </w:p>
        </w:tc>
        <w:tc>
          <w:tcPr>
            <w:tcW w:w="6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time of the grant) and the grant of options to acquire shares of Common Stock (which may be represented by CDIs) equal in value to $63,000 (at</w:t>
            </w: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time of the grant) to Mr. Cary Vance on the terms and conditions set out in this Proxy Statement, pursuant to and for the purposes of ASX</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Listing Rule 10.11, in recognition of Mr. Vance being appointed as a new director of the Company during 2023;</w:t>
            </w:r>
          </w:p>
        </w:tc>
        <w:tc>
          <w:tcPr>
            <w:tcW w:w="360" w:type="dxa"/>
            <w:vAlign w:val="bottom"/>
          </w:tcPr>
          <w:p>
            <w:pPr>
              <w:spacing w:after="0"/>
              <w:rPr>
                <w:sz w:val="16"/>
                <w:szCs w:val="16"/>
                <w:color w:val="auto"/>
              </w:rPr>
            </w:pP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04"/>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10. To approve the grant of restricted stock units to acquire shares of Common Stock (which may be represented by CDIs) equal in value to $87,500 (at the time</w:t>
            </w:r>
          </w:p>
        </w:tc>
        <w:tc>
          <w:tcPr>
            <w:tcW w:w="5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9240" w:type="dxa"/>
            <w:vAlign w:val="bottom"/>
            <w:gridSpan w:val="2"/>
            <w:vMerge w:val="continue"/>
          </w:tcPr>
          <w:p>
            <w:pPr>
              <w:spacing w:after="0"/>
              <w:rPr>
                <w:sz w:val="13"/>
                <w:szCs w:val="13"/>
                <w:color w:val="auto"/>
              </w:rPr>
            </w:pPr>
          </w:p>
        </w:tc>
        <w:tc>
          <w:tcPr>
            <w:tcW w:w="1160" w:type="dxa"/>
            <w:vAlign w:val="bottom"/>
            <w:gridSpan w:val="2"/>
            <w:vMerge w:val="restart"/>
          </w:tcPr>
          <w:p>
            <w:pPr>
              <w:ind w:left="140"/>
              <w:spacing w:after="0" w:line="291" w:lineRule="exact"/>
              <w:rPr>
                <w:sz w:val="20"/>
                <w:szCs w:val="20"/>
                <w:color w:val="auto"/>
              </w:rPr>
            </w:pPr>
            <w:r>
              <w:rPr>
                <w:rFonts w:ascii="MS PGothic" w:cs="MS PGothic" w:eastAsia="MS PGothic" w:hAnsi="MS PGothic"/>
                <w:sz w:val="29"/>
                <w:szCs w:val="29"/>
                <w:color w:val="auto"/>
              </w:rPr>
              <w:t>☐  ☐</w:t>
            </w:r>
          </w:p>
        </w:tc>
        <w:tc>
          <w:tcPr>
            <w:tcW w:w="56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48"/>
        </w:trPr>
        <w:tc>
          <w:tcPr>
            <w:tcW w:w="9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of the grant) and the grant of options to acquire shares of Common Stock (which may be represented by CDIs) equal in value to $37,500 (at the time of the</w:t>
            </w:r>
          </w:p>
        </w:tc>
        <w:tc>
          <w:tcPr>
            <w:tcW w:w="11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 to Mr. Cary Vance on the terms and conditions set out in this Proxy Statement, pursuant to and for the purposes of ASX Listing Rule 10.11;</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 To approve the grant of options to acquire 100,000 shares of common stock of the Company (which may be represented by CDIs) to the Company’s Chief</w:t>
            </w:r>
          </w:p>
        </w:tc>
        <w:tc>
          <w:tcPr>
            <w:tcW w:w="1160" w:type="dxa"/>
            <w:vAlign w:val="bottom"/>
            <w:gridSpan w:val="2"/>
            <w:vMerge w:val="restart"/>
          </w:tcPr>
          <w:p>
            <w:pPr>
              <w:ind w:left="140"/>
              <w:spacing w:after="0" w:line="291" w:lineRule="exact"/>
              <w:rPr>
                <w:sz w:val="20"/>
                <w:szCs w:val="20"/>
                <w:color w:val="auto"/>
              </w:rPr>
            </w:pPr>
            <w:r>
              <w:rPr>
                <w:rFonts w:ascii="MS PGothic" w:cs="MS PGothic" w:eastAsia="MS PGothic" w:hAnsi="MS PGothic"/>
                <w:sz w:val="29"/>
                <w:szCs w:val="29"/>
                <w:color w:val="auto"/>
              </w:rPr>
              <w:t>☐  ☐</w:t>
            </w:r>
          </w:p>
        </w:tc>
        <w:tc>
          <w:tcPr>
            <w:tcW w:w="56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48"/>
        </w:trPr>
        <w:tc>
          <w:tcPr>
            <w:tcW w:w="9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Executive Officer, Mr. James Corbett, on the terms and conditions set out in this Proxy Statement, pursuant to and for the purposes of ASX Listing Rule</w:t>
            </w:r>
          </w:p>
        </w:tc>
        <w:tc>
          <w:tcPr>
            <w:tcW w:w="11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10.11;</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80" w:type="dxa"/>
            <w:vAlign w:val="bottom"/>
          </w:tcPr>
          <w:p>
            <w:pPr>
              <w:spacing w:after="0"/>
              <w:rPr>
                <w:sz w:val="20"/>
                <w:szCs w:val="20"/>
                <w:color w:val="auto"/>
              </w:rPr>
            </w:pPr>
            <w:r>
              <w:rPr>
                <w:rFonts w:ascii="Times New Roman" w:cs="Times New Roman" w:eastAsia="Times New Roman" w:hAnsi="Times New Roman"/>
                <w:sz w:val="14"/>
                <w:szCs w:val="14"/>
                <w:color w:val="auto"/>
              </w:rPr>
              <w:t>12. To approve (a) an amendment to the 2020 Omnibus Incentive Plan (the “Plan”), the terms of which are summarized in this Proxy Statement (the “Plan</w:t>
            </w:r>
          </w:p>
        </w:tc>
        <w:tc>
          <w:tcPr>
            <w:tcW w:w="360" w:type="dxa"/>
            <w:vAlign w:val="bottom"/>
          </w:tcPr>
          <w:p>
            <w:pPr>
              <w:spacing w:after="0"/>
              <w:rPr>
                <w:sz w:val="18"/>
                <w:szCs w:val="18"/>
                <w:color w:val="auto"/>
              </w:rPr>
            </w:pPr>
          </w:p>
        </w:tc>
        <w:tc>
          <w:tcPr>
            <w:tcW w:w="1160" w:type="dxa"/>
            <w:vAlign w:val="bottom"/>
            <w:gridSpan w:val="2"/>
            <w:vMerge w:val="restart"/>
          </w:tcPr>
          <w:p>
            <w:pPr>
              <w:ind w:left="140"/>
              <w:spacing w:after="0" w:line="291" w:lineRule="exact"/>
              <w:rPr>
                <w:sz w:val="20"/>
                <w:szCs w:val="20"/>
                <w:color w:val="auto"/>
              </w:rPr>
            </w:pPr>
            <w:r>
              <w:rPr>
                <w:rFonts w:ascii="MS PGothic" w:cs="MS PGothic" w:eastAsia="MS PGothic" w:hAnsi="MS PGothic"/>
                <w:sz w:val="29"/>
                <w:szCs w:val="29"/>
                <w:color w:val="auto"/>
              </w:rPr>
              <w:t>☐  ☐</w:t>
            </w:r>
          </w:p>
        </w:tc>
        <w:tc>
          <w:tcPr>
            <w:tcW w:w="56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49"/>
        </w:trPr>
        <w:tc>
          <w:tcPr>
            <w:tcW w:w="9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Amendment”); and (b) for purposes of ASX Listing Rule 7.2 Exception 13(b) and for all other purposes, the issue of equity securities in the Company under</w:t>
            </w:r>
          </w:p>
        </w:tc>
        <w:tc>
          <w:tcPr>
            <w:tcW w:w="11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and subject to the terms of the Plan for three years commencing on the date that this proposal is approved by the Company’s stockholders as an exception to</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ASX Listing Rule 7.1;</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 To approve (a) the adoption of the Company’s Employee Stock Purchase Plan (the “ESPP”), the terms of which are summarized in this Proxy Statement;</w:t>
            </w:r>
          </w:p>
        </w:tc>
        <w:tc>
          <w:tcPr>
            <w:tcW w:w="1160" w:type="dxa"/>
            <w:vAlign w:val="bottom"/>
            <w:gridSpan w:val="2"/>
            <w:vMerge w:val="restart"/>
          </w:tcPr>
          <w:p>
            <w:pPr>
              <w:ind w:left="140"/>
              <w:spacing w:after="0" w:line="291" w:lineRule="exact"/>
              <w:rPr>
                <w:sz w:val="20"/>
                <w:szCs w:val="20"/>
                <w:color w:val="auto"/>
              </w:rPr>
            </w:pPr>
            <w:r>
              <w:rPr>
                <w:rFonts w:ascii="MS PGothic" w:cs="MS PGothic" w:eastAsia="MS PGothic" w:hAnsi="MS PGothic"/>
                <w:sz w:val="29"/>
                <w:szCs w:val="29"/>
                <w:color w:val="auto"/>
              </w:rPr>
              <w:t>☐  ☐</w:t>
            </w:r>
          </w:p>
        </w:tc>
        <w:tc>
          <w:tcPr>
            <w:tcW w:w="56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65"/>
        </w:trPr>
        <w:tc>
          <w:tcPr>
            <w:tcW w:w="92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and (b) for the purposes of ASX Listing Rule 7.2 Exception 13(b) and for all other purposes, the issue of equity securities in the Company under and subject</w:t>
            </w:r>
          </w:p>
        </w:tc>
        <w:tc>
          <w:tcPr>
            <w:tcW w:w="11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-1804035</wp:posOffset>
            </wp:positionV>
            <wp:extent cx="17970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9705" cy="180340"/>
                    </a:xfrm>
                    <a:prstGeom prst="rect">
                      <a:avLst/>
                    </a:prstGeom>
                    <a:noFill/>
                  </pic:spPr>
                </pic:pic>
              </a:graphicData>
            </a:graphic>
          </wp:anchor>
        </w:drawing>
      </w:r>
    </w:p>
    <w:p>
      <w:pPr>
        <w:ind w:left="340" w:right="1740"/>
        <w:spacing w:after="0" w:line="239" w:lineRule="auto"/>
        <w:rPr>
          <w:sz w:val="20"/>
          <w:szCs w:val="20"/>
          <w:color w:val="auto"/>
        </w:rPr>
      </w:pPr>
      <w:r>
        <w:rPr>
          <w:rFonts w:ascii="Times New Roman" w:cs="Times New Roman" w:eastAsia="Times New Roman" w:hAnsi="Times New Roman"/>
          <w:sz w:val="14"/>
          <w:szCs w:val="14"/>
          <w:color w:val="auto"/>
        </w:rPr>
        <w:t>to the terms of the ESPP within three years from the date that this proposal is approved by the Company’s stockholders as an exception to ASX Listing Rule 7.1; and</w:t>
      </w:r>
    </w:p>
    <w:p>
      <w:pPr>
        <w:sectPr>
          <w:pgSz w:w="11900" w:h="16838" w:orient="portrait"/>
          <w:cols w:equalWidth="0" w:num="1">
            <w:col w:w="11080"/>
          </w:cols>
          <w:pgMar w:left="320" w:top="455" w:right="499" w:bottom="1015" w:gutter="0" w:footer="0" w:header="0"/>
        </w:sectPr>
      </w:pP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14.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135255</wp:posOffset>
            </wp:positionV>
            <wp:extent cx="678053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80530" cy="171450"/>
                    </a:xfrm>
                    <a:prstGeom prst="rect">
                      <a:avLst/>
                    </a:prstGeom>
                    <a:noFill/>
                  </pic:spPr>
                </pic:pic>
              </a:graphicData>
            </a:graphic>
          </wp:anchor>
        </w:drawing>
      </w:r>
    </w:p>
    <w:p>
      <w:pPr>
        <w:spacing w:after="0" w:line="197" w:lineRule="exact"/>
        <w:rPr>
          <w:sz w:val="20"/>
          <w:szCs w:val="20"/>
          <w:color w:val="auto"/>
        </w:rPr>
      </w:pPr>
    </w:p>
    <w:p>
      <w:pPr>
        <w:ind w:left="560" w:hanging="354"/>
        <w:spacing w:after="0"/>
        <w:tabs>
          <w:tab w:leader="none" w:pos="560" w:val="left"/>
        </w:tabs>
        <w:numPr>
          <w:ilvl w:val="0"/>
          <w:numId w:val="101"/>
        </w:numPr>
        <w:rPr>
          <w:rFonts w:ascii="Times New Roman" w:cs="Times New Roman" w:eastAsia="Times New Roman" w:hAnsi="Times New Roman"/>
          <w:sz w:val="18"/>
          <w:szCs w:val="18"/>
          <w:b w:val="1"/>
          <w:bCs w:val="1"/>
          <w:color w:val="FFFFFF"/>
          <w:highlight w:val="black"/>
        </w:rPr>
      </w:pPr>
      <w:r>
        <w:rPr>
          <w:rFonts w:ascii="Times New Roman" w:cs="Times New Roman" w:eastAsia="Times New Roman" w:hAnsi="Times New Roman"/>
          <w:sz w:val="18"/>
          <w:szCs w:val="18"/>
          <w:b w:val="1"/>
          <w:bCs w:val="1"/>
          <w:color w:val="auto"/>
        </w:rPr>
        <w:t>Non-Voting Items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91" w:lineRule="exact"/>
        <w:tabs>
          <w:tab w:leader="none" w:pos="118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411" w:lineRule="exact"/>
        <w:rPr>
          <w:sz w:val="20"/>
          <w:szCs w:val="20"/>
          <w:color w:val="auto"/>
        </w:rPr>
      </w:pPr>
    </w:p>
    <w:p>
      <w:pPr>
        <w:sectPr>
          <w:pgSz w:w="11900" w:h="16838" w:orient="portrait"/>
          <w:cols w:equalWidth="0" w:num="2">
            <w:col w:w="8780" w:space="720"/>
            <w:col w:w="1580"/>
          </w:cols>
          <w:pgMar w:left="320" w:top="455" w:right="499" w:bottom="1015" w:gutter="0" w:footer="0" w:header="0"/>
          <w:type w:val="continuous"/>
        </w:sectPr>
      </w:pPr>
    </w:p>
    <w:p>
      <w:pPr>
        <w:ind w:left="120"/>
        <w:spacing w:after="0"/>
        <w:tabs>
          <w:tab w:leader="none" w:pos="5580" w:val="left"/>
        </w:tabs>
        <w:rPr>
          <w:sz w:val="20"/>
          <w:szCs w:val="20"/>
          <w:color w:val="auto"/>
        </w:rPr>
      </w:pPr>
      <w:r>
        <w:rPr>
          <w:rFonts w:ascii="Times New Roman" w:cs="Times New Roman" w:eastAsia="Times New Roman" w:hAnsi="Times New Roman"/>
          <w:sz w:val="14"/>
          <w:szCs w:val="14"/>
          <w:b w:val="1"/>
          <w:bCs w:val="1"/>
          <w:color w:val="auto"/>
        </w:rPr>
        <w:t xml:space="preserve">Change of Address </w:t>
      </w:r>
      <w:r>
        <w:rPr>
          <w:rFonts w:ascii="Times New Roman" w:cs="Times New Roman" w:eastAsia="Times New Roman" w:hAnsi="Times New Roman"/>
          <w:sz w:val="14"/>
          <w:szCs w:val="14"/>
          <w:color w:val="auto"/>
        </w:rPr>
        <w:t>– Please print new address below.</w:t>
      </w:r>
      <w:r>
        <w:rPr>
          <w:sz w:val="20"/>
          <w:szCs w:val="20"/>
          <w:color w:val="auto"/>
        </w:rPr>
        <w:tab/>
      </w:r>
      <w:r>
        <w:rPr>
          <w:rFonts w:ascii="Times New Roman" w:cs="Times New Roman" w:eastAsia="Times New Roman" w:hAnsi="Times New Roman"/>
          <w:sz w:val="14"/>
          <w:szCs w:val="14"/>
          <w:b w:val="1"/>
          <w:bCs w:val="1"/>
          <w:color w:val="auto"/>
        </w:rPr>
        <w:t xml:space="preserve">Comments </w:t>
      </w:r>
      <w:r>
        <w:rPr>
          <w:rFonts w:ascii="Times New Roman" w:cs="Times New Roman" w:eastAsia="Times New Roman" w:hAnsi="Times New Roman"/>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24765</wp:posOffset>
            </wp:positionV>
            <wp:extent cx="7003415" cy="5657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034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0" w:hanging="354"/>
        <w:spacing w:after="0"/>
        <w:tabs>
          <w:tab w:leader="none" w:pos="560" w:val="left"/>
        </w:tabs>
        <w:numPr>
          <w:ilvl w:val="0"/>
          <w:numId w:val="102"/>
        </w:numPr>
        <w:rPr>
          <w:rFonts w:ascii="Times New Roman" w:cs="Times New Roman" w:eastAsia="Times New Roman" w:hAnsi="Times New Roman"/>
          <w:sz w:val="18"/>
          <w:szCs w:val="18"/>
          <w:b w:val="1"/>
          <w:bCs w:val="1"/>
          <w:color w:val="FFFFFF"/>
          <w:highlight w:val="black"/>
        </w:rPr>
      </w:pPr>
      <w:r>
        <w:rPr>
          <w:rFonts w:ascii="Times New Roman" w:cs="Times New Roman" w:eastAsia="Times New Roman" w:hAnsi="Times New Roman"/>
          <w:sz w:val="18"/>
          <w:szCs w:val="18"/>
          <w:b w:val="1"/>
          <w:bCs w:val="1"/>
          <w:color w:val="auto"/>
        </w:rPr>
        <w:t>Authorized Signatures – This section must be completed for your vote to count. Please date and sign below.</w:t>
      </w:r>
    </w:p>
    <w:p>
      <w:pPr>
        <w:spacing w:after="0" w:line="10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09" w:lineRule="exact"/>
        <w:rPr>
          <w:sz w:val="20"/>
          <w:szCs w:val="20"/>
          <w:color w:val="auto"/>
        </w:rPr>
      </w:pPr>
    </w:p>
    <w:p>
      <w:pPr>
        <w:ind w:left="120"/>
        <w:spacing w:after="0"/>
        <w:tabs>
          <w:tab w:leader="none" w:pos="3840" w:val="left"/>
          <w:tab w:leader="none" w:pos="7540" w:val="left"/>
        </w:tabs>
        <w:rPr>
          <w:sz w:val="20"/>
          <w:szCs w:val="20"/>
          <w:color w:val="auto"/>
        </w:rPr>
      </w:pPr>
      <w:r>
        <w:rPr>
          <w:rFonts w:ascii="Times New Roman" w:cs="Times New Roman" w:eastAsia="Times New Roman" w:hAnsi="Times New Roman"/>
          <w:sz w:val="14"/>
          <w:szCs w:val="14"/>
          <w:color w:val="auto"/>
        </w:rPr>
        <w:t>Date (mm/dd/yyyy) – Please print date below.</w:t>
      </w:r>
      <w:r>
        <w:rPr>
          <w:sz w:val="20"/>
          <w:szCs w:val="20"/>
          <w:color w:val="auto"/>
        </w:rPr>
        <w:tab/>
      </w:r>
      <w:r>
        <w:rPr>
          <w:rFonts w:ascii="Times New Roman" w:cs="Times New Roman" w:eastAsia="Times New Roman" w:hAnsi="Times New Roman"/>
          <w:sz w:val="14"/>
          <w:szCs w:val="14"/>
          <w:color w:val="auto"/>
        </w:rPr>
        <w:t>Signature 1 – Please keep signature within the box.</w:t>
      </w:r>
      <w:r>
        <w:rPr>
          <w:sz w:val="20"/>
          <w:szCs w:val="20"/>
          <w:color w:val="auto"/>
        </w:rPr>
        <w:tab/>
      </w:r>
      <w:r>
        <w:rPr>
          <w:rFonts w:ascii="Times New Roman" w:cs="Times New Roman" w:eastAsia="Times New Roman" w:hAnsi="Times New Roman"/>
          <w:sz w:val="14"/>
          <w:szCs w:val="14"/>
          <w:color w:val="auto"/>
        </w:rPr>
        <w:t>Signature 2 – Please keep signature within the box.</w:t>
      </w:r>
    </w:p>
    <w:p>
      <w:pPr>
        <w:spacing w:after="0" w:line="27" w:lineRule="exact"/>
        <w:rPr>
          <w:sz w:val="20"/>
          <w:szCs w:val="20"/>
          <w:color w:val="auto"/>
        </w:rPr>
      </w:pPr>
    </w:p>
    <w:p>
      <w:pPr>
        <w:ind w:left="1140"/>
        <w:spacing w:after="0"/>
        <w:tabs>
          <w:tab w:leader="none" w:pos="2100" w:val="left"/>
        </w:tabs>
        <w:rPr>
          <w:sz w:val="20"/>
          <w:szCs w:val="20"/>
          <w:color w:val="auto"/>
        </w:rPr>
      </w:pPr>
      <w:r>
        <w:rPr>
          <w:rFonts w:ascii="Times New Roman" w:cs="Times New Roman" w:eastAsia="Times New Roman" w:hAnsi="Times New Roman"/>
          <w:sz w:val="43"/>
          <w:szCs w:val="43"/>
          <w:color w:val="auto"/>
        </w:rPr>
        <w:t>/</w:t>
      </w:r>
      <w:r>
        <w:rPr>
          <w:sz w:val="20"/>
          <w:szCs w:val="20"/>
          <w:color w:val="auto"/>
        </w:rPr>
        <w:tab/>
      </w:r>
      <w:r>
        <w:rPr>
          <w:rFonts w:ascii="Times New Roman" w:cs="Times New Roman" w:eastAsia="Times New Roman" w:hAnsi="Times New Roman"/>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-306705</wp:posOffset>
            </wp:positionV>
            <wp:extent cx="6969125"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69125" cy="3511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180975</wp:posOffset>
            </wp:positionV>
            <wp:extent cx="18859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180975</wp:posOffset>
            </wp:positionV>
            <wp:extent cx="179705"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ectPr>
          <w:pgSz w:w="11900" w:h="16838" w:orient="portrait"/>
          <w:cols w:equalWidth="0" w:num="1">
            <w:col w:w="11080"/>
          </w:cols>
          <w:pgMar w:left="320" w:top="455" w:right="499" w:bottom="1015"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215265</wp:posOffset>
            </wp:positionV>
            <wp:extent cx="5572125" cy="7886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2125" cy="78867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215265</wp:posOffset>
            </wp:positionV>
            <wp:extent cx="5572125" cy="7886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2125" cy="78867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9"/>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decimal"/>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1)"/>
      <w:numFmt w:val="decimal"/>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5"/>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1)"/>
      <w:numFmt w:val="decimal"/>
      <w:start w:val="3"/>
    </w:lvl>
  </w:abstractNum>
  <w:abstractNum w:abstractNumId="27">
    <w:nsid w:val="2F305DEF"/>
    <w:multiLevelType w:val="hybridMultilevel"/>
    <w:lvl w:ilvl="0">
      <w:lvlJc w:val="left"/>
      <w:lvlText w:val="(%1)"/>
      <w:numFmt w:val="lowerRoman"/>
      <w:start w:val="4"/>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R"/>
      <w:numFmt w:val="bullet"/>
      <w:start w:val="1"/>
    </w:lvl>
  </w:abstractNum>
  <w:abstractNum w:abstractNumId="34">
    <w:nsid w:val="100F8FCA"/>
    <w:multiLevelType w:val="hybridMultilevel"/>
    <w:lvl w:ilvl="0">
      <w:lvlJc w:val="left"/>
      <w:lvlText w:val="A"/>
      <w:numFmt w:val="bullet"/>
      <w:start w:val="1"/>
    </w:lvl>
  </w:abstractNum>
  <w:abstractNum w:abstractNumId="35">
    <w:nsid w:val="6590700B"/>
    <w:multiLevelType w:val="hybridMultilevel"/>
    <w:lvl w:ilvl="0">
      <w:lvlJc w:val="left"/>
      <w:lvlText w:val="B"/>
      <w:numFmt w:val="bullet"/>
      <w:start w:val="1"/>
    </w:lvl>
  </w:abstractNum>
  <w:abstractNum w:abstractNumId="36">
    <w:nsid w:val="15014ACB"/>
    <w:multiLevelType w:val="hybridMultilevel"/>
    <w:lvl w:ilvl="0">
      <w:lvlJc w:val="left"/>
      <w:lvlText w:val="O"/>
      <w:numFmt w:val="bullet"/>
      <w:start w:val="1"/>
    </w:lvl>
  </w:abstractNum>
  <w:abstractNum w:abstractNumId="37">
    <w:nsid w:val="5F5E7FD0"/>
    <w:multiLevelType w:val="hybridMultilevel"/>
    <w:lvl w:ilvl="0">
      <w:lvlJc w:val="left"/>
      <w:lvlText w:val="X"/>
      <w:numFmt w:val="bullet"/>
      <w:start w:val="1"/>
    </w:lvl>
  </w:abstractNum>
  <w:abstractNum w:abstractNumId="38">
    <w:nsid w:val="98A3148"/>
    <w:multiLevelType w:val="hybridMultilevel"/>
    <w:lvl w:ilvl="0">
      <w:lvlJc w:val="left"/>
      <w:lvlText w:val="Y"/>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R"/>
      <w:numFmt w:val="bullet"/>
      <w:start w:val="1"/>
    </w:lvl>
  </w:abstractNum>
  <w:abstractNum w:abstractNumId="45">
    <w:nsid w:val="5DC79EA8"/>
    <w:multiLevelType w:val="hybridMultilevel"/>
    <w:lvl w:ilvl="0">
      <w:lvlJc w:val="left"/>
      <w:lvlText w:val="A"/>
      <w:numFmt w:val="bullet"/>
      <w:start w:val="1"/>
    </w:lvl>
  </w:abstractNum>
  <w:abstractNum w:abstractNumId="46">
    <w:nsid w:val="540A471C"/>
    <w:multiLevelType w:val="hybridMultilevel"/>
    <w:lvl w:ilvl="0">
      <w:lvlJc w:val="left"/>
      <w:lvlText w:val="B"/>
      <w:numFmt w:val="bullet"/>
      <w:start w:val="1"/>
    </w:lvl>
  </w:abstractNum>
  <w:abstractNum w:abstractNumId="47">
    <w:nsid w:val="7BD3EE7B"/>
    <w:multiLevelType w:val="hybridMultilevel"/>
    <w:lvl w:ilvl="0">
      <w:lvlJc w:val="left"/>
      <w:lvlText w:val="O"/>
      <w:numFmt w:val="bullet"/>
      <w:start w:val="1"/>
    </w:lvl>
  </w:abstractNum>
  <w:abstractNum w:abstractNumId="48">
    <w:nsid w:val="51D9C564"/>
    <w:multiLevelType w:val="hybridMultilevel"/>
    <w:lvl w:ilvl="0">
      <w:lvlJc w:val="left"/>
      <w:lvlText w:val="X"/>
      <w:numFmt w:val="bullet"/>
      <w:start w:val="1"/>
    </w:lvl>
  </w:abstractNum>
  <w:abstractNum w:abstractNumId="49">
    <w:nsid w:val="613EFDC5"/>
    <w:multiLevelType w:val="hybridMultilevel"/>
    <w:lvl w:ilvl="0">
      <w:lvlJc w:val="left"/>
      <w:lvlText w:val="Y"/>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1)"/>
      <w:numFmt w:val="lowerLetter"/>
      <w:start w:val="6"/>
    </w:lvl>
  </w:abstractNum>
  <w:abstractNum w:abstractNumId="57">
    <w:nsid w:val="68EB2F63"/>
    <w:multiLevelType w:val="hybridMultilevel"/>
    <w:lvl w:ilvl="0">
      <w:lvlJc w:val="left"/>
      <w:lvlText w:val="%1)"/>
      <w:numFmt w:val="lowerLetter"/>
      <w:start w:val="11"/>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lvl w:ilvl="1">
      <w:lvlJc w:val="left"/>
      <w:lvlText w:val="•"/>
      <w:numFmt w:val="bullet"/>
      <w:start w:val="1"/>
    </w:lvl>
  </w:abstractNum>
  <w:abstractNum w:abstractNumId="64">
    <w:nsid w:val="71EA1109"/>
    <w:multiLevelType w:val="hybridMultilevel"/>
    <w:lvl w:ilvl="0">
      <w:lvlJc w:val="left"/>
      <w:lvlText w:val="(%1)"/>
      <w:numFmt w:val="decimal"/>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8"/>
    </w:lvl>
  </w:abstractNum>
  <w:abstractNum w:abstractNumId="67">
    <w:nsid w:val="6EB5BD4"/>
    <w:multiLevelType w:val="hybridMultilevel"/>
    <w:lvl w:ilvl="0">
      <w:lvlJc w:val="left"/>
      <w:lvlText w:val="•"/>
      <w:numFmt w:val="bullet"/>
      <w:start w:val="1"/>
    </w:lvl>
    <w:lvl w:ilvl="1">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lvl w:ilvl="1">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1)"/>
      <w:numFmt w:val="lowerLetter"/>
      <w:start w:val="2"/>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lvl w:ilvl="1">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1)"/>
      <w:numFmt w:val="decimal"/>
      <w:start w:val="5"/>
    </w:lvl>
    <w:lvl w:ilvl="1">
      <w:lvlJc w:val="left"/>
      <w:lvlText w:val="•"/>
      <w:numFmt w:val="bullet"/>
      <w:start w:val="1"/>
    </w:lvl>
  </w:abstractNum>
  <w:abstractNum w:abstractNumId="78">
    <w:nsid w:val="2DF6D648"/>
    <w:multiLevelType w:val="hybridMultilevel"/>
    <w:lvl w:ilvl="0">
      <w:lvlJc w:val="left"/>
      <w:lvlText w:val="•"/>
      <w:numFmt w:val="bullet"/>
      <w:start w:val="1"/>
    </w:lvl>
    <w:lvl w:ilvl="1">
      <w:lvlJc w:val="left"/>
      <w:lvlText w:val="•"/>
      <w:numFmt w:val="bullet"/>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2"/>
    </w:lvl>
  </w:abstractNum>
  <w:abstractNum w:abstractNumId="81">
    <w:nsid w:val="39EE015C"/>
    <w:multiLevelType w:val="hybridMultilevel"/>
    <w:lvl w:ilvl="0">
      <w:lvlJc w:val="left"/>
      <w:lvlText w:val="%1."/>
      <w:numFmt w:val="decimal"/>
      <w:start w:val="3"/>
    </w:lvl>
  </w:abstractNum>
  <w:abstractNum w:abstractNumId="82">
    <w:nsid w:val="57FC4FBB"/>
    <w:multiLevelType w:val="hybridMultilevel"/>
    <w:lvl w:ilvl="0">
      <w:lvlJc w:val="left"/>
      <w:lvlText w:val="%1."/>
      <w:numFmt w:val="decimal"/>
      <w:start w:val="4"/>
    </w:lvl>
  </w:abstractNum>
  <w:abstractNum w:abstractNumId="83">
    <w:nsid w:val="CC1016F"/>
    <w:multiLevelType w:val="hybridMultilevel"/>
    <w:lvl w:ilvl="0">
      <w:lvlJc w:val="left"/>
      <w:lvlText w:val="%1."/>
      <w:numFmt w:val="decimal"/>
      <w:start w:val="5"/>
    </w:lvl>
  </w:abstractNum>
  <w:abstractNum w:abstractNumId="84">
    <w:nsid w:val="43F18422"/>
    <w:multiLevelType w:val="hybridMultilevel"/>
    <w:lvl w:ilvl="0">
      <w:lvlJc w:val="left"/>
      <w:lvlText w:val="%1."/>
      <w:numFmt w:val="decimal"/>
      <w:start w:val="6"/>
    </w:lvl>
  </w:abstractNum>
  <w:abstractNum w:abstractNumId="85">
    <w:nsid w:val="60EF0119"/>
    <w:multiLevelType w:val="hybridMultilevel"/>
    <w:lvl w:ilvl="0">
      <w:lvlJc w:val="left"/>
      <w:lvlText w:val="%1."/>
      <w:numFmt w:val="decimal"/>
      <w:start w:val="7"/>
    </w:lvl>
  </w:abstractNum>
  <w:abstractNum w:abstractNumId="86">
    <w:nsid w:val="26F324BA"/>
    <w:multiLevelType w:val="hybridMultilevel"/>
    <w:lvl w:ilvl="0">
      <w:lvlJc w:val="left"/>
      <w:lvlText w:val="%1."/>
      <w:numFmt w:val="decimal"/>
      <w:start w:val="8"/>
    </w:lvl>
  </w:abstractNum>
  <w:abstractNum w:abstractNumId="87">
    <w:nsid w:val="7F01579B"/>
    <w:multiLevelType w:val="hybridMultilevel"/>
    <w:lvl w:ilvl="0">
      <w:lvlJc w:val="left"/>
      <w:lvlText w:val="%1."/>
      <w:numFmt w:val="decimal"/>
      <w:start w:val="9"/>
    </w:lvl>
  </w:abstractNum>
  <w:abstractNum w:abstractNumId="88">
    <w:nsid w:val="49DA307D"/>
    <w:multiLevelType w:val="hybridMultilevel"/>
    <w:lvl w:ilvl="0">
      <w:lvlJc w:val="left"/>
      <w:lvlText w:val="%1."/>
      <w:numFmt w:val="decimal"/>
      <w:start w:val="10"/>
    </w:lvl>
  </w:abstractNum>
  <w:abstractNum w:abstractNumId="89">
    <w:nsid w:val="7055A5F5"/>
    <w:multiLevelType w:val="hybridMultilevel"/>
    <w:lvl w:ilvl="0">
      <w:lvlJc w:val="left"/>
      <w:lvlText w:val="%1."/>
      <w:numFmt w:val="decimal"/>
      <w:start w:val="11"/>
    </w:lvl>
  </w:abstractNum>
  <w:abstractNum w:abstractNumId="90">
    <w:nsid w:val="5FB8370B"/>
    <w:multiLevelType w:val="hybridMultilevel"/>
    <w:lvl w:ilvl="0">
      <w:lvlJc w:val="left"/>
      <w:lvlText w:val="%1."/>
      <w:numFmt w:val="decimal"/>
      <w:start w:val="12"/>
    </w:lvl>
  </w:abstractNum>
  <w:abstractNum w:abstractNumId="91">
    <w:nsid w:val="50801EE1"/>
    <w:multiLevelType w:val="hybridMultilevel"/>
    <w:lvl w:ilvl="0">
      <w:lvlJc w:val="left"/>
      <w:lvlText w:val="%1."/>
      <w:numFmt w:val="decimal"/>
      <w:start w:val="14"/>
    </w:lvl>
  </w:abstractNum>
  <w:abstractNum w:abstractNumId="92">
    <w:nsid w:val="488AC1A"/>
    <w:multiLevelType w:val="hybridMultilevel"/>
    <w:lvl w:ilvl="0">
      <w:lvlJc w:val="left"/>
      <w:lvlText w:val="%1."/>
      <w:numFmt w:val="decimal"/>
      <w:start w:val="15"/>
    </w:lvl>
  </w:abstractNum>
  <w:abstractNum w:abstractNumId="93">
    <w:nsid w:val="5FB8011C"/>
    <w:multiLevelType w:val="hybridMultilevel"/>
    <w:lvl w:ilvl="0">
      <w:lvlJc w:val="left"/>
      <w:lvlText w:val="%1."/>
      <w:numFmt w:val="decimal"/>
      <w:start w:val="16"/>
    </w:lvl>
  </w:abstractNum>
  <w:abstractNum w:abstractNumId="94">
    <w:nsid w:val="6AA78F7F"/>
    <w:multiLevelType w:val="hybridMultilevel"/>
    <w:lvl w:ilvl="0">
      <w:lvlJc w:val="left"/>
      <w:lvlText w:val="%1."/>
      <w:numFmt w:val="decimal"/>
      <w:start w:val="17"/>
    </w:lvl>
  </w:abstractNum>
  <w:abstractNum w:abstractNumId="95">
    <w:nsid w:val="7672BD23"/>
    <w:multiLevelType w:val="hybridMultilevel"/>
    <w:lvl w:ilvl="0">
      <w:lvlJc w:val="left"/>
      <w:lvlText w:val="%1."/>
      <w:numFmt w:val="decimal"/>
      <w:start w:val="18"/>
    </w:lvl>
  </w:abstractNum>
  <w:abstractNum w:abstractNumId="96">
    <w:nsid w:val="6FC75AF8"/>
    <w:multiLevelType w:val="hybridMultilevel"/>
    <w:lvl w:ilvl="0">
      <w:lvlJc w:val="left"/>
      <w:lvlText w:val="%1."/>
      <w:numFmt w:val="decimal"/>
      <w:start w:val="19"/>
    </w:lvl>
  </w:abstractNum>
  <w:abstractNum w:abstractNumId="97">
    <w:nsid w:val="6A5F7029"/>
    <w:multiLevelType w:val="hybridMultilevel"/>
    <w:lvl w:ilvl="0">
      <w:lvlJc w:val="left"/>
      <w:lvlText w:val="(%1)"/>
      <w:numFmt w:val="lowerRoman"/>
      <w:start w:val="3"/>
    </w:lvl>
  </w:abstractNum>
  <w:abstractNum w:abstractNumId="98">
    <w:nsid w:val="7D5E18F8"/>
    <w:multiLevelType w:val="hybridMultilevel"/>
    <w:lvl w:ilvl="0">
      <w:lvlJc w:val="left"/>
      <w:lvlText w:val="(%1)"/>
      <w:numFmt w:val="lowerRoman"/>
      <w:start w:val="8"/>
    </w:lvl>
  </w:abstractNum>
  <w:abstractNum w:abstractNumId="99">
    <w:nsid w:val="5F3534A4"/>
    <w:multiLevelType w:val="hybridMultilevel"/>
    <w:lvl w:ilvl="0">
      <w:lvlJc w:val="left"/>
      <w:lvlText w:val="A"/>
      <w:numFmt w:val="bullet"/>
      <w:start w:val="1"/>
    </w:lvl>
  </w:abstractNum>
  <w:abstractNum w:abstractNumId="100">
    <w:nsid w:val="73A1821B"/>
    <w:multiLevelType w:val="hybridMultilevel"/>
    <w:lvl w:ilvl="0">
      <w:lvlJc w:val="left"/>
      <w:lvlText w:val="B"/>
      <w:numFmt w:val="bullet"/>
      <w:start w:val="1"/>
    </w:lvl>
  </w:abstractNum>
  <w:abstractNum w:abstractNumId="101">
    <w:nsid w:val="7DE67713"/>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2023-04-14T14:12:24Z</dcterms:created>
  <dcterms:modified xsi:type="dcterms:W3CDTF">2023-04-14T14:12:24Z</dcterms:modified>
</cp:coreProperties>
</file>