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92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Ekins Sean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11/09/2020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Avita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RCEL</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5" w:lineRule="exact"/>
        <w:rPr>
          <w:sz w:val="24"/>
          <w:szCs w:val="24"/>
          <w:color w:val="auto"/>
        </w:rPr>
      </w:pPr>
    </w:p>
    <w:p>
      <w:pPr>
        <w:sectPr>
          <w:pgSz w:w="11900" w:h="16920"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AVITA THERAPEUTICS,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28159 AVENUE STANFORD,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w:t>
      </w:r>
    </w:p>
    <w:p>
      <w:pPr>
        <w:spacing w:after="0" w:line="30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VALENCIA 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20"/>
          <w:szCs w:val="20"/>
          <w:color w:val="0000FF"/>
        </w:rPr>
        <w:t>Sr. VP of Finance</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920" w:orient="portrait"/>
          <w:cols w:equalWidth="0" w:num="3">
            <w:col w:w="4277" w:space="720"/>
            <w:col w:w="3003" w:space="269"/>
            <w:col w:w="2671"/>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06/12/2028</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9,000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4.26</w:t>
            </w:r>
            <w:r>
              <w:rPr>
                <w:rFonts w:ascii="Times New Roman" w:cs="Times New Roman" w:eastAsia="Times New Roman" w:hAnsi="Times New Roman"/>
                <w:sz w:val="25"/>
                <w:szCs w:val="25"/>
                <w:color w:val="008000"/>
                <w:w w:val="91"/>
                <w:vertAlign w:val="superscript"/>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06/12/2028</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5,000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4.26</w:t>
            </w:r>
            <w:r>
              <w:rPr>
                <w:rFonts w:ascii="Times New Roman" w:cs="Times New Roman" w:eastAsia="Times New Roman" w:hAnsi="Times New Roman"/>
                <w:sz w:val="25"/>
                <w:szCs w:val="25"/>
                <w:color w:val="008000"/>
                <w:w w:val="91"/>
                <w:vertAlign w:val="superscript"/>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11/01/2028</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5,000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6.38</w:t>
            </w:r>
            <w:r>
              <w:rPr>
                <w:rFonts w:ascii="Times New Roman" w:cs="Times New Roman" w:eastAsia="Times New Roman" w:hAnsi="Times New Roman"/>
                <w:sz w:val="25"/>
                <w:szCs w:val="25"/>
                <w:color w:val="008000"/>
                <w:w w:val="91"/>
                <w:vertAlign w:val="superscript"/>
              </w:rPr>
              <w:t>(6)</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10/01/2029</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5,000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39.58</w:t>
            </w:r>
            <w:r>
              <w:rPr>
                <w:rFonts w:ascii="Times New Roman" w:cs="Times New Roman" w:eastAsia="Times New Roman" w:hAnsi="Times New Roman"/>
                <w:sz w:val="25"/>
                <w:szCs w:val="25"/>
                <w:color w:val="008000"/>
                <w:w w:val="89"/>
                <w:vertAlign w:val="superscript"/>
              </w:rPr>
              <w:t>(8)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-1149985</wp:posOffset>
            </wp:positionV>
            <wp:extent cx="6927850" cy="991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991235"/>
                    </a:xfrm>
                    <a:prstGeom prst="rect">
                      <a:avLst/>
                    </a:prstGeom>
                    <a:noFill/>
                  </pic:spPr>
                </pic:pic>
              </a:graphicData>
            </a:graphic>
          </wp:anchor>
        </w:drawing>
      </w:r>
    </w:p>
    <w:p>
      <w:pPr>
        <w:ind w:left="40" w:right="1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were originally exercisable for ordinary shares of Avita Medical, Ltd. ("Predecessor"). Pursuant to a scheme of arrangement, completed on June 30, 2020, the Stock Options became exercisable for shares of Common Stock of the Issuer in the ratio of one share of Common Stock for every 100 ordinary shares of Predecessor for which the Stock Options would otherwise be exercisable.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6,000 of these Stock Options are currently exercisable and 3,000 become exercisable based on performance-based vesting criteria</w:t>
      </w:r>
    </w:p>
    <w:p>
      <w:pPr>
        <w:spacing w:after="0" w:line="52"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was converted from A$0.056, which reflects the 100:1 consolidation ratio applied in converting ordinary shares of Predecessor to shares of the Issuer's Common Stock, using the exchange rate as in effect on the date of grant (June 12, 2018).</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June 12,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November 1, 2019.</w:t>
      </w:r>
    </w:p>
    <w:p>
      <w:pPr>
        <w:spacing w:after="0" w:line="52"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was converted from A$0.089, which reflects the 100:1 consolidation ratio applied in converting ordinary shares of Predecessor to shares of the Issuer's Common Stock, using the exchange rate as in effect on the date of grant (November 1, 2018).</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become exercisable in four equal annual installments beginning on October 1, 2020.</w:t>
      </w:r>
    </w:p>
    <w:p>
      <w:pPr>
        <w:spacing w:after="0" w:line="52"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was converted from A$0.590, which reflects the 100:1 consolidation ratio applied in converting ordinary shares of Predecessor to shares of the Issuer's Common Stock, using the exchange rate as in effect on the date of grant (October 1, 2019).</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Donna Shiroma, by</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11/23/2020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92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24" w:lineRule="exact"/>
        <w:rPr>
          <w:sz w:val="20"/>
          <w:szCs w:val="20"/>
          <w:color w:val="auto"/>
        </w:rPr>
      </w:pPr>
    </w:p>
    <w:p>
      <w:pPr>
        <w:ind w:right="1420" w:firstLine="937"/>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Jonathan Miner and Coleman Wombwell of K&amp;L Gates LLP, signing individually, the undersigned's true and lawful attorneys in fact and agents to:</w:t>
      </w:r>
    </w:p>
    <w:p>
      <w:pPr>
        <w:spacing w:after="0" w:line="87" w:lineRule="exact"/>
        <w:rPr>
          <w:sz w:val="20"/>
          <w:szCs w:val="20"/>
          <w:color w:val="auto"/>
        </w:rPr>
      </w:pPr>
    </w:p>
    <w:p>
      <w:pPr>
        <w:ind w:firstLine="937"/>
        <w:spacing w:after="0" w:line="25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ind w:right="1640"/>
        <w:spacing w:after="0" w:line="29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8" w:lineRule="exact"/>
        <w:rPr>
          <w:rFonts w:ascii="Courier New" w:cs="Courier New" w:eastAsia="Courier New" w:hAnsi="Courier New"/>
          <w:sz w:val="20"/>
          <w:szCs w:val="20"/>
          <w:color w:val="auto"/>
        </w:rPr>
      </w:pPr>
    </w:p>
    <w:p>
      <w:pPr>
        <w:ind w:firstLine="937"/>
        <w:spacing w:after="0" w:line="25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ind w:right="142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100" w:lineRule="exact"/>
        <w:rPr>
          <w:rFonts w:ascii="Courier New" w:cs="Courier New" w:eastAsia="Courier New" w:hAnsi="Courier New"/>
          <w:sz w:val="20"/>
          <w:szCs w:val="20"/>
          <w:color w:val="auto"/>
        </w:rPr>
      </w:pPr>
    </w:p>
    <w:p>
      <w:pPr>
        <w:ind w:right="240" w:firstLine="937"/>
        <w:spacing w:after="0" w:line="251"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ind w:right="2820"/>
        <w:spacing w:after="0" w:line="37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ind w:right="142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6"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ind w:right="1420"/>
        <w:spacing w:after="0" w:line="27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322"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ind w:right="1300"/>
        <w:spacing w:after="0" w:line="256"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106" w:lineRule="exact"/>
        <w:rPr>
          <w:sz w:val="20"/>
          <w:szCs w:val="20"/>
          <w:color w:val="auto"/>
        </w:rPr>
      </w:pPr>
    </w:p>
    <w:p>
      <w:pPr>
        <w:ind w:right="940"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November 18,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Sean Ekins</w:t>
      </w:r>
    </w:p>
    <w:p>
      <w:pPr>
        <w:spacing w:after="0" w:line="3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Sean Ekins</w:t>
      </w:r>
    </w:p>
    <w:sectPr>
      <w:pgSz w:w="11900" w:h="16838" w:orient="portrait"/>
      <w:cols w:equalWidth="0" w:num="1">
        <w:col w:w="10660"/>
      </w:cols>
      <w:pgMar w:left="480" w:top="106" w:right="759"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33454"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2020-11-23T15:29:37Z</dcterms:created>
  <dcterms:modified xsi:type="dcterms:W3CDTF">2020-11-23T15:29:37Z</dcterms:modified>
</cp:coreProperties>
</file>