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spacing w:before="0" w:after="0"/>
        <w:jc w:val="center"/>
        <w:rPr/>
      </w:pPr>
      <w:bookmarkStart w:id="0" w:name="rcel-20230630.htm"/>
      <w:bookmarkStart w:id="1" w:name="ksrcel20230630"/>
      <w:bookmarkEnd w:id="0"/>
      <w:bookmarkEnd w:id="1"/>
      <w:r>
        <w:rPr/>
        <w:t> </w:t>
      </w:r>
    </w:p>
    <w:p>
      <w:pPr>
        <w:pStyle w:val="TextBody"/>
        <w:bidi w:val="0"/>
        <w:spacing w:before="0" w:after="0"/>
        <w:jc w:val="center"/>
        <w:rPr>
          <w:rFonts w:ascii="Times New Roman" w:hAnsi="Times New Roman"/>
          <w:sz w:val="20"/>
        </w:rPr>
      </w:pPr>
      <w:r>
        <w:rPr>
          <w:rFonts w:ascii="Times New Roman;serif" w:hAnsi="Times New Roman;serif"/>
          <w:b/>
          <w:sz w:val="34"/>
        </w:rPr>
        <w:t>UNITED STATES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34"/>
        </w:rPr>
        <w:t>SECURITIES AND EXCHANGE COMMISSION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2"/>
        </w:rPr>
        <w:t>Washington, D.C. 20549</w:t>
      </w:r>
      <w:r>
        <w:rPr>
          <w:rFonts w:ascii="Times New Roman" w:hAnsi="Times New Roman"/>
          <w:sz w:val="20"/>
        </w:rPr>
        <w:t xml:space="preserve"> </w:t>
      </w:r>
    </w:p>
    <w:p>
      <w:pPr>
        <w:pStyle w:val="TextBody"/>
        <w:bidi w:val="0"/>
        <w:spacing w:before="80" w:after="0"/>
        <w:jc w:val="center"/>
        <w:rPr>
          <w:rFonts w:ascii="Times New Roman" w:hAnsi="Times New Roman"/>
          <w:sz w:val="20"/>
        </w:rPr>
      </w:pPr>
      <w:r>
        <w:rPr>
          <w:rFonts w:ascii="Times New Roman;serif" w:hAnsi="Times New Roman;serif"/>
          <w:b/>
          <w:sz w:val="34"/>
        </w:rPr>
        <w:t>FORM 10-Q</w:t>
      </w:r>
      <w:r>
        <w:rPr>
          <w:rFonts w:ascii="Times New Roman" w:hAnsi="Times New Roman"/>
          <w:sz w:val="20"/>
        </w:rPr>
        <w:t xml:space="preserve"> </w:t>
      </w:r>
    </w:p>
    <w:p>
      <w:pPr>
        <w:pStyle w:val="TextBody"/>
        <w:bidi w:val="0"/>
        <w:spacing w:before="80" w:after="0"/>
        <w:jc w:val="left"/>
        <w:rPr/>
      </w:pPr>
      <w:r>
        <w:rPr/>
        <w:t xml:space="preserve">☒ </w:t>
      </w:r>
      <w:r>
        <w:rPr>
          <w:rFonts w:ascii="Times New Roman;serif" w:hAnsi="Times New Roman;serif"/>
          <w:b/>
          <w:sz w:val="22"/>
        </w:rPr>
        <w:t>QUARTERLY REPORT PURSUANT TO SECTION 13 OR 15(d) OF THE SECURITIES EXCHANGE ACT OF 1934</w:t>
      </w:r>
      <w:r>
        <w:rPr>
          <w:rFonts w:ascii="Times New Roman" w:hAnsi="Times New Roman"/>
          <w:sz w:val="20"/>
        </w:rPr>
        <w:t xml:space="preserve"> </w:t>
      </w:r>
    </w:p>
    <w:p>
      <w:pPr>
        <w:pStyle w:val="TextBody"/>
        <w:bidi w:val="0"/>
        <w:spacing w:before="80" w:after="0"/>
        <w:jc w:val="center"/>
        <w:rPr>
          <w:rFonts w:ascii="Times New Roman" w:hAnsi="Times New Roman"/>
          <w:sz w:val="20"/>
        </w:rPr>
      </w:pPr>
      <w:r>
        <w:rPr>
          <w:rFonts w:ascii="Times New Roman;serif" w:hAnsi="Times New Roman;serif"/>
          <w:b/>
          <w:sz w:val="18"/>
        </w:rPr>
        <w:t>For the quarterly period ended June 30, 2023</w:t>
      </w:r>
      <w:r>
        <w:rPr>
          <w:rFonts w:ascii="Times New Roman;serif" w:hAnsi="Times New Roman;serif"/>
          <w:sz w:val="18"/>
        </w:rPr>
        <w:t xml:space="preserve"> </w:t>
      </w:r>
    </w:p>
    <w:p>
      <w:pPr>
        <w:pStyle w:val="TextBody"/>
        <w:bidi w:val="0"/>
        <w:spacing w:before="80" w:after="0"/>
        <w:jc w:val="center"/>
        <w:rPr>
          <w:rFonts w:ascii="Times New Roman" w:hAnsi="Times New Roman"/>
          <w:sz w:val="20"/>
        </w:rPr>
      </w:pPr>
      <w:r>
        <w:rPr>
          <w:rFonts w:ascii="Times New Roman;serif" w:hAnsi="Times New Roman;serif"/>
          <w:b/>
          <w:sz w:val="18"/>
        </w:rPr>
        <w:t>or</w:t>
      </w:r>
      <w:r>
        <w:rPr>
          <w:rFonts w:ascii="Times New Roman" w:hAnsi="Times New Roman"/>
          <w:sz w:val="20"/>
        </w:rPr>
        <w:t xml:space="preserve"> </w:t>
      </w:r>
    </w:p>
    <w:p>
      <w:pPr>
        <w:pStyle w:val="TextBody"/>
        <w:bidi w:val="0"/>
        <w:spacing w:before="80" w:after="0"/>
        <w:jc w:val="left"/>
        <w:rPr/>
      </w:pPr>
      <w:r>
        <w:rPr/>
        <w:t xml:space="preserve">☐ </w:t>
      </w:r>
      <w:r>
        <w:rPr>
          <w:rFonts w:ascii="Times New Roman;serif" w:hAnsi="Times New Roman;serif"/>
          <w:b/>
          <w:sz w:val="22"/>
        </w:rPr>
        <w:t>TRANSITION REPORT PURSUANT TO SECTION 13 OR 15(d) OF THE SECURITIES EXCHANGE ACT OF 1934</w:t>
      </w:r>
      <w:r>
        <w:rPr>
          <w:rFonts w:ascii="Times New Roman" w:hAnsi="Times New Roman"/>
          <w:sz w:val="20"/>
        </w:rPr>
        <w:t xml:space="preserve"> </w:t>
      </w:r>
    </w:p>
    <w:p>
      <w:pPr>
        <w:pStyle w:val="TextBody"/>
        <w:bidi w:val="0"/>
        <w:spacing w:before="80" w:after="0"/>
        <w:jc w:val="center"/>
        <w:rPr>
          <w:rFonts w:ascii="Times New Roman" w:hAnsi="Times New Roman"/>
          <w:sz w:val="20"/>
        </w:rPr>
      </w:pPr>
      <w:r>
        <w:rPr>
          <w:rFonts w:ascii="Times New Roman;serif" w:hAnsi="Times New Roman;serif"/>
          <w:b/>
          <w:sz w:val="18"/>
        </w:rPr>
        <w:t>For the transition period from to</w:t>
      </w:r>
      <w:r>
        <w:rPr>
          <w:rFonts w:ascii="Times New Roman" w:hAnsi="Times New Roman"/>
          <w:sz w:val="20"/>
        </w:rPr>
        <w:t xml:space="preserve"> </w:t>
      </w:r>
    </w:p>
    <w:p>
      <w:pPr>
        <w:pStyle w:val="TextBody"/>
        <w:bidi w:val="0"/>
        <w:spacing w:before="80" w:after="0"/>
        <w:jc w:val="center"/>
        <w:rPr>
          <w:rFonts w:ascii="Times New Roman" w:hAnsi="Times New Roman"/>
          <w:sz w:val="20"/>
        </w:rPr>
      </w:pPr>
      <w:r>
        <w:rPr>
          <w:rFonts w:ascii="Times New Roman;serif" w:hAnsi="Times New Roman;serif"/>
          <w:b/>
          <w:sz w:val="18"/>
        </w:rPr>
        <w:t>Commission File Number: 001-39059</w:t>
      </w:r>
      <w:r>
        <w:rPr>
          <w:rFonts w:ascii="Times New Roman" w:hAnsi="Times New Roman"/>
          <w:sz w:val="20"/>
        </w:rPr>
        <w:t xml:space="preserve"> </w:t>
      </w:r>
    </w:p>
    <w:p>
      <w:pPr>
        <w:pStyle w:val="TextBody"/>
        <w:bidi w:val="0"/>
        <w:spacing w:before="80" w:after="0"/>
        <w:jc w:val="center"/>
        <w:rPr/>
      </w:pPr>
      <w:r>
        <w:rPr/>
        <w:drawing>
          <wp:inline distT="0" distB="0" distL="0" distR="0">
            <wp:extent cx="1828800" cy="91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914400"/>
                    </a:xfrm>
                    <a:prstGeom prst="rect">
                      <a:avLst/>
                    </a:prstGeom>
                  </pic:spPr>
                </pic:pic>
              </a:graphicData>
            </a:graphic>
          </wp:inline>
        </w:drawing>
      </w:r>
      <w:r>
        <w:rPr/>
        <w:t> </w:t>
      </w:r>
    </w:p>
    <w:p>
      <w:pPr>
        <w:pStyle w:val="TextBody"/>
        <w:bidi w:val="0"/>
        <w:spacing w:before="80" w:after="0"/>
        <w:jc w:val="center"/>
        <w:rPr>
          <w:rFonts w:ascii="Times New Roman" w:hAnsi="Times New Roman"/>
          <w:sz w:val="20"/>
        </w:rPr>
      </w:pPr>
      <w:r>
        <w:rPr>
          <w:rFonts w:ascii="Times New Roman;serif" w:hAnsi="Times New Roman;serif"/>
          <w:b/>
          <w:sz w:val="46"/>
        </w:rPr>
        <w:t>AVITA MEDICAL,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18"/>
        </w:rPr>
        <w:t>(Exact name of registrant as specified in its charter)</w:t>
      </w:r>
      <w:r>
        <w:rPr>
          <w:rFonts w:ascii="Times New Roman" w:hAnsi="Times New Roman"/>
          <w:sz w:val="20"/>
        </w:rPr>
        <w:t xml:space="preserve"> </w:t>
      </w:r>
    </w:p>
    <w:tbl>
      <w:tblPr>
        <w:tblW w:w="3227" w:type="dxa"/>
        <w:jc w:val="left"/>
        <w:tblInd w:w="0" w:type="dxa"/>
        <w:tblLayout w:type="fixed"/>
        <w:tblCellMar>
          <w:top w:w="28" w:type="dxa"/>
          <w:left w:w="28" w:type="dxa"/>
          <w:bottom w:w="28" w:type="dxa"/>
          <w:right w:w="28" w:type="dxa"/>
        </w:tblCellMar>
      </w:tblPr>
      <w:tblGrid>
        <w:gridCol w:w="1981"/>
        <w:gridCol w:w="1246"/>
      </w:tblGrid>
      <w:tr>
        <w:trPr/>
        <w:tc>
          <w:tcPr>
            <w:tcW w:w="198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1981"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Delaware</w:t>
            </w:r>
          </w:p>
        </w:tc>
        <w:tc>
          <w:tcPr>
            <w:tcW w:w="1246"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85-1021707</w:t>
            </w:r>
          </w:p>
        </w:tc>
      </w:tr>
      <w:tr>
        <w:trPr/>
        <w:tc>
          <w:tcPr>
            <w:tcW w:w="1981" w:type="dxa"/>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(State or other jurisdiction of</w:t>
            </w:r>
          </w:p>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incorporation or organization)</w:t>
            </w:r>
          </w:p>
        </w:tc>
        <w:tc>
          <w:tcPr>
            <w:tcW w:w="1246" w:type="dxa"/>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(IRS Employer</w:t>
            </w:r>
          </w:p>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Identification No.)</w:t>
            </w:r>
          </w:p>
        </w:tc>
      </w:tr>
    </w:tbl>
    <w:p>
      <w:pPr>
        <w:pStyle w:val="TextBody"/>
        <w:bidi w:val="0"/>
        <w:spacing w:before="0" w:after="0"/>
        <w:jc w:val="center"/>
        <w:rPr>
          <w:rFonts w:ascii="Times New Roman" w:hAnsi="Times New Roman"/>
          <w:sz w:val="20"/>
        </w:rPr>
      </w:pPr>
      <w:r>
        <w:rPr>
          <w:rFonts w:ascii="Times New Roman;serif" w:hAnsi="Times New Roman;serif"/>
          <w:b/>
          <w:sz w:val="18"/>
        </w:rPr>
        <w:t>28159 Avenue Stanford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18"/>
        </w:rPr>
        <w:t>Suite 220</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18"/>
        </w:rPr>
        <w:t>Valencia, CA</w:t>
      </w:r>
      <w:r>
        <w:rPr>
          <w:rFonts w:ascii="Times New Roman" w:hAnsi="Times New Roman"/>
          <w:sz w:val="20"/>
        </w:rPr>
        <w:t xml:space="preserve"> </w:t>
      </w:r>
      <w:r>
        <w:rPr>
          <w:rFonts w:ascii="Times New Roman;serif" w:hAnsi="Times New Roman;serif"/>
          <w:b/>
          <w:sz w:val="18"/>
        </w:rPr>
        <w:t>91355</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14"/>
        </w:rPr>
        <w:t>(Address of principal executive offices and Zip Code)</w:t>
      </w:r>
      <w:r>
        <w:rPr>
          <w:rFonts w:ascii="Times New Roman" w:hAnsi="Times New Roman"/>
          <w:sz w:val="20"/>
        </w:rPr>
        <w:t xml:space="preserve"> </w:t>
      </w:r>
    </w:p>
    <w:p>
      <w:pPr>
        <w:pStyle w:val="TextBody"/>
        <w:bidi w:val="0"/>
        <w:spacing w:before="80" w:after="0"/>
        <w:jc w:val="center"/>
        <w:rPr>
          <w:rFonts w:ascii="Times New Roman" w:hAnsi="Times New Roman"/>
          <w:sz w:val="20"/>
        </w:rPr>
      </w:pPr>
      <w:r>
        <w:rPr>
          <w:rFonts w:ascii="Times New Roman;serif" w:hAnsi="Times New Roman;serif"/>
          <w:b/>
          <w:sz w:val="18"/>
        </w:rPr>
        <w:t>Registrant’s telephone number, including area code: (661)</w:t>
      </w:r>
      <w:r>
        <w:rPr>
          <w:rFonts w:ascii="Times New Roman" w:hAnsi="Times New Roman"/>
          <w:sz w:val="20"/>
        </w:rPr>
        <w:t xml:space="preserve"> </w:t>
      </w:r>
      <w:r>
        <w:rPr>
          <w:rFonts w:ascii="Times New Roman;serif" w:hAnsi="Times New Roman;serif"/>
          <w:b/>
          <w:sz w:val="18"/>
        </w:rPr>
        <w:t>367-9170</w:t>
      </w:r>
      <w:r>
        <w:rPr>
          <w:rFonts w:ascii="Times New Roman" w:hAnsi="Times New Roman"/>
          <w:sz w:val="20"/>
        </w:rPr>
        <w:t xml:space="preserve"> </w:t>
      </w:r>
    </w:p>
    <w:p>
      <w:pPr>
        <w:pStyle w:val="TextBody"/>
        <w:bidi w:val="0"/>
        <w:spacing w:before="80" w:after="0"/>
        <w:jc w:val="center"/>
        <w:rPr>
          <w:rFonts w:ascii="Times New Roman" w:hAnsi="Times New Roman"/>
          <w:sz w:val="20"/>
        </w:rPr>
      </w:pPr>
      <w:r>
        <w:rPr>
          <w:rFonts w:ascii="Times New Roman;serif" w:hAnsi="Times New Roman;serif"/>
          <w:b/>
          <w:sz w:val="18"/>
        </w:rPr>
        <w:t>Securities registered pursuant to Section 12(b) of the Act:</w:t>
      </w:r>
      <w:r>
        <w:rPr>
          <w:rFonts w:ascii="Times New Roman" w:hAnsi="Times New Roman"/>
          <w:sz w:val="20"/>
        </w:rPr>
        <w:t xml:space="preserve"> </w:t>
      </w:r>
    </w:p>
    <w:tbl>
      <w:tblPr>
        <w:tblW w:w="7409" w:type="dxa"/>
        <w:jc w:val="left"/>
        <w:tblInd w:w="0" w:type="dxa"/>
        <w:tblLayout w:type="fixed"/>
        <w:tblCellMar>
          <w:top w:w="28" w:type="dxa"/>
          <w:left w:w="28" w:type="dxa"/>
          <w:bottom w:w="28" w:type="dxa"/>
          <w:right w:w="28" w:type="dxa"/>
        </w:tblCellMar>
      </w:tblPr>
      <w:tblGrid>
        <w:gridCol w:w="3708"/>
        <w:gridCol w:w="328"/>
        <w:gridCol w:w="616"/>
        <w:gridCol w:w="146"/>
        <w:gridCol w:w="2611"/>
      </w:tblGrid>
      <w:tr>
        <w:trPr/>
        <w:tc>
          <w:tcPr>
            <w:tcW w:w="3708"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11" w:type="dxa"/>
            <w:tcBorders/>
            <w:shd w:fill="FFFFFF" w:val="clear"/>
            <w:vAlign w:val="center"/>
          </w:tcPr>
          <w:p>
            <w:pPr>
              <w:pStyle w:val="TableContents"/>
              <w:bidi w:val="0"/>
              <w:spacing w:before="0" w:after="283"/>
              <w:jc w:val="left"/>
              <w:rPr>
                <w:sz w:val="4"/>
                <w:szCs w:val="4"/>
              </w:rPr>
            </w:pPr>
            <w:r>
              <w:rPr>
                <w:sz w:val="4"/>
                <w:szCs w:val="4"/>
              </w:rPr>
            </w:r>
          </w:p>
        </w:tc>
      </w:tr>
      <w:tr>
        <w:trPr/>
        <w:tc>
          <w:tcPr>
            <w:tcW w:w="37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Title of each class</w:t>
            </w:r>
          </w:p>
        </w:tc>
        <w:tc>
          <w:tcPr>
            <w:tcW w:w="3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Trading</w:t>
            </w:r>
          </w:p>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Name of each exchange</w:t>
            </w:r>
          </w:p>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on which registered</w:t>
            </w:r>
          </w:p>
        </w:tc>
      </w:tr>
      <w:tr>
        <w:trPr/>
        <w:tc>
          <w:tcPr>
            <w:tcW w:w="3708" w:type="dxa"/>
            <w:tcBorders/>
            <w:vAlign w:val="center"/>
          </w:tcPr>
          <w:p>
            <w:pPr>
              <w:pStyle w:val="TableContents"/>
              <w:bidi w:val="0"/>
              <w:spacing w:before="0" w:after="0"/>
              <w:ind w:left="0" w:right="0" w:firstLine="182"/>
              <w:jc w:val="center"/>
              <w:rPr>
                <w:rFonts w:ascii="Times New Roman;serif" w:hAnsi="Times New Roman;serif"/>
                <w:b/>
                <w:sz w:val="18"/>
              </w:rPr>
            </w:pPr>
            <w:r>
              <w:rPr>
                <w:rFonts w:ascii="Times New Roman;serif" w:hAnsi="Times New Roman;serif"/>
                <w:b/>
                <w:sz w:val="18"/>
              </w:rPr>
              <w:t>Common Stock, par value $0.0001 per share</w:t>
            </w:r>
          </w:p>
        </w:tc>
        <w:tc>
          <w:tcPr>
            <w:tcW w:w="328" w:type="dxa"/>
            <w:tcBorders/>
            <w:vAlign w:val="center"/>
          </w:tcPr>
          <w:p>
            <w:pPr>
              <w:pStyle w:val="TableContents"/>
              <w:bidi w:val="0"/>
              <w:spacing w:before="0" w:after="0"/>
              <w:ind w:left="0" w:right="0" w:firstLine="182"/>
              <w:jc w:val="center"/>
              <w:rPr/>
            </w:pPr>
            <w:r>
              <w:rPr/>
              <w:t> </w:t>
            </w:r>
          </w:p>
        </w:tc>
        <w:tc>
          <w:tcPr>
            <w:tcW w:w="616" w:type="dxa"/>
            <w:tcBorders/>
            <w:vAlign w:val="center"/>
          </w:tcPr>
          <w:p>
            <w:pPr>
              <w:pStyle w:val="TableContents"/>
              <w:bidi w:val="0"/>
              <w:spacing w:before="0" w:after="0"/>
              <w:ind w:left="182" w:right="0" w:hanging="0"/>
              <w:jc w:val="center"/>
              <w:rPr>
                <w:rFonts w:ascii="Times New Roman;serif" w:hAnsi="Times New Roman;serif"/>
                <w:b/>
                <w:sz w:val="18"/>
              </w:rPr>
            </w:pPr>
            <w:r>
              <w:rPr>
                <w:rFonts w:ascii="Times New Roman;serif" w:hAnsi="Times New Roman;serif"/>
                <w:b/>
                <w:sz w:val="18"/>
              </w:rPr>
              <w:t>RCEL</w:t>
            </w:r>
          </w:p>
        </w:tc>
        <w:tc>
          <w:tcPr>
            <w:tcW w:w="146" w:type="dxa"/>
            <w:tcBorders/>
            <w:vAlign w:val="center"/>
          </w:tcPr>
          <w:p>
            <w:pPr>
              <w:pStyle w:val="TableContents"/>
              <w:bidi w:val="0"/>
              <w:spacing w:before="0" w:after="0"/>
              <w:ind w:left="0" w:right="0" w:hanging="0"/>
              <w:jc w:val="center"/>
              <w:rPr/>
            </w:pPr>
            <w:r>
              <w:rPr/>
              <w:t> </w:t>
            </w:r>
          </w:p>
        </w:tc>
        <w:tc>
          <w:tcPr>
            <w:tcW w:w="261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18"/>
              </w:rPr>
              <w:t>The Nasdaq</w:t>
            </w:r>
            <w:r>
              <w:rPr>
                <w:rFonts w:ascii="Times New Roman" w:hAnsi="Times New Roman"/>
                <w:sz w:val="20"/>
              </w:rPr>
              <w:t> </w:t>
            </w:r>
            <w:r>
              <w:rPr>
                <w:rFonts w:ascii="Times New Roman;serif" w:hAnsi="Times New Roman;serif"/>
                <w:b/>
                <w:sz w:val="18"/>
              </w:rPr>
              <w:t>Stock Market LLC</w:t>
            </w:r>
          </w:p>
        </w:tc>
      </w:tr>
    </w:tbl>
    <w:p>
      <w:pPr>
        <w:pStyle w:val="TextBody"/>
        <w:bidi w:val="0"/>
        <w:spacing w:before="8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 xml:space="preserve">No </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 xml:space="preserve">No </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Times New Roman;serif" w:hAnsi="Times New Roman;serif"/>
          <w:b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tbl>
      <w:tblPr>
        <w:tblW w:w="5051" w:type="dxa"/>
        <w:jc w:val="left"/>
        <w:tblInd w:w="0" w:type="dxa"/>
        <w:tblLayout w:type="fixed"/>
        <w:tblCellMar>
          <w:top w:w="28" w:type="dxa"/>
          <w:left w:w="28" w:type="dxa"/>
          <w:bottom w:w="28" w:type="dxa"/>
          <w:right w:w="28" w:type="dxa"/>
        </w:tblCellMar>
      </w:tblPr>
      <w:tblGrid>
        <w:gridCol w:w="2056"/>
        <w:gridCol w:w="146"/>
        <w:gridCol w:w="31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202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80" w:after="0"/>
        <w:jc w:val="left"/>
        <w:rPr>
          <w:rFonts w:ascii="Times New Roman" w:hAnsi="Times New Roman"/>
          <w:sz w:val="20"/>
        </w:rPr>
      </w:pPr>
      <w:r>
        <w:rPr>
          <w:rFonts w:ascii="Times New Roman;serif" w:hAnsi="Times New Roman;serif"/>
          <w:b w:val="false"/>
          <w:sz w:val="18"/>
        </w:rPr>
        <w:t xml:space="preserve">If an emerging growth company, indicate by check mark if the registrant has selected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8"/>
        </w:rPr>
        <w:t xml:space="preserve">No </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Times New Roman;serif" w:hAnsi="Times New Roman;serif"/>
          <w:b w:val="false"/>
          <w:sz w:val="18"/>
        </w:rPr>
        <w:t>The number of shares of the registrant’s common stock, par value $0.0001, outstanding as of August 2, 2023 was 25,478,301</w:t>
      </w:r>
      <w:r>
        <w:rPr>
          <w:rFonts w:ascii="Times New Roman" w:hAnsi="Times New Roman"/>
          <w:sz w:val="20"/>
        </w:rPr>
        <w:t xml:space="preserve"> </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TABLE OF CONTENTS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001"/>
        <w:gridCol w:w="8146"/>
        <w:gridCol w:w="146"/>
        <w:gridCol w:w="912"/>
      </w:tblGrid>
      <w:tr>
        <w:trPr/>
        <w:tc>
          <w:tcPr>
            <w:tcW w:w="1001" w:type="dxa"/>
            <w:tcBorders/>
            <w:vAlign w:val="center"/>
          </w:tcPr>
          <w:p>
            <w:pPr>
              <w:pStyle w:val="TableContents"/>
              <w:bidi w:val="0"/>
              <w:spacing w:before="0" w:after="283"/>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r>
      <w:tr>
        <w:trPr/>
        <w:tc>
          <w:tcPr>
            <w:tcW w:w="9147" w:type="dxa"/>
            <w:gridSpan w:val="2"/>
            <w:tcBorders/>
            <w:vAlign w:val="center"/>
          </w:tcPr>
          <w:p>
            <w:pPr>
              <w:pStyle w:val="TableContents"/>
              <w:bidi w:val="0"/>
              <w:spacing w:before="0" w:after="0"/>
              <w:ind w:left="0" w:right="0" w:hanging="0"/>
              <w:jc w:val="left"/>
              <w:rPr/>
            </w:pPr>
            <w:hyperlink w:anchor="special_note_regarding_forward_looking">
              <w:r>
                <w:rPr>
                  <w:rStyle w:val="InternetLink"/>
                  <w:rFonts w:ascii="Times New Roman;serif" w:hAnsi="Times New Roman;serif"/>
                  <w:b/>
                  <w:sz w:val="20"/>
                  <w:u w:val="single"/>
                </w:rPr>
                <w:t>SPECIAL NOTE REGARDING FORWARD-LOOKING STATEMENT</w:t>
              </w:r>
            </w:hyperlink>
            <w:hyperlink w:anchor="special_note_regarding_forward_looking">
              <w:r>
                <w:rPr>
                  <w:rStyle w:val="InternetLink"/>
                  <w:rFonts w:ascii="Times New Roman" w:hAnsi="Times New Roman"/>
                  <w:sz w:val="20"/>
                </w:rPr>
                <w:t xml:space="preserve"> </w:t>
              </w:r>
            </w:hyperlink>
          </w:p>
        </w:tc>
        <w:tc>
          <w:tcPr>
            <w:tcW w:w="146" w:type="dxa"/>
            <w:tcBorders/>
            <w:vAlign w:val="center"/>
          </w:tcPr>
          <w:p>
            <w:pPr>
              <w:pStyle w:val="TableContents"/>
              <w:bidi w:val="0"/>
              <w:spacing w:before="0" w:after="0"/>
              <w:ind w:left="0" w:right="0" w:hanging="0"/>
              <w:jc w:val="right"/>
              <w:rPr/>
            </w:pPr>
            <w:r>
              <w:rPr/>
              <w:t> </w:t>
            </w:r>
          </w:p>
        </w:tc>
        <w:tc>
          <w:tcPr>
            <w:tcW w:w="9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914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9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9147" w:type="dxa"/>
            <w:gridSpan w:val="2"/>
            <w:tcBorders/>
            <w:vAlign w:val="center"/>
          </w:tcPr>
          <w:p>
            <w:pPr>
              <w:pStyle w:val="TableContents"/>
              <w:bidi w:val="0"/>
              <w:spacing w:before="0" w:after="0"/>
              <w:ind w:left="0" w:right="0" w:hanging="0"/>
              <w:jc w:val="left"/>
              <w:rPr/>
            </w:pPr>
            <w:hyperlink w:anchor="part_i_financial_information">
              <w:r>
                <w:rPr>
                  <w:rStyle w:val="InternetLink"/>
                  <w:rFonts w:ascii="Times New Roman;serif" w:hAnsi="Times New Roman;serif"/>
                  <w:b/>
                  <w:sz w:val="20"/>
                  <w:u w:val="single"/>
                </w:rPr>
                <w:t>PART I – FINANCIAL INFORMATION</w:t>
              </w:r>
            </w:hyperlink>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right"/>
              <w:rPr/>
            </w:pPr>
            <w:r>
              <w:rPr/>
              <w:t> </w:t>
            </w:r>
          </w:p>
        </w:tc>
        <w:tc>
          <w:tcPr>
            <w:tcW w:w="9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1001" w:type="dxa"/>
            <w:tcBorders/>
            <w:vAlign w:val="center"/>
          </w:tcPr>
          <w:p>
            <w:pPr>
              <w:pStyle w:val="TableContents"/>
              <w:bidi w:val="0"/>
              <w:spacing w:before="0" w:after="283"/>
              <w:ind w:left="0" w:right="0" w:hanging="0"/>
              <w:jc w:val="left"/>
              <w:rPr>
                <w:sz w:val="4"/>
                <w:szCs w:val="4"/>
              </w:rPr>
            </w:pPr>
            <w:r>
              <w:rPr>
                <w:sz w:val="4"/>
                <w:szCs w:val="4"/>
              </w:rPr>
            </w:r>
          </w:p>
        </w:tc>
        <w:tc>
          <w:tcPr>
            <w:tcW w:w="8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firstLine="240"/>
              <w:jc w:val="right"/>
              <w:rPr/>
            </w:pPr>
            <w:r>
              <w:rPr/>
              <w:t> </w:t>
            </w:r>
          </w:p>
        </w:tc>
      </w:tr>
      <w:tr>
        <w:trPr/>
        <w:tc>
          <w:tcPr>
            <w:tcW w:w="1001" w:type="dxa"/>
            <w:tcBorders/>
            <w:vAlign w:val="center"/>
          </w:tcPr>
          <w:p>
            <w:pPr>
              <w:pStyle w:val="TableContents"/>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1.</w:t>
            </w:r>
          </w:p>
        </w:tc>
        <w:tc>
          <w:tcPr>
            <w:tcW w:w="8146" w:type="dxa"/>
            <w:tcBorders/>
            <w:vAlign w:val="center"/>
          </w:tcPr>
          <w:p>
            <w:pPr>
              <w:pStyle w:val="TableContents"/>
              <w:pBdr/>
              <w:bidi w:val="0"/>
              <w:spacing w:before="0" w:after="0"/>
              <w:ind w:left="0" w:right="0" w:hanging="240"/>
              <w:jc w:val="left"/>
              <w:rPr/>
            </w:pPr>
            <w:hyperlink w:anchor="item_1_financial_statements">
              <w:r>
                <w:rPr>
                  <w:rStyle w:val="InternetLink"/>
                  <w:rFonts w:ascii="Times New Roman;serif" w:hAnsi="Times New Roman;serif"/>
                  <w:b/>
                  <w:sz w:val="20"/>
                  <w:u w:val="single"/>
                </w:rPr>
                <w:t>Financial Statements</w:t>
              </w:r>
            </w:hyperlink>
          </w:p>
        </w:tc>
        <w:tc>
          <w:tcPr>
            <w:tcW w:w="146" w:type="dxa"/>
            <w:tcBorders/>
            <w:vAlign w:val="center"/>
          </w:tcPr>
          <w:p>
            <w:pPr>
              <w:pStyle w:val="TableContents"/>
              <w:bidi w:val="0"/>
              <w:spacing w:before="0" w:after="20"/>
              <w:ind w:left="0" w:right="0" w:hanging="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serif" w:hAnsi="Times New Roman;serif"/>
                <w:b w:val="false"/>
                <w:sz w:val="20"/>
              </w:rPr>
            </w:pPr>
            <w:r>
              <w:rPr>
                <w:rFonts w:ascii="Times New Roman;serif" w:hAnsi="Times New Roman;serif"/>
                <w:b w:val="false"/>
                <w:sz w:val="20"/>
              </w:rPr>
              <w:t>5</w:t>
            </w:r>
          </w:p>
        </w:tc>
      </w:tr>
      <w:tr>
        <w:trPr/>
        <w:tc>
          <w:tcPr>
            <w:tcW w:w="1001" w:type="dxa"/>
            <w:tcBorders/>
            <w:vAlign w:val="center"/>
          </w:tcPr>
          <w:p>
            <w:pPr>
              <w:pStyle w:val="TableContents"/>
              <w:bidi w:val="0"/>
              <w:spacing w:before="0" w:after="283"/>
              <w:ind w:left="0" w:right="0" w:firstLine="360"/>
              <w:jc w:val="left"/>
              <w:rPr>
                <w:sz w:val="4"/>
                <w:szCs w:val="4"/>
              </w:rPr>
            </w:pPr>
            <w:r>
              <w:rPr>
                <w:sz w:val="4"/>
                <w:szCs w:val="4"/>
              </w:rPr>
            </w:r>
          </w:p>
        </w:tc>
        <w:tc>
          <w:tcPr>
            <w:tcW w:w="8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firstLine="360"/>
              <w:jc w:val="right"/>
              <w:rPr/>
            </w:pPr>
            <w:r>
              <w:rPr/>
              <w:t> </w:t>
            </w:r>
          </w:p>
        </w:tc>
      </w:tr>
      <w:tr>
        <w:trPr/>
        <w:tc>
          <w:tcPr>
            <w:tcW w:w="100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pBdr/>
              <w:bidi w:val="0"/>
              <w:spacing w:before="0" w:after="0"/>
              <w:ind w:left="0" w:right="0" w:hanging="240"/>
              <w:jc w:val="left"/>
              <w:rPr/>
            </w:pPr>
            <w:hyperlink w:anchor="consolidated_balance_sheets">
              <w:r>
                <w:rPr>
                  <w:rStyle w:val="InternetLink"/>
                  <w:rFonts w:ascii="Times New Roman;serif" w:hAnsi="Times New Roman;serif"/>
                  <w:b w:val="false"/>
                  <w:sz w:val="20"/>
                  <w:u w:val="single"/>
                </w:rPr>
                <w:t>Consolidated Balance Sheets – June 30, 2023 (unaudited) and December 31, 2022</w:t>
              </w:r>
            </w:hyperlink>
          </w:p>
        </w:tc>
        <w:tc>
          <w:tcPr>
            <w:tcW w:w="146" w:type="dxa"/>
            <w:tcBorders/>
            <w:vAlign w:val="center"/>
          </w:tcPr>
          <w:p>
            <w:pPr>
              <w:pStyle w:val="TableContents"/>
              <w:bidi w:val="0"/>
              <w:spacing w:before="0" w:after="20"/>
              <w:ind w:left="0" w:right="0" w:hanging="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serif" w:hAnsi="Times New Roman;serif"/>
                <w:b w:val="false"/>
                <w:sz w:val="20"/>
              </w:rPr>
            </w:pPr>
            <w:r>
              <w:rPr>
                <w:rFonts w:ascii="Times New Roman;serif" w:hAnsi="Times New Roman;serif"/>
                <w:b w:val="false"/>
                <w:sz w:val="20"/>
              </w:rPr>
              <w:t>5</w:t>
            </w:r>
          </w:p>
        </w:tc>
      </w:tr>
      <w:tr>
        <w:trPr/>
        <w:tc>
          <w:tcPr>
            <w:tcW w:w="1001" w:type="dxa"/>
            <w:tcBorders/>
            <w:vAlign w:val="center"/>
          </w:tcPr>
          <w:p>
            <w:pPr>
              <w:pStyle w:val="TableContents"/>
              <w:bidi w:val="0"/>
              <w:spacing w:before="0" w:after="283"/>
              <w:ind w:left="0" w:right="0" w:firstLine="360"/>
              <w:jc w:val="left"/>
              <w:rPr>
                <w:sz w:val="4"/>
                <w:szCs w:val="4"/>
              </w:rPr>
            </w:pPr>
            <w:r>
              <w:rPr>
                <w:sz w:val="4"/>
                <w:szCs w:val="4"/>
              </w:rPr>
            </w:r>
          </w:p>
        </w:tc>
        <w:tc>
          <w:tcPr>
            <w:tcW w:w="8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firstLine="360"/>
              <w:jc w:val="right"/>
              <w:rPr/>
            </w:pPr>
            <w:r>
              <w:rPr/>
              <w:t> </w:t>
            </w:r>
          </w:p>
        </w:tc>
      </w:tr>
      <w:tr>
        <w:trPr/>
        <w:tc>
          <w:tcPr>
            <w:tcW w:w="100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pBdr/>
              <w:bidi w:val="0"/>
              <w:spacing w:before="0" w:after="0"/>
              <w:ind w:left="0" w:right="0" w:hanging="240"/>
              <w:jc w:val="left"/>
              <w:rPr/>
            </w:pPr>
            <w:hyperlink w:anchor="consolidated_statements_operations">
              <w:r>
                <w:rPr>
                  <w:rStyle w:val="InternetLink"/>
                  <w:rFonts w:ascii="Times New Roman;serif" w:hAnsi="Times New Roman;serif"/>
                  <w:b w:val="false"/>
                  <w:sz w:val="20"/>
                  <w:u w:val="single"/>
                </w:rPr>
                <w:t>Consolidated Statements of Operations for the three-months and six-months ended June 30, 2023 and 2022 (unaudited)</w:t>
              </w:r>
            </w:hyperlink>
          </w:p>
        </w:tc>
        <w:tc>
          <w:tcPr>
            <w:tcW w:w="146" w:type="dxa"/>
            <w:tcBorders/>
            <w:vAlign w:val="center"/>
          </w:tcPr>
          <w:p>
            <w:pPr>
              <w:pStyle w:val="TableContents"/>
              <w:bidi w:val="0"/>
              <w:spacing w:before="0" w:after="20"/>
              <w:ind w:left="0" w:right="0" w:hanging="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serif" w:hAnsi="Times New Roman;serif"/>
                <w:b w:val="false"/>
                <w:sz w:val="20"/>
              </w:rPr>
            </w:pPr>
            <w:r>
              <w:rPr>
                <w:rFonts w:ascii="Times New Roman;serif" w:hAnsi="Times New Roman;serif"/>
                <w:b w:val="false"/>
                <w:sz w:val="20"/>
              </w:rPr>
              <w:t>6</w:t>
            </w:r>
          </w:p>
        </w:tc>
      </w:tr>
      <w:tr>
        <w:trPr/>
        <w:tc>
          <w:tcPr>
            <w:tcW w:w="1001" w:type="dxa"/>
            <w:tcBorders/>
            <w:vAlign w:val="center"/>
          </w:tcPr>
          <w:p>
            <w:pPr>
              <w:pStyle w:val="TableContents"/>
              <w:bidi w:val="0"/>
              <w:spacing w:before="0" w:after="283"/>
              <w:ind w:left="0" w:right="0" w:firstLine="360"/>
              <w:jc w:val="left"/>
              <w:rPr>
                <w:sz w:val="4"/>
                <w:szCs w:val="4"/>
              </w:rPr>
            </w:pPr>
            <w:r>
              <w:rPr>
                <w:sz w:val="4"/>
                <w:szCs w:val="4"/>
              </w:rPr>
            </w:r>
          </w:p>
        </w:tc>
        <w:tc>
          <w:tcPr>
            <w:tcW w:w="8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firstLine="360"/>
              <w:jc w:val="right"/>
              <w:rPr/>
            </w:pPr>
            <w:r>
              <w:rPr/>
              <w:t> </w:t>
            </w:r>
          </w:p>
        </w:tc>
      </w:tr>
      <w:tr>
        <w:trPr/>
        <w:tc>
          <w:tcPr>
            <w:tcW w:w="100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pBdr/>
              <w:bidi w:val="0"/>
              <w:spacing w:before="0" w:after="0"/>
              <w:ind w:left="0" w:right="0" w:hanging="240"/>
              <w:jc w:val="left"/>
              <w:rPr/>
            </w:pPr>
            <w:hyperlink w:anchor="consolidated_statements_comprehensive_lo">
              <w:r>
                <w:rPr>
                  <w:rStyle w:val="InternetLink"/>
                  <w:rFonts w:ascii="Times New Roman;serif" w:hAnsi="Times New Roman;serif"/>
                  <w:b w:val="false"/>
                  <w:sz w:val="20"/>
                  <w:u w:val="single"/>
                </w:rPr>
                <w:t>Consolidated Statements of Comprehensive Loss for the three-months and six-months ended June 30, 2023 and 2022 (unaudited)</w:t>
              </w:r>
            </w:hyperlink>
          </w:p>
        </w:tc>
        <w:tc>
          <w:tcPr>
            <w:tcW w:w="146" w:type="dxa"/>
            <w:tcBorders/>
            <w:vAlign w:val="center"/>
          </w:tcPr>
          <w:p>
            <w:pPr>
              <w:pStyle w:val="TableContents"/>
              <w:bidi w:val="0"/>
              <w:spacing w:before="0" w:after="20"/>
              <w:ind w:left="0" w:right="0" w:hanging="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serif" w:hAnsi="Times New Roman;serif"/>
                <w:b w:val="false"/>
                <w:sz w:val="20"/>
              </w:rPr>
            </w:pPr>
            <w:r>
              <w:rPr>
                <w:rFonts w:ascii="Times New Roman;serif" w:hAnsi="Times New Roman;serif"/>
                <w:b w:val="false"/>
                <w:sz w:val="20"/>
              </w:rPr>
              <w:t>7</w:t>
            </w:r>
          </w:p>
        </w:tc>
      </w:tr>
      <w:tr>
        <w:trPr/>
        <w:tc>
          <w:tcPr>
            <w:tcW w:w="1001" w:type="dxa"/>
            <w:tcBorders/>
            <w:vAlign w:val="center"/>
          </w:tcPr>
          <w:p>
            <w:pPr>
              <w:pStyle w:val="TableContents"/>
              <w:bidi w:val="0"/>
              <w:spacing w:before="0" w:after="283"/>
              <w:ind w:left="0" w:right="0" w:firstLine="360"/>
              <w:jc w:val="left"/>
              <w:rPr>
                <w:sz w:val="4"/>
                <w:szCs w:val="4"/>
              </w:rPr>
            </w:pPr>
            <w:r>
              <w:rPr>
                <w:sz w:val="4"/>
                <w:szCs w:val="4"/>
              </w:rPr>
            </w:r>
          </w:p>
        </w:tc>
        <w:tc>
          <w:tcPr>
            <w:tcW w:w="8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firstLine="360"/>
              <w:jc w:val="right"/>
              <w:rPr/>
            </w:pPr>
            <w:r>
              <w:rPr/>
              <w:t> </w:t>
            </w:r>
          </w:p>
        </w:tc>
      </w:tr>
      <w:tr>
        <w:trPr/>
        <w:tc>
          <w:tcPr>
            <w:tcW w:w="100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pBdr/>
              <w:bidi w:val="0"/>
              <w:spacing w:before="0" w:after="0"/>
              <w:ind w:left="0" w:right="0" w:hanging="240"/>
              <w:jc w:val="left"/>
              <w:rPr/>
            </w:pPr>
            <w:hyperlink w:anchor="consolidated_statements_shareholders_equ">
              <w:r>
                <w:rPr>
                  <w:rStyle w:val="InternetLink"/>
                  <w:rFonts w:ascii="Times New Roman;serif" w:hAnsi="Times New Roman;serif"/>
                  <w:b w:val="false"/>
                  <w:sz w:val="20"/>
                  <w:u w:val="single"/>
                </w:rPr>
                <w:t>Consolidated Statements of Stockholders’ Equity for the three-months and six-months ended June 30, 2023 and 2022 (unaudited)</w:t>
              </w:r>
            </w:hyperlink>
          </w:p>
        </w:tc>
        <w:tc>
          <w:tcPr>
            <w:tcW w:w="146" w:type="dxa"/>
            <w:tcBorders/>
            <w:vAlign w:val="center"/>
          </w:tcPr>
          <w:p>
            <w:pPr>
              <w:pStyle w:val="TableContents"/>
              <w:bidi w:val="0"/>
              <w:spacing w:before="0" w:after="20"/>
              <w:ind w:left="0" w:right="0" w:hanging="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serif" w:hAnsi="Times New Roman;serif"/>
                <w:b w:val="false"/>
                <w:sz w:val="20"/>
              </w:rPr>
            </w:pPr>
            <w:r>
              <w:rPr>
                <w:rFonts w:ascii="Times New Roman;serif" w:hAnsi="Times New Roman;serif"/>
                <w:b w:val="false"/>
                <w:sz w:val="20"/>
              </w:rPr>
              <w:t>8</w:t>
            </w:r>
          </w:p>
        </w:tc>
      </w:tr>
      <w:tr>
        <w:trPr/>
        <w:tc>
          <w:tcPr>
            <w:tcW w:w="1001" w:type="dxa"/>
            <w:tcBorders/>
            <w:vAlign w:val="center"/>
          </w:tcPr>
          <w:p>
            <w:pPr>
              <w:pStyle w:val="TableContents"/>
              <w:bidi w:val="0"/>
              <w:spacing w:before="0" w:after="283"/>
              <w:ind w:left="0" w:right="0" w:firstLine="360"/>
              <w:jc w:val="left"/>
              <w:rPr>
                <w:sz w:val="4"/>
                <w:szCs w:val="4"/>
              </w:rPr>
            </w:pPr>
            <w:r>
              <w:rPr>
                <w:sz w:val="4"/>
                <w:szCs w:val="4"/>
              </w:rPr>
            </w:r>
          </w:p>
        </w:tc>
        <w:tc>
          <w:tcPr>
            <w:tcW w:w="8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firstLine="360"/>
              <w:jc w:val="right"/>
              <w:rPr/>
            </w:pPr>
            <w:r>
              <w:rPr/>
              <w:t> </w:t>
            </w:r>
          </w:p>
        </w:tc>
      </w:tr>
      <w:tr>
        <w:trPr/>
        <w:tc>
          <w:tcPr>
            <w:tcW w:w="100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pBdr/>
              <w:bidi w:val="0"/>
              <w:spacing w:before="0" w:after="0"/>
              <w:ind w:left="0" w:right="0" w:hanging="240"/>
              <w:jc w:val="left"/>
              <w:rPr/>
            </w:pPr>
            <w:hyperlink w:anchor="consolidated_statements_cash_flows">
              <w:r>
                <w:rPr>
                  <w:rStyle w:val="InternetLink"/>
                  <w:rFonts w:ascii="Times New Roman;serif" w:hAnsi="Times New Roman;serif"/>
                  <w:b w:val="false"/>
                  <w:sz w:val="20"/>
                  <w:u w:val="single"/>
                </w:rPr>
                <w:t>Consolidated Statements of Cash Flows for the six-months ended June 30, 2023 and 2022 (unaudited)</w:t>
              </w:r>
            </w:hyperlink>
          </w:p>
        </w:tc>
        <w:tc>
          <w:tcPr>
            <w:tcW w:w="146" w:type="dxa"/>
            <w:tcBorders/>
            <w:vAlign w:val="center"/>
          </w:tcPr>
          <w:p>
            <w:pPr>
              <w:pStyle w:val="TableContents"/>
              <w:bidi w:val="0"/>
              <w:spacing w:before="0" w:after="20"/>
              <w:ind w:left="0" w:right="0" w:hanging="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serif" w:hAnsi="Times New Roman;serif"/>
                <w:b w:val="false"/>
                <w:sz w:val="20"/>
              </w:rPr>
            </w:pPr>
            <w:r>
              <w:rPr>
                <w:rFonts w:ascii="Times New Roman;serif" w:hAnsi="Times New Roman;serif"/>
                <w:b w:val="false"/>
                <w:sz w:val="20"/>
              </w:rPr>
              <w:t>10</w:t>
            </w:r>
          </w:p>
        </w:tc>
      </w:tr>
      <w:tr>
        <w:trPr/>
        <w:tc>
          <w:tcPr>
            <w:tcW w:w="1001" w:type="dxa"/>
            <w:tcBorders/>
            <w:vAlign w:val="center"/>
          </w:tcPr>
          <w:p>
            <w:pPr>
              <w:pStyle w:val="TableContents"/>
              <w:bidi w:val="0"/>
              <w:spacing w:before="0" w:after="283"/>
              <w:ind w:left="0" w:right="0" w:firstLine="360"/>
              <w:jc w:val="left"/>
              <w:rPr>
                <w:sz w:val="4"/>
                <w:szCs w:val="4"/>
              </w:rPr>
            </w:pPr>
            <w:r>
              <w:rPr>
                <w:sz w:val="4"/>
                <w:szCs w:val="4"/>
              </w:rPr>
            </w:r>
          </w:p>
        </w:tc>
        <w:tc>
          <w:tcPr>
            <w:tcW w:w="8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firstLine="360"/>
              <w:jc w:val="right"/>
              <w:rPr/>
            </w:pPr>
            <w:r>
              <w:rPr/>
              <w:t> </w:t>
            </w:r>
          </w:p>
        </w:tc>
      </w:tr>
      <w:tr>
        <w:trPr/>
        <w:tc>
          <w:tcPr>
            <w:tcW w:w="100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pBdr/>
              <w:bidi w:val="0"/>
              <w:spacing w:before="0" w:after="0"/>
              <w:ind w:left="0" w:right="0" w:hanging="240"/>
              <w:jc w:val="left"/>
              <w:rPr/>
            </w:pPr>
            <w:hyperlink w:anchor="notes_to_consolidated_financial_statemen">
              <w:r>
                <w:rPr>
                  <w:rStyle w:val="InternetLink"/>
                  <w:rFonts w:ascii="Times New Roman;serif" w:hAnsi="Times New Roman;serif"/>
                  <w:b w:val="false"/>
                  <w:sz w:val="20"/>
                  <w:u w:val="single"/>
                </w:rPr>
                <w:t>Notes to Consolidated Financial Statements (unaudited)</w:t>
              </w:r>
            </w:hyperlink>
          </w:p>
        </w:tc>
        <w:tc>
          <w:tcPr>
            <w:tcW w:w="146" w:type="dxa"/>
            <w:tcBorders/>
            <w:vAlign w:val="center"/>
          </w:tcPr>
          <w:p>
            <w:pPr>
              <w:pStyle w:val="TableContents"/>
              <w:bidi w:val="0"/>
              <w:spacing w:before="0" w:after="20"/>
              <w:ind w:left="0" w:right="0" w:hanging="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serif" w:hAnsi="Times New Roman;serif"/>
                <w:b w:val="false"/>
                <w:sz w:val="20"/>
              </w:rPr>
            </w:pPr>
            <w:r>
              <w:rPr>
                <w:rFonts w:ascii="Times New Roman;serif" w:hAnsi="Times New Roman;serif"/>
                <w:b w:val="false"/>
                <w:sz w:val="20"/>
              </w:rPr>
              <w:t>11</w:t>
            </w:r>
          </w:p>
        </w:tc>
      </w:tr>
      <w:tr>
        <w:trPr/>
        <w:tc>
          <w:tcPr>
            <w:tcW w:w="1001" w:type="dxa"/>
            <w:tcBorders/>
            <w:vAlign w:val="center"/>
          </w:tcPr>
          <w:p>
            <w:pPr>
              <w:pStyle w:val="TableContents"/>
              <w:bidi w:val="0"/>
              <w:spacing w:before="0" w:after="283"/>
              <w:ind w:left="0" w:right="0" w:firstLine="360"/>
              <w:jc w:val="left"/>
              <w:rPr>
                <w:sz w:val="4"/>
                <w:szCs w:val="4"/>
              </w:rPr>
            </w:pPr>
            <w:r>
              <w:rPr>
                <w:sz w:val="4"/>
                <w:szCs w:val="4"/>
              </w:rPr>
            </w:r>
          </w:p>
        </w:tc>
        <w:tc>
          <w:tcPr>
            <w:tcW w:w="8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firstLine="240"/>
              <w:jc w:val="right"/>
              <w:rPr/>
            </w:pPr>
            <w:r>
              <w:rPr/>
              <w:t> </w:t>
            </w:r>
          </w:p>
        </w:tc>
      </w:tr>
      <w:tr>
        <w:trPr/>
        <w:tc>
          <w:tcPr>
            <w:tcW w:w="1001" w:type="dxa"/>
            <w:tcBorders/>
            <w:vAlign w:val="center"/>
          </w:tcPr>
          <w:p>
            <w:pPr>
              <w:pStyle w:val="TableContents"/>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2.</w:t>
            </w:r>
          </w:p>
        </w:tc>
        <w:tc>
          <w:tcPr>
            <w:tcW w:w="8146" w:type="dxa"/>
            <w:tcBorders/>
            <w:vAlign w:val="center"/>
          </w:tcPr>
          <w:p>
            <w:pPr>
              <w:pStyle w:val="TableContents"/>
              <w:pBdr/>
              <w:bidi w:val="0"/>
              <w:spacing w:before="0" w:after="0"/>
              <w:ind w:left="0" w:right="0" w:hanging="24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146" w:type="dxa"/>
            <w:tcBorders/>
            <w:vAlign w:val="center"/>
          </w:tcPr>
          <w:p>
            <w:pPr>
              <w:pStyle w:val="TableContents"/>
              <w:bidi w:val="0"/>
              <w:spacing w:before="0" w:after="20"/>
              <w:ind w:left="0" w:right="0" w:hanging="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serif" w:hAnsi="Times New Roman;serif"/>
                <w:b w:val="false"/>
                <w:sz w:val="20"/>
              </w:rPr>
            </w:pPr>
            <w:r>
              <w:rPr>
                <w:rFonts w:ascii="Times New Roman;serif" w:hAnsi="Times New Roman;serif"/>
                <w:b w:val="false"/>
                <w:sz w:val="20"/>
              </w:rPr>
              <w:t>32</w:t>
            </w:r>
          </w:p>
        </w:tc>
      </w:tr>
      <w:tr>
        <w:trPr/>
        <w:tc>
          <w:tcPr>
            <w:tcW w:w="1001" w:type="dxa"/>
            <w:tcBorders/>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firstLine="240"/>
              <w:jc w:val="right"/>
              <w:rPr/>
            </w:pPr>
            <w:r>
              <w:rPr/>
              <w:t> </w:t>
            </w:r>
          </w:p>
        </w:tc>
      </w:tr>
      <w:tr>
        <w:trPr/>
        <w:tc>
          <w:tcPr>
            <w:tcW w:w="1001" w:type="dxa"/>
            <w:tcBorders/>
            <w:vAlign w:val="center"/>
          </w:tcPr>
          <w:p>
            <w:pPr>
              <w:pStyle w:val="TableContents"/>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3.</w:t>
            </w:r>
          </w:p>
        </w:tc>
        <w:tc>
          <w:tcPr>
            <w:tcW w:w="8146" w:type="dxa"/>
            <w:tcBorders/>
            <w:vAlign w:val="center"/>
          </w:tcPr>
          <w:p>
            <w:pPr>
              <w:pStyle w:val="TableContents"/>
              <w:pBdr/>
              <w:bidi w:val="0"/>
              <w:spacing w:before="0" w:after="0"/>
              <w:ind w:left="0" w:right="0" w:hanging="24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146" w:type="dxa"/>
            <w:tcBorders/>
            <w:vAlign w:val="center"/>
          </w:tcPr>
          <w:p>
            <w:pPr>
              <w:pStyle w:val="TableContents"/>
              <w:bidi w:val="0"/>
              <w:spacing w:before="0" w:after="20"/>
              <w:ind w:left="0" w:right="0" w:hanging="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serif" w:hAnsi="Times New Roman;serif"/>
                <w:b w:val="false"/>
                <w:sz w:val="20"/>
              </w:rPr>
            </w:pPr>
            <w:r>
              <w:rPr>
                <w:rFonts w:ascii="Times New Roman;serif" w:hAnsi="Times New Roman;serif"/>
                <w:b w:val="false"/>
                <w:sz w:val="20"/>
              </w:rPr>
              <w:t>37</w:t>
            </w:r>
          </w:p>
        </w:tc>
      </w:tr>
      <w:tr>
        <w:trPr/>
        <w:tc>
          <w:tcPr>
            <w:tcW w:w="1001" w:type="dxa"/>
            <w:tcBorders/>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firstLine="240"/>
              <w:jc w:val="right"/>
              <w:rPr/>
            </w:pPr>
            <w:r>
              <w:rPr/>
              <w:t> </w:t>
            </w:r>
          </w:p>
        </w:tc>
      </w:tr>
      <w:tr>
        <w:trPr/>
        <w:tc>
          <w:tcPr>
            <w:tcW w:w="1001" w:type="dxa"/>
            <w:tcBorders/>
            <w:vAlign w:val="center"/>
          </w:tcPr>
          <w:p>
            <w:pPr>
              <w:pStyle w:val="TableContents"/>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4.</w:t>
            </w:r>
          </w:p>
        </w:tc>
        <w:tc>
          <w:tcPr>
            <w:tcW w:w="8146" w:type="dxa"/>
            <w:tcBorders/>
            <w:vAlign w:val="center"/>
          </w:tcPr>
          <w:p>
            <w:pPr>
              <w:pStyle w:val="TableContents"/>
              <w:pBdr/>
              <w:bidi w:val="0"/>
              <w:spacing w:before="0" w:after="0"/>
              <w:ind w:left="0" w:right="0" w:hanging="240"/>
              <w:jc w:val="left"/>
              <w:rPr/>
            </w:pPr>
            <w:hyperlink w:anchor="item_4_controls_procedures">
              <w:r>
                <w:rPr>
                  <w:rStyle w:val="InternetLink"/>
                  <w:rFonts w:ascii="Times New Roman;serif" w:hAnsi="Times New Roman;serif"/>
                  <w:b w:val="false"/>
                  <w:sz w:val="20"/>
                  <w:u w:val="single"/>
                </w:rPr>
                <w:t>Controls and Procedures</w:t>
              </w:r>
            </w:hyperlink>
          </w:p>
        </w:tc>
        <w:tc>
          <w:tcPr>
            <w:tcW w:w="146" w:type="dxa"/>
            <w:tcBorders/>
            <w:vAlign w:val="center"/>
          </w:tcPr>
          <w:p>
            <w:pPr>
              <w:pStyle w:val="TableContents"/>
              <w:bidi w:val="0"/>
              <w:spacing w:before="0" w:after="20"/>
              <w:ind w:left="0" w:right="0" w:hanging="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37</w:t>
            </w:r>
          </w:p>
        </w:tc>
      </w:tr>
      <w:tr>
        <w:trPr/>
        <w:tc>
          <w:tcPr>
            <w:tcW w:w="9147" w:type="dxa"/>
            <w:gridSpan w:val="2"/>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hanging="0"/>
              <w:jc w:val="right"/>
              <w:rPr/>
            </w:pPr>
            <w:r>
              <w:rPr/>
              <w:t> </w:t>
            </w:r>
          </w:p>
        </w:tc>
      </w:tr>
      <w:tr>
        <w:trPr/>
        <w:tc>
          <w:tcPr>
            <w:tcW w:w="9147" w:type="dxa"/>
            <w:gridSpan w:val="2"/>
            <w:tcBorders/>
            <w:vAlign w:val="center"/>
          </w:tcPr>
          <w:p>
            <w:pPr>
              <w:pStyle w:val="TableContents"/>
              <w:bidi w:val="0"/>
              <w:spacing w:before="0" w:after="0"/>
              <w:ind w:left="0" w:right="0" w:hanging="0"/>
              <w:jc w:val="left"/>
              <w:rPr/>
            </w:pPr>
            <w:hyperlink w:anchor="part_ii_or_information">
              <w:r>
                <w:rPr>
                  <w:rStyle w:val="InternetLink"/>
                  <w:rFonts w:ascii="Times New Roman;serif" w:hAnsi="Times New Roman;serif"/>
                  <w:b/>
                  <w:sz w:val="20"/>
                  <w:u w:val="single"/>
                </w:rPr>
                <w:t>Part II – OTHER INFORMATION</w:t>
              </w:r>
            </w:hyperlink>
            <w:r>
              <w:rPr>
                <w:rFonts w:ascii="Times New Roman" w:hAnsi="Times New Roman"/>
                <w:sz w:val="20"/>
              </w:rPr>
              <w:t xml:space="preserve"> </w:t>
            </w:r>
          </w:p>
        </w:tc>
        <w:tc>
          <w:tcPr>
            <w:tcW w:w="146" w:type="dxa"/>
            <w:tcBorders/>
            <w:vAlign w:val="center"/>
          </w:tcPr>
          <w:p>
            <w:pPr>
              <w:pStyle w:val="TableContents"/>
              <w:bidi w:val="0"/>
              <w:spacing w:before="0" w:after="20"/>
              <w:ind w:left="0" w:right="0" w:hanging="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38</w:t>
            </w:r>
          </w:p>
        </w:tc>
      </w:tr>
      <w:tr>
        <w:trPr/>
        <w:tc>
          <w:tcPr>
            <w:tcW w:w="1001" w:type="dxa"/>
            <w:tcBorders/>
            <w:vAlign w:val="center"/>
          </w:tcPr>
          <w:p>
            <w:pPr>
              <w:pStyle w:val="TableContents"/>
              <w:bidi w:val="0"/>
              <w:spacing w:before="0" w:after="283"/>
              <w:ind w:left="0" w:right="0" w:hanging="0"/>
              <w:jc w:val="left"/>
              <w:rPr>
                <w:sz w:val="4"/>
                <w:szCs w:val="4"/>
              </w:rPr>
            </w:pPr>
            <w:r>
              <w:rPr>
                <w:sz w:val="4"/>
                <w:szCs w:val="4"/>
              </w:rPr>
            </w:r>
          </w:p>
        </w:tc>
        <w:tc>
          <w:tcPr>
            <w:tcW w:w="8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firstLine="240"/>
              <w:jc w:val="right"/>
              <w:rPr/>
            </w:pPr>
            <w:r>
              <w:rPr/>
              <w:t> </w:t>
            </w:r>
          </w:p>
        </w:tc>
      </w:tr>
      <w:tr>
        <w:trPr/>
        <w:tc>
          <w:tcPr>
            <w:tcW w:w="1001" w:type="dxa"/>
            <w:tcBorders/>
            <w:vAlign w:val="center"/>
          </w:tcPr>
          <w:p>
            <w:pPr>
              <w:pStyle w:val="TableContents"/>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1.</w:t>
            </w:r>
          </w:p>
        </w:tc>
        <w:tc>
          <w:tcPr>
            <w:tcW w:w="8146" w:type="dxa"/>
            <w:tcBorders/>
            <w:vAlign w:val="center"/>
          </w:tcPr>
          <w:p>
            <w:pPr>
              <w:pStyle w:val="TableContents"/>
              <w:pBdr/>
              <w:bidi w:val="0"/>
              <w:spacing w:before="0" w:after="0"/>
              <w:ind w:left="0" w:right="0" w:hanging="240"/>
              <w:jc w:val="left"/>
              <w:rPr/>
            </w:pPr>
            <w:hyperlink w:anchor="item_1_legal_proceedings">
              <w:r>
                <w:rPr>
                  <w:rStyle w:val="InternetLink"/>
                  <w:rFonts w:ascii="Times New Roman;serif" w:hAnsi="Times New Roman;serif"/>
                  <w:b w:val="false"/>
                  <w:sz w:val="20"/>
                  <w:u w:val="single"/>
                </w:rPr>
                <w:t>Legal Proceedings</w:t>
              </w:r>
            </w:hyperlink>
          </w:p>
        </w:tc>
        <w:tc>
          <w:tcPr>
            <w:tcW w:w="146" w:type="dxa"/>
            <w:tcBorders/>
            <w:vAlign w:val="center"/>
          </w:tcPr>
          <w:p>
            <w:pPr>
              <w:pStyle w:val="TableContents"/>
              <w:bidi w:val="0"/>
              <w:spacing w:before="0" w:after="20"/>
              <w:ind w:left="0" w:right="0" w:hanging="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serif" w:hAnsi="Times New Roman;serif"/>
                <w:b w:val="false"/>
                <w:sz w:val="20"/>
              </w:rPr>
            </w:pPr>
            <w:r>
              <w:rPr>
                <w:rFonts w:ascii="Times New Roman;serif" w:hAnsi="Times New Roman;serif"/>
                <w:b w:val="false"/>
                <w:sz w:val="20"/>
              </w:rPr>
              <w:t>38</w:t>
            </w:r>
          </w:p>
        </w:tc>
      </w:tr>
      <w:tr>
        <w:trPr/>
        <w:tc>
          <w:tcPr>
            <w:tcW w:w="1001" w:type="dxa"/>
            <w:tcBorders/>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firstLine="240"/>
              <w:jc w:val="right"/>
              <w:rPr/>
            </w:pPr>
            <w:r>
              <w:rPr/>
              <w:t> </w:t>
            </w:r>
          </w:p>
        </w:tc>
      </w:tr>
      <w:tr>
        <w:trPr/>
        <w:tc>
          <w:tcPr>
            <w:tcW w:w="1001" w:type="dxa"/>
            <w:tcBorders/>
            <w:vAlign w:val="center"/>
          </w:tcPr>
          <w:p>
            <w:pPr>
              <w:pStyle w:val="TableContents"/>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1A</w:t>
            </w:r>
          </w:p>
        </w:tc>
        <w:tc>
          <w:tcPr>
            <w:tcW w:w="8146" w:type="dxa"/>
            <w:tcBorders/>
            <w:vAlign w:val="center"/>
          </w:tcPr>
          <w:p>
            <w:pPr>
              <w:pStyle w:val="TableContents"/>
              <w:pBdr/>
              <w:bidi w:val="0"/>
              <w:spacing w:before="0" w:after="0"/>
              <w:ind w:left="0" w:right="0" w:hanging="240"/>
              <w:jc w:val="left"/>
              <w:rPr/>
            </w:pPr>
            <w:hyperlink w:anchor="item_1a_risk_factors">
              <w:r>
                <w:rPr>
                  <w:rStyle w:val="InternetLink"/>
                  <w:rFonts w:ascii="Times New Roman;serif" w:hAnsi="Times New Roman;serif"/>
                  <w:b w:val="false"/>
                  <w:sz w:val="20"/>
                  <w:u w:val="single"/>
                </w:rPr>
                <w:t>Risk Factors</w:t>
              </w:r>
            </w:hyperlink>
          </w:p>
        </w:tc>
        <w:tc>
          <w:tcPr>
            <w:tcW w:w="146" w:type="dxa"/>
            <w:tcBorders/>
            <w:vAlign w:val="center"/>
          </w:tcPr>
          <w:p>
            <w:pPr>
              <w:pStyle w:val="TableContents"/>
              <w:bidi w:val="0"/>
              <w:spacing w:before="0" w:after="20"/>
              <w:ind w:left="0" w:right="0" w:hanging="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serif" w:hAnsi="Times New Roman;serif"/>
                <w:b w:val="false"/>
                <w:sz w:val="20"/>
              </w:rPr>
            </w:pPr>
            <w:r>
              <w:rPr>
                <w:rFonts w:ascii="Times New Roman;serif" w:hAnsi="Times New Roman;serif"/>
                <w:b w:val="false"/>
                <w:sz w:val="20"/>
              </w:rPr>
              <w:t>38</w:t>
            </w:r>
          </w:p>
        </w:tc>
      </w:tr>
      <w:tr>
        <w:trPr/>
        <w:tc>
          <w:tcPr>
            <w:tcW w:w="1001" w:type="dxa"/>
            <w:tcBorders/>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firstLine="240"/>
              <w:jc w:val="right"/>
              <w:rPr/>
            </w:pPr>
            <w:r>
              <w:rPr/>
              <w:t> </w:t>
            </w:r>
          </w:p>
        </w:tc>
      </w:tr>
      <w:tr>
        <w:trPr/>
        <w:tc>
          <w:tcPr>
            <w:tcW w:w="1001" w:type="dxa"/>
            <w:tcBorders/>
            <w:vAlign w:val="center"/>
          </w:tcPr>
          <w:p>
            <w:pPr>
              <w:pStyle w:val="TableContents"/>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2.</w:t>
            </w:r>
          </w:p>
        </w:tc>
        <w:tc>
          <w:tcPr>
            <w:tcW w:w="8146" w:type="dxa"/>
            <w:tcBorders/>
            <w:vAlign w:val="center"/>
          </w:tcPr>
          <w:p>
            <w:pPr>
              <w:pStyle w:val="TableContents"/>
              <w:pBdr/>
              <w:bidi w:val="0"/>
              <w:spacing w:before="0" w:after="0"/>
              <w:ind w:left="0" w:right="0" w:hanging="24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146" w:type="dxa"/>
            <w:tcBorders/>
            <w:vAlign w:val="center"/>
          </w:tcPr>
          <w:p>
            <w:pPr>
              <w:pStyle w:val="TableContents"/>
              <w:bidi w:val="0"/>
              <w:spacing w:before="0" w:after="20"/>
              <w:ind w:left="0" w:right="0" w:hanging="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serif" w:hAnsi="Times New Roman;serif"/>
                <w:b w:val="false"/>
                <w:sz w:val="20"/>
              </w:rPr>
            </w:pPr>
            <w:r>
              <w:rPr>
                <w:rFonts w:ascii="Times New Roman;serif" w:hAnsi="Times New Roman;serif"/>
                <w:b w:val="false"/>
                <w:sz w:val="20"/>
              </w:rPr>
              <w:t>39</w:t>
            </w:r>
          </w:p>
        </w:tc>
      </w:tr>
      <w:tr>
        <w:trPr/>
        <w:tc>
          <w:tcPr>
            <w:tcW w:w="1001" w:type="dxa"/>
            <w:tcBorders/>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firstLine="240"/>
              <w:jc w:val="right"/>
              <w:rPr/>
            </w:pPr>
            <w:r>
              <w:rPr/>
              <w:t> </w:t>
            </w:r>
          </w:p>
        </w:tc>
      </w:tr>
      <w:tr>
        <w:trPr/>
        <w:tc>
          <w:tcPr>
            <w:tcW w:w="1001" w:type="dxa"/>
            <w:tcBorders/>
            <w:vAlign w:val="center"/>
          </w:tcPr>
          <w:p>
            <w:pPr>
              <w:pStyle w:val="TableContents"/>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3.</w:t>
            </w:r>
          </w:p>
        </w:tc>
        <w:tc>
          <w:tcPr>
            <w:tcW w:w="8146" w:type="dxa"/>
            <w:tcBorders/>
            <w:vAlign w:val="center"/>
          </w:tcPr>
          <w:p>
            <w:pPr>
              <w:pStyle w:val="TableContents"/>
              <w:pBdr/>
              <w:bidi w:val="0"/>
              <w:spacing w:before="0" w:after="0"/>
              <w:ind w:left="0" w:right="0" w:hanging="24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146" w:type="dxa"/>
            <w:tcBorders/>
            <w:vAlign w:val="center"/>
          </w:tcPr>
          <w:p>
            <w:pPr>
              <w:pStyle w:val="TableContents"/>
              <w:bidi w:val="0"/>
              <w:spacing w:before="0" w:after="20"/>
              <w:ind w:left="0" w:right="0" w:hanging="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serif" w:hAnsi="Times New Roman;serif"/>
                <w:b w:val="false"/>
                <w:sz w:val="20"/>
              </w:rPr>
            </w:pPr>
            <w:r>
              <w:rPr>
                <w:rFonts w:ascii="Times New Roman;serif" w:hAnsi="Times New Roman;serif"/>
                <w:b w:val="false"/>
                <w:sz w:val="20"/>
              </w:rPr>
              <w:t>39</w:t>
            </w:r>
          </w:p>
        </w:tc>
      </w:tr>
      <w:tr>
        <w:trPr/>
        <w:tc>
          <w:tcPr>
            <w:tcW w:w="1001" w:type="dxa"/>
            <w:tcBorders/>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firstLine="240"/>
              <w:jc w:val="right"/>
              <w:rPr/>
            </w:pPr>
            <w:r>
              <w:rPr/>
              <w:t> </w:t>
            </w:r>
          </w:p>
        </w:tc>
      </w:tr>
      <w:tr>
        <w:trPr/>
        <w:tc>
          <w:tcPr>
            <w:tcW w:w="1001" w:type="dxa"/>
            <w:tcBorders/>
            <w:vAlign w:val="center"/>
          </w:tcPr>
          <w:p>
            <w:pPr>
              <w:pStyle w:val="TableContents"/>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4.</w:t>
            </w:r>
          </w:p>
        </w:tc>
        <w:tc>
          <w:tcPr>
            <w:tcW w:w="8146" w:type="dxa"/>
            <w:tcBorders/>
            <w:vAlign w:val="center"/>
          </w:tcPr>
          <w:p>
            <w:pPr>
              <w:pStyle w:val="TableContents"/>
              <w:pBdr/>
              <w:bidi w:val="0"/>
              <w:spacing w:before="0" w:after="0"/>
              <w:ind w:left="0" w:right="0" w:hanging="240"/>
              <w:jc w:val="left"/>
              <w:rPr/>
            </w:pPr>
            <w:hyperlink w:anchor="item_4_mine_safety_disclosures">
              <w:r>
                <w:rPr>
                  <w:rStyle w:val="InternetLink"/>
                  <w:rFonts w:ascii="Times New Roman;serif" w:hAnsi="Times New Roman;serif"/>
                  <w:b w:val="false"/>
                  <w:sz w:val="20"/>
                  <w:u w:val="single"/>
                </w:rPr>
                <w:t>Mine Safety Disclosures</w:t>
              </w:r>
            </w:hyperlink>
          </w:p>
        </w:tc>
        <w:tc>
          <w:tcPr>
            <w:tcW w:w="146" w:type="dxa"/>
            <w:tcBorders/>
            <w:vAlign w:val="center"/>
          </w:tcPr>
          <w:p>
            <w:pPr>
              <w:pStyle w:val="TableContents"/>
              <w:bidi w:val="0"/>
              <w:spacing w:before="0" w:after="20"/>
              <w:ind w:left="0" w:right="0" w:hanging="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serif" w:hAnsi="Times New Roman;serif"/>
                <w:b w:val="false"/>
                <w:sz w:val="20"/>
              </w:rPr>
            </w:pPr>
            <w:r>
              <w:rPr>
                <w:rFonts w:ascii="Times New Roman;serif" w:hAnsi="Times New Roman;serif"/>
                <w:b w:val="false"/>
                <w:sz w:val="20"/>
              </w:rPr>
              <w:t>39</w:t>
            </w:r>
          </w:p>
        </w:tc>
      </w:tr>
      <w:tr>
        <w:trPr/>
        <w:tc>
          <w:tcPr>
            <w:tcW w:w="1001" w:type="dxa"/>
            <w:tcBorders/>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firstLine="240"/>
              <w:jc w:val="right"/>
              <w:rPr/>
            </w:pPr>
            <w:r>
              <w:rPr/>
              <w:t> </w:t>
            </w:r>
          </w:p>
        </w:tc>
      </w:tr>
      <w:tr>
        <w:trPr/>
        <w:tc>
          <w:tcPr>
            <w:tcW w:w="1001" w:type="dxa"/>
            <w:tcBorders/>
            <w:vAlign w:val="center"/>
          </w:tcPr>
          <w:p>
            <w:pPr>
              <w:pStyle w:val="TableContents"/>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5.</w:t>
            </w:r>
          </w:p>
        </w:tc>
        <w:tc>
          <w:tcPr>
            <w:tcW w:w="8146" w:type="dxa"/>
            <w:tcBorders/>
            <w:vAlign w:val="center"/>
          </w:tcPr>
          <w:p>
            <w:pPr>
              <w:pStyle w:val="TableContents"/>
              <w:pBdr/>
              <w:bidi w:val="0"/>
              <w:spacing w:before="0" w:after="0"/>
              <w:ind w:left="0" w:right="0" w:hanging="240"/>
              <w:jc w:val="left"/>
              <w:rPr/>
            </w:pPr>
            <w:hyperlink w:anchor="item_5_or_information">
              <w:r>
                <w:rPr>
                  <w:rStyle w:val="InternetLink"/>
                  <w:rFonts w:ascii="Times New Roman;serif" w:hAnsi="Times New Roman;serif"/>
                  <w:b w:val="false"/>
                  <w:sz w:val="20"/>
                  <w:u w:val="single"/>
                </w:rPr>
                <w:t>Other Information</w:t>
              </w:r>
            </w:hyperlink>
          </w:p>
        </w:tc>
        <w:tc>
          <w:tcPr>
            <w:tcW w:w="146" w:type="dxa"/>
            <w:tcBorders/>
            <w:vAlign w:val="center"/>
          </w:tcPr>
          <w:p>
            <w:pPr>
              <w:pStyle w:val="TableContents"/>
              <w:bidi w:val="0"/>
              <w:spacing w:before="0" w:after="20"/>
              <w:ind w:left="0" w:right="0" w:hanging="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serif" w:hAnsi="Times New Roman;serif"/>
                <w:b w:val="false"/>
                <w:sz w:val="20"/>
              </w:rPr>
            </w:pPr>
            <w:r>
              <w:rPr>
                <w:rFonts w:ascii="Times New Roman;serif" w:hAnsi="Times New Roman;serif"/>
                <w:b w:val="false"/>
                <w:sz w:val="20"/>
              </w:rPr>
              <w:t>39</w:t>
            </w:r>
          </w:p>
        </w:tc>
      </w:tr>
      <w:tr>
        <w:trPr/>
        <w:tc>
          <w:tcPr>
            <w:tcW w:w="1001" w:type="dxa"/>
            <w:tcBorders/>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firstLine="240"/>
              <w:jc w:val="right"/>
              <w:rPr/>
            </w:pPr>
            <w:r>
              <w:rPr/>
              <w:t> </w:t>
            </w:r>
          </w:p>
        </w:tc>
      </w:tr>
      <w:tr>
        <w:trPr/>
        <w:tc>
          <w:tcPr>
            <w:tcW w:w="1001" w:type="dxa"/>
            <w:tcBorders/>
            <w:vAlign w:val="center"/>
          </w:tcPr>
          <w:p>
            <w:pPr>
              <w:pStyle w:val="TableContents"/>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6.</w:t>
            </w:r>
          </w:p>
        </w:tc>
        <w:tc>
          <w:tcPr>
            <w:tcW w:w="8146" w:type="dxa"/>
            <w:tcBorders/>
            <w:vAlign w:val="center"/>
          </w:tcPr>
          <w:p>
            <w:pPr>
              <w:pStyle w:val="TableContents"/>
              <w:pBdr/>
              <w:bidi w:val="0"/>
              <w:spacing w:before="0" w:after="0"/>
              <w:ind w:left="0" w:right="0" w:hanging="240"/>
              <w:jc w:val="left"/>
              <w:rPr/>
            </w:pPr>
            <w:hyperlink w:anchor="item_6_exhibits">
              <w:r>
                <w:rPr>
                  <w:rStyle w:val="InternetLink"/>
                  <w:rFonts w:ascii="Times New Roman;serif" w:hAnsi="Times New Roman;serif"/>
                  <w:b w:val="false"/>
                  <w:sz w:val="20"/>
                  <w:u w:val="single"/>
                </w:rPr>
                <w:t>Exhibits</w:t>
              </w:r>
            </w:hyperlink>
          </w:p>
        </w:tc>
        <w:tc>
          <w:tcPr>
            <w:tcW w:w="146" w:type="dxa"/>
            <w:tcBorders/>
            <w:vAlign w:val="center"/>
          </w:tcPr>
          <w:p>
            <w:pPr>
              <w:pStyle w:val="TableContents"/>
              <w:bidi w:val="0"/>
              <w:spacing w:before="0" w:after="20"/>
              <w:ind w:left="0" w:right="0" w:hanging="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40</w:t>
            </w:r>
          </w:p>
        </w:tc>
      </w:tr>
      <w:tr>
        <w:trPr/>
        <w:tc>
          <w:tcPr>
            <w:tcW w:w="9147" w:type="dxa"/>
            <w:gridSpan w:val="2"/>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firstLine="720"/>
              <w:jc w:val="right"/>
              <w:rPr/>
            </w:pPr>
            <w:r>
              <w:rPr/>
              <w:t> </w:t>
            </w:r>
          </w:p>
        </w:tc>
      </w:tr>
      <w:tr>
        <w:trPr/>
        <w:tc>
          <w:tcPr>
            <w:tcW w:w="9147" w:type="dxa"/>
            <w:gridSpan w:val="2"/>
            <w:tcBorders/>
            <w:vAlign w:val="center"/>
          </w:tcPr>
          <w:p>
            <w:pPr>
              <w:pStyle w:val="TableContents"/>
              <w:pBdr/>
              <w:bidi w:val="0"/>
              <w:spacing w:before="0" w:after="0"/>
              <w:ind w:left="480" w:right="0" w:hanging="240"/>
              <w:jc w:val="left"/>
              <w:rPr/>
            </w:pPr>
            <w:hyperlink w:anchor="signatures">
              <w:r>
                <w:rPr>
                  <w:rStyle w:val="InternetLink"/>
                  <w:rFonts w:ascii="Times New Roman;serif" w:hAnsi="Times New Roman;serif"/>
                  <w:b w:val="false"/>
                  <w:sz w:val="20"/>
                  <w:u w:val="single"/>
                </w:rPr>
                <w:t>Signatures</w:t>
              </w:r>
            </w:hyperlink>
            <w:r>
              <w:rPr>
                <w:rFonts w:ascii="Times New Roman" w:hAnsi="Times New Roman"/>
                <w:sz w:val="20"/>
              </w:rPr>
              <w:t xml:space="preserve"> </w:t>
            </w:r>
          </w:p>
        </w:tc>
        <w:tc>
          <w:tcPr>
            <w:tcW w:w="146" w:type="dxa"/>
            <w:tcBorders/>
            <w:vAlign w:val="center"/>
          </w:tcPr>
          <w:p>
            <w:pPr>
              <w:pStyle w:val="TableContents"/>
              <w:bidi w:val="0"/>
              <w:spacing w:before="0" w:after="20"/>
              <w:ind w:left="0" w:right="0" w:hanging="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41</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2" w:name="special_note_regarding_forward_looking"/>
      <w:bookmarkEnd w:id="2"/>
      <w:r>
        <w:rPr>
          <w:rFonts w:ascii="Times New Roman;serif" w:hAnsi="Times New Roman;serif"/>
          <w:b/>
          <w:sz w:val="20"/>
        </w:rPr>
        <w:t>SPECIAL NOTE REGARDING FORWARD-LOOKING STATEMENTS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i/>
          <w:sz w:val="20"/>
        </w:rPr>
        <w:t>This Quarterly Report on Form 10-Q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on Form 10-Q, including statements regarding our future revenues; solvency; future industry market conditions; future changes in our capacity and operations; future operating and overhead costs; intellectual property; regulatory and related approvals; the conduct or outcome of pre-clinical or clinical (human) studies; operational and management restructuring activities (including implementation of methodologies and changes in the board of directors); our ability to expand our sales organization to address effectively existing and new markets that we intend to target; future employment and contributions of personnel; tax and rising interest rates; productivity, business process, rationalization, investment, acquisition and acquisition integrations, consulting, operational, tax, financial and capital projects and initiatives; inflationary pressures on the U.S. and global economy; changes in the legal or regulatory environment; and future working capital, costs, revenues, business opportunities, cash flows, margins, earnings and growth.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i/>
          <w:sz w:val="20"/>
        </w:rPr>
        <w:t>In some cases, you can identify forward-looking statements by terms such as “may,” “will,” “should,” “expect,” “plan,” “anticipate,” “could,” “intend,” “target,” “project,” “contemplate,” “believe,” “estimate,” “predict,” “potential”, or “continue” or the negative of these terms or other similar expressions.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i/>
          <w:sz w:val="20"/>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the sections in this Quarterly Report on Form 10-Q titled “Risk Factors” and “Management’s Discussion and Analysis of Financial Condition and Results of Operations.”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i/>
          <w:sz w:val="20"/>
        </w:rPr>
        <w:t>Moreover, we operate in an evolving environment. New risk factors and uncertainties may emerge from time to time, and it is not possible for our management to predict all risk factors and uncertainties.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i/>
          <w:sz w:val="20"/>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REPORT OF INDEPENDENT REGISTERED PUBLIC ACCOUNTING FIRM</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Board of Directors and Stockholders</w:t>
        <w:br/>
        <w:t>AVITA Medical, Inc.</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Results of review of interim financial statements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We have reviewed the accompanying Consolidated Balance Sheet of AVITA Medical, Inc. (a Delaware corporation) and subsidiaries (the “Company”) as of June 30, 2023 and the related Consolidated Statements of Operations, Comprehensive Loss, and Stockholders’ Equity for the three-month and six-month periods ended June 30, 2023 and 2022, Cash Flows for the six-month periods ended June 30, 2023 and 2022, and the related notes (collectively referred to as the “interim financial statements”). Based on our reviews, we are not aware of any material modifications that should be made to the accompanying interim financial statements for them to be in conformity with accounting principles generally accepted in the United States of America.</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We have previously audited, in accordance with the standards of the Public Company Accounting Oversight Board (United States) (“PCAOB”), the Consolidated Balance Sheet of the Company as of December 31, 2022, and the related Consolidated Statements of Operations, Comprehensive Loss, Stockholders’ Equity, and Cash Flows for the year then ended (not presented herein); and in our report dated February 23, 2023, we expressed an unqualified opinion on those Consolidated Financial Statements. In our opinion, the information set forth in the accompanying Consolidated Balance Sheet as of December 31, 2022, is fairly stated, in all material respects, in relation to the Consolidated Balance Sheet from which it has been derived.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Basis for review results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These interim financial statements are the responsibility of the Company’s management. We are a public accounting firm registered with the PCAOB</w:t>
      </w:r>
      <w:r>
        <w:rPr>
          <w:rFonts w:ascii="Times New Roman" w:hAnsi="Times New Roman"/>
          <w:sz w:val="20"/>
        </w:rPr>
        <w:t xml:space="preserve"> </w:t>
      </w:r>
      <w:r>
        <w:rPr>
          <w:rFonts w:ascii="Times New Roman;serif" w:hAnsi="Times New Roman;serif"/>
          <w:b w:val="false"/>
          <w:sz w:val="20"/>
        </w:rPr>
        <w:t>and are required to be independent with respect to the Company in accordance with U.S. federal securities laws and the applicable rules and regulations of the Securities and Exchange Commission and the PCAOB.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/s/ GRANT THORNTON LLP</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Los Angeles, California</w:t>
        <w:br/>
        <w:t>August 10, 2023</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3" w:name="part_i_financial_information"/>
      <w:bookmarkEnd w:id="3"/>
      <w:r>
        <w:rPr>
          <w:rFonts w:ascii="Times New Roman;serif" w:hAnsi="Times New Roman;serif"/>
          <w:b/>
          <w:sz w:val="20"/>
        </w:rPr>
        <w:t>PART I – Financial Information</w:t>
      </w:r>
      <w:r>
        <w:rPr>
          <w:rFonts w:ascii="Times New Roman" w:hAnsi="Times New Roman"/>
          <w:sz w:val="20"/>
        </w:rPr>
        <w:t xml:space="preserve"> </w:t>
      </w:r>
    </w:p>
    <w:p>
      <w:pPr>
        <w:pStyle w:val="TextBody"/>
        <w:bidi w:val="0"/>
        <w:spacing w:before="240" w:after="0"/>
        <w:jc w:val="center"/>
        <w:rPr>
          <w:rFonts w:ascii="Times New Roman" w:hAnsi="Times New Roman"/>
          <w:sz w:val="20"/>
        </w:rPr>
      </w:pPr>
      <w:bookmarkStart w:id="4" w:name="item_1_financial_statements"/>
      <w:bookmarkEnd w:id="4"/>
      <w:r>
        <w:rPr>
          <w:rFonts w:ascii="Times New Roman;serif" w:hAnsi="Times New Roman;serif"/>
          <w:b/>
          <w:sz w:val="20"/>
        </w:rPr>
        <w:t>Item 1. FINANCIAL STATEMENTS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sz w:val="20"/>
        </w:rPr>
        <w:t>AVITA MEDICAL,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5" w:name="consolidated_balance_sheets"/>
      <w:bookmarkEnd w:id="5"/>
      <w:r>
        <w:rPr>
          <w:rFonts w:ascii="Times New Roman;serif" w:hAnsi="Times New Roman;serif"/>
          <w:b/>
          <w:sz w:val="20"/>
        </w:rPr>
        <w:t>Consolidated Balance Sheets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081"/>
        <w:gridCol w:w="146"/>
        <w:gridCol w:w="215"/>
        <w:gridCol w:w="824"/>
        <w:gridCol w:w="166"/>
        <w:gridCol w:w="146"/>
        <w:gridCol w:w="251"/>
        <w:gridCol w:w="963"/>
        <w:gridCol w:w="413"/>
      </w:tblGrid>
      <w:tr>
        <w:trPr/>
        <w:tc>
          <w:tcPr>
            <w:tcW w:w="7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70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6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As of</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8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ASSETS</w:t>
            </w:r>
          </w:p>
        </w:tc>
        <w:tc>
          <w:tcPr>
            <w:tcW w:w="146" w:type="dxa"/>
            <w:tcBorders/>
            <w:vAlign w:val="center"/>
          </w:tcPr>
          <w:p>
            <w:pPr>
              <w:pStyle w:val="TableContents"/>
              <w:bidi w:val="0"/>
              <w:spacing w:before="0" w:after="0"/>
              <w:ind w:left="0" w:right="0" w:hanging="0"/>
              <w:jc w:val="left"/>
              <w:rPr/>
            </w:pPr>
            <w:r>
              <w:rPr/>
              <w:t> </w:t>
            </w:r>
          </w:p>
        </w:tc>
        <w:tc>
          <w:tcPr>
            <w:tcW w:w="1039"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4" w:type="dxa"/>
            <w:gridSpan w:val="2"/>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firstLine="200"/>
              <w:jc w:val="left"/>
              <w:rPr/>
            </w:pPr>
            <w:r>
              <w:rPr/>
              <w:t> </w:t>
            </w:r>
          </w:p>
        </w:tc>
      </w:tr>
      <w:tr>
        <w:trPr/>
        <w:tc>
          <w:tcPr>
            <w:tcW w:w="708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37,485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18,164</w:t>
            </w:r>
          </w:p>
        </w:tc>
        <w:tc>
          <w:tcPr>
            <w:tcW w:w="413" w:type="dxa"/>
            <w:tcBorders/>
            <w:vAlign w:val="center"/>
          </w:tcPr>
          <w:p>
            <w:pPr>
              <w:pStyle w:val="TableContents"/>
              <w:bidi w:val="0"/>
              <w:spacing w:before="0" w:after="0"/>
              <w:ind w:left="0" w:right="0" w:firstLine="200"/>
              <w:jc w:val="left"/>
              <w:rPr/>
            </w:pPr>
            <w:r>
              <w:rPr/>
              <w:t> </w:t>
            </w:r>
          </w:p>
        </w:tc>
      </w:tr>
      <w:tr>
        <w:trPr/>
        <w:tc>
          <w:tcPr>
            <w:tcW w:w="708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Marketable securities</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28,562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61,178</w:t>
            </w:r>
          </w:p>
        </w:tc>
        <w:tc>
          <w:tcPr>
            <w:tcW w:w="413" w:type="dxa"/>
            <w:tcBorders/>
            <w:vAlign w:val="center"/>
          </w:tcPr>
          <w:p>
            <w:pPr>
              <w:pStyle w:val="TableContents"/>
              <w:bidi w:val="0"/>
              <w:spacing w:before="0" w:after="0"/>
              <w:ind w:left="0" w:right="0" w:firstLine="200"/>
              <w:jc w:val="left"/>
              <w:rPr/>
            </w:pPr>
            <w:r>
              <w:rPr/>
              <w:t> </w:t>
            </w:r>
          </w:p>
        </w:tc>
      </w:tr>
      <w:tr>
        <w:trPr/>
        <w:tc>
          <w:tcPr>
            <w:tcW w:w="708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Accounts receivable, net</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5,754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3,515</w:t>
            </w:r>
          </w:p>
        </w:tc>
        <w:tc>
          <w:tcPr>
            <w:tcW w:w="413" w:type="dxa"/>
            <w:tcBorders/>
            <w:vAlign w:val="center"/>
          </w:tcPr>
          <w:p>
            <w:pPr>
              <w:pStyle w:val="TableContents"/>
              <w:bidi w:val="0"/>
              <w:spacing w:before="0" w:after="0"/>
              <w:ind w:left="0" w:right="0" w:firstLine="200"/>
              <w:jc w:val="left"/>
              <w:rPr/>
            </w:pPr>
            <w:r>
              <w:rPr/>
              <w:t> </w:t>
            </w:r>
          </w:p>
        </w:tc>
      </w:tr>
      <w:tr>
        <w:trPr/>
        <w:tc>
          <w:tcPr>
            <w:tcW w:w="708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BARDA receivables</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898</w:t>
            </w:r>
          </w:p>
        </w:tc>
        <w:tc>
          <w:tcPr>
            <w:tcW w:w="413" w:type="dxa"/>
            <w:tcBorders/>
            <w:vAlign w:val="center"/>
          </w:tcPr>
          <w:p>
            <w:pPr>
              <w:pStyle w:val="TableContents"/>
              <w:bidi w:val="0"/>
              <w:spacing w:before="0" w:after="0"/>
              <w:ind w:left="0" w:right="0" w:firstLine="200"/>
              <w:jc w:val="left"/>
              <w:rPr/>
            </w:pPr>
            <w:r>
              <w:rPr/>
              <w:t> </w:t>
            </w:r>
          </w:p>
        </w:tc>
      </w:tr>
      <w:tr>
        <w:trPr/>
        <w:tc>
          <w:tcPr>
            <w:tcW w:w="708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Prepaids and other current assets</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1,578</w:t>
            </w:r>
          </w:p>
        </w:tc>
        <w:tc>
          <w:tcPr>
            <w:tcW w:w="413" w:type="dxa"/>
            <w:tcBorders/>
            <w:vAlign w:val="center"/>
          </w:tcPr>
          <w:p>
            <w:pPr>
              <w:pStyle w:val="TableContents"/>
              <w:bidi w:val="0"/>
              <w:spacing w:before="0" w:after="0"/>
              <w:ind w:left="0" w:right="0" w:firstLine="200"/>
              <w:jc w:val="left"/>
              <w:rPr/>
            </w:pPr>
            <w:r>
              <w:rPr/>
              <w:t> </w:t>
            </w:r>
          </w:p>
        </w:tc>
      </w:tr>
      <w:tr>
        <w:trPr/>
        <w:tc>
          <w:tcPr>
            <w:tcW w:w="708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Inventory</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2,125</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8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current assets</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77,495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87,458</w:t>
            </w:r>
          </w:p>
        </w:tc>
        <w:tc>
          <w:tcPr>
            <w:tcW w:w="413" w:type="dxa"/>
            <w:tcBorders/>
            <w:vAlign w:val="center"/>
          </w:tcPr>
          <w:p>
            <w:pPr>
              <w:pStyle w:val="TableContents"/>
              <w:bidi w:val="0"/>
              <w:spacing w:before="0" w:after="0"/>
              <w:ind w:left="0" w:right="0" w:firstLine="200"/>
              <w:jc w:val="left"/>
              <w:rPr/>
            </w:pPr>
            <w:r>
              <w:rPr/>
              <w:t> </w:t>
            </w:r>
          </w:p>
        </w:tc>
      </w:tr>
      <w:tr>
        <w:trPr/>
        <w:tc>
          <w:tcPr>
            <w:tcW w:w="708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Marketable securities long-term</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6,930</w:t>
            </w:r>
          </w:p>
        </w:tc>
        <w:tc>
          <w:tcPr>
            <w:tcW w:w="413" w:type="dxa"/>
            <w:tcBorders/>
            <w:vAlign w:val="center"/>
          </w:tcPr>
          <w:p>
            <w:pPr>
              <w:pStyle w:val="TableContents"/>
              <w:bidi w:val="0"/>
              <w:spacing w:before="0" w:after="0"/>
              <w:ind w:left="0" w:right="0" w:firstLine="200"/>
              <w:jc w:val="left"/>
              <w:rPr/>
            </w:pPr>
            <w:r>
              <w:rPr/>
              <w:t> </w:t>
            </w:r>
          </w:p>
        </w:tc>
      </w:tr>
      <w:tr>
        <w:trPr/>
        <w:tc>
          <w:tcPr>
            <w:tcW w:w="708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Plant and equipment, net</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1,200</w:t>
            </w:r>
          </w:p>
        </w:tc>
        <w:tc>
          <w:tcPr>
            <w:tcW w:w="413" w:type="dxa"/>
            <w:tcBorders/>
            <w:vAlign w:val="center"/>
          </w:tcPr>
          <w:p>
            <w:pPr>
              <w:pStyle w:val="TableContents"/>
              <w:bidi w:val="0"/>
              <w:spacing w:before="0" w:after="0"/>
              <w:ind w:left="0" w:right="0" w:firstLine="200"/>
              <w:jc w:val="left"/>
              <w:rPr/>
            </w:pPr>
            <w:r>
              <w:rPr/>
              <w:t> </w:t>
            </w:r>
          </w:p>
        </w:tc>
      </w:tr>
      <w:tr>
        <w:trPr/>
        <w:tc>
          <w:tcPr>
            <w:tcW w:w="708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Operating lease right-of-use assets</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851</w:t>
            </w:r>
          </w:p>
        </w:tc>
        <w:tc>
          <w:tcPr>
            <w:tcW w:w="413" w:type="dxa"/>
            <w:tcBorders/>
            <w:vAlign w:val="center"/>
          </w:tcPr>
          <w:p>
            <w:pPr>
              <w:pStyle w:val="TableContents"/>
              <w:bidi w:val="0"/>
              <w:spacing w:before="0" w:after="0"/>
              <w:ind w:left="0" w:right="0" w:firstLine="200"/>
              <w:jc w:val="left"/>
              <w:rPr/>
            </w:pPr>
            <w:r>
              <w:rPr/>
              <w:t> </w:t>
            </w:r>
          </w:p>
        </w:tc>
      </w:tr>
      <w:tr>
        <w:trPr/>
        <w:tc>
          <w:tcPr>
            <w:tcW w:w="708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Corporate-owned life insurance asset</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1,238</w:t>
            </w:r>
          </w:p>
        </w:tc>
        <w:tc>
          <w:tcPr>
            <w:tcW w:w="413" w:type="dxa"/>
            <w:tcBorders/>
            <w:vAlign w:val="center"/>
          </w:tcPr>
          <w:p>
            <w:pPr>
              <w:pStyle w:val="TableContents"/>
              <w:bidi w:val="0"/>
              <w:spacing w:before="0" w:after="0"/>
              <w:ind w:left="0" w:right="0" w:firstLine="200"/>
              <w:jc w:val="left"/>
              <w:rPr/>
            </w:pPr>
            <w:r>
              <w:rPr/>
              <w:t> </w:t>
            </w:r>
          </w:p>
        </w:tc>
      </w:tr>
      <w:tr>
        <w:trPr/>
        <w:tc>
          <w:tcPr>
            <w:tcW w:w="708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Intangible assets, net</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465</w:t>
            </w:r>
          </w:p>
        </w:tc>
        <w:tc>
          <w:tcPr>
            <w:tcW w:w="413" w:type="dxa"/>
            <w:tcBorders/>
            <w:vAlign w:val="center"/>
          </w:tcPr>
          <w:p>
            <w:pPr>
              <w:pStyle w:val="TableContents"/>
              <w:bidi w:val="0"/>
              <w:spacing w:before="0" w:after="0"/>
              <w:ind w:left="0" w:right="0" w:firstLine="200"/>
              <w:jc w:val="left"/>
              <w:rPr/>
            </w:pPr>
            <w:r>
              <w:rPr/>
              <w:t> </w:t>
            </w:r>
          </w:p>
        </w:tc>
      </w:tr>
      <w:tr>
        <w:trPr/>
        <w:tc>
          <w:tcPr>
            <w:tcW w:w="708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long-term assets</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122</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8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assets</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86,330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98,264</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8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LIABILITIES, NON-QUALIFIED DEFERRED COMPENSATION PLAN SHARE AWARDS AND STOCKHOLDERS' EQUITY</w:t>
            </w:r>
          </w:p>
        </w:tc>
        <w:tc>
          <w:tcPr>
            <w:tcW w:w="146" w:type="dxa"/>
            <w:tcBorders/>
            <w:vAlign w:val="center"/>
          </w:tcPr>
          <w:p>
            <w:pPr>
              <w:pStyle w:val="TableContents"/>
              <w:bidi w:val="0"/>
              <w:spacing w:before="0" w:after="0"/>
              <w:ind w:left="0" w:right="0" w:hanging="0"/>
              <w:jc w:val="left"/>
              <w:rPr/>
            </w:pPr>
            <w:r>
              <w:rPr/>
              <w:t> </w:t>
            </w:r>
          </w:p>
        </w:tc>
        <w:tc>
          <w:tcPr>
            <w:tcW w:w="1039"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4" w:type="dxa"/>
            <w:gridSpan w:val="2"/>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firstLine="200"/>
              <w:jc w:val="left"/>
              <w:rPr/>
            </w:pPr>
            <w:r>
              <w:rPr/>
              <w:t> </w:t>
            </w:r>
          </w:p>
        </w:tc>
      </w:tr>
      <w:tr>
        <w:trPr/>
        <w:tc>
          <w:tcPr>
            <w:tcW w:w="708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Accounts payable and accrued liabilities</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3,002</w:t>
            </w:r>
          </w:p>
        </w:tc>
        <w:tc>
          <w:tcPr>
            <w:tcW w:w="413" w:type="dxa"/>
            <w:tcBorders/>
            <w:vAlign w:val="center"/>
          </w:tcPr>
          <w:p>
            <w:pPr>
              <w:pStyle w:val="TableContents"/>
              <w:bidi w:val="0"/>
              <w:spacing w:before="0" w:after="0"/>
              <w:ind w:left="0" w:right="0" w:firstLine="200"/>
              <w:jc w:val="left"/>
              <w:rPr/>
            </w:pPr>
            <w:r>
              <w:rPr/>
              <w:t> </w:t>
            </w:r>
          </w:p>
        </w:tc>
      </w:tr>
      <w:tr>
        <w:trPr/>
        <w:tc>
          <w:tcPr>
            <w:tcW w:w="708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Accrued wages and fringe benefits</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6,623</w:t>
            </w:r>
          </w:p>
        </w:tc>
        <w:tc>
          <w:tcPr>
            <w:tcW w:w="413" w:type="dxa"/>
            <w:tcBorders/>
            <w:vAlign w:val="center"/>
          </w:tcPr>
          <w:p>
            <w:pPr>
              <w:pStyle w:val="TableContents"/>
              <w:bidi w:val="0"/>
              <w:spacing w:before="0" w:after="0"/>
              <w:ind w:left="0" w:right="0" w:firstLine="200"/>
              <w:jc w:val="left"/>
              <w:rPr/>
            </w:pPr>
            <w:r>
              <w:rPr/>
              <w:t> </w:t>
            </w:r>
          </w:p>
        </w:tc>
      </w:tr>
      <w:tr>
        <w:trPr/>
        <w:tc>
          <w:tcPr>
            <w:tcW w:w="708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Current non-qualified deferred compensation liability</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78</w:t>
            </w:r>
          </w:p>
        </w:tc>
        <w:tc>
          <w:tcPr>
            <w:tcW w:w="413" w:type="dxa"/>
            <w:tcBorders/>
            <w:vAlign w:val="center"/>
          </w:tcPr>
          <w:p>
            <w:pPr>
              <w:pStyle w:val="TableContents"/>
              <w:bidi w:val="0"/>
              <w:spacing w:before="0" w:after="0"/>
              <w:ind w:left="0" w:right="0" w:firstLine="200"/>
              <w:jc w:val="left"/>
              <w:rPr/>
            </w:pPr>
            <w:r>
              <w:rPr/>
              <w:t> </w:t>
            </w:r>
          </w:p>
        </w:tc>
      </w:tr>
      <w:tr>
        <w:trPr/>
        <w:tc>
          <w:tcPr>
            <w:tcW w:w="708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current liabilities</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990</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8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13,810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10,693</w:t>
            </w:r>
          </w:p>
        </w:tc>
        <w:tc>
          <w:tcPr>
            <w:tcW w:w="413" w:type="dxa"/>
            <w:tcBorders/>
            <w:vAlign w:val="center"/>
          </w:tcPr>
          <w:p>
            <w:pPr>
              <w:pStyle w:val="TableContents"/>
              <w:bidi w:val="0"/>
              <w:spacing w:before="0" w:after="0"/>
              <w:ind w:left="0" w:right="0" w:firstLine="200"/>
              <w:jc w:val="left"/>
              <w:rPr/>
            </w:pPr>
            <w:r>
              <w:rPr/>
              <w:t> </w:t>
            </w:r>
          </w:p>
        </w:tc>
      </w:tr>
      <w:tr>
        <w:trPr/>
        <w:tc>
          <w:tcPr>
            <w:tcW w:w="708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Non-qualified deferred compensation liability</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1,270</w:t>
            </w:r>
          </w:p>
        </w:tc>
        <w:tc>
          <w:tcPr>
            <w:tcW w:w="413" w:type="dxa"/>
            <w:tcBorders/>
            <w:vAlign w:val="center"/>
          </w:tcPr>
          <w:p>
            <w:pPr>
              <w:pStyle w:val="TableContents"/>
              <w:bidi w:val="0"/>
              <w:spacing w:before="0" w:after="0"/>
              <w:ind w:left="0" w:right="0" w:firstLine="200"/>
              <w:jc w:val="left"/>
              <w:rPr/>
            </w:pPr>
            <w:r>
              <w:rPr/>
              <w:t> </w:t>
            </w:r>
          </w:p>
        </w:tc>
      </w:tr>
      <w:tr>
        <w:trPr/>
        <w:tc>
          <w:tcPr>
            <w:tcW w:w="708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Contract liabilities</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698</w:t>
            </w:r>
          </w:p>
        </w:tc>
        <w:tc>
          <w:tcPr>
            <w:tcW w:w="413" w:type="dxa"/>
            <w:tcBorders/>
            <w:vAlign w:val="center"/>
          </w:tcPr>
          <w:p>
            <w:pPr>
              <w:pStyle w:val="TableContents"/>
              <w:bidi w:val="0"/>
              <w:spacing w:before="0" w:after="0"/>
              <w:ind w:left="0" w:right="0" w:firstLine="200"/>
              <w:jc w:val="left"/>
              <w:rPr/>
            </w:pPr>
            <w:r>
              <w:rPr/>
              <w:t> </w:t>
            </w:r>
          </w:p>
        </w:tc>
      </w:tr>
      <w:tr>
        <w:trPr/>
        <w:tc>
          <w:tcPr>
            <w:tcW w:w="708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Operating lease liabilities, long term</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306</w:t>
            </w:r>
          </w:p>
        </w:tc>
        <w:tc>
          <w:tcPr>
            <w:tcW w:w="413" w:type="dxa"/>
            <w:tcBorders/>
            <w:vAlign w:val="center"/>
          </w:tcPr>
          <w:p>
            <w:pPr>
              <w:pStyle w:val="TableContents"/>
              <w:bidi w:val="0"/>
              <w:spacing w:before="0" w:after="0"/>
              <w:ind w:left="0" w:right="0" w:hanging="0"/>
              <w:jc w:val="left"/>
              <w:rPr/>
            </w:pPr>
            <w:r>
              <w:rPr/>
              <w:t> </w:t>
            </w:r>
          </w:p>
        </w:tc>
      </w:tr>
      <w:tr>
        <w:trPr/>
        <w:tc>
          <w:tcPr>
            <w:tcW w:w="708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liabilities</w:t>
            </w:r>
          </w:p>
        </w:tc>
        <w:tc>
          <w:tcPr>
            <w:tcW w:w="146" w:type="dxa"/>
            <w:tcBorders/>
            <w:vAlign w:val="center"/>
          </w:tcPr>
          <w:p>
            <w:pPr>
              <w:pStyle w:val="TableContents"/>
              <w:bidi w:val="0"/>
              <w:spacing w:before="0" w:after="0"/>
              <w:ind w:left="0" w:right="0" w:hanging="0"/>
              <w:jc w:val="left"/>
              <w:rPr/>
            </w:pPr>
            <w:r>
              <w:rPr/>
              <w:t> </w:t>
            </w:r>
          </w:p>
        </w:tc>
        <w:tc>
          <w:tcPr>
            <w:tcW w:w="215"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24"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16,455</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963"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12,967</w:t>
            </w:r>
          </w:p>
        </w:tc>
        <w:tc>
          <w:tcPr>
            <w:tcW w:w="413"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708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Non-qualified deferred compensation plan share awards</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557</w:t>
            </w:r>
          </w:p>
        </w:tc>
        <w:tc>
          <w:tcPr>
            <w:tcW w:w="413" w:type="dxa"/>
            <w:tcBorders/>
            <w:vAlign w:val="center"/>
          </w:tcPr>
          <w:p>
            <w:pPr>
              <w:pStyle w:val="TableContents"/>
              <w:bidi w:val="0"/>
              <w:spacing w:before="0" w:after="0"/>
              <w:ind w:left="0" w:right="0" w:hanging="0"/>
              <w:jc w:val="left"/>
              <w:rPr/>
            </w:pPr>
            <w:r>
              <w:rPr/>
              <w:t> </w:t>
            </w:r>
          </w:p>
        </w:tc>
      </w:tr>
      <w:tr>
        <w:trPr/>
        <w:tc>
          <w:tcPr>
            <w:tcW w:w="708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Commitments and contingencies (Note 12)</w:t>
            </w:r>
          </w:p>
        </w:tc>
        <w:tc>
          <w:tcPr>
            <w:tcW w:w="146" w:type="dxa"/>
            <w:tcBorders/>
            <w:vAlign w:val="center"/>
          </w:tcPr>
          <w:p>
            <w:pPr>
              <w:pStyle w:val="TableContents"/>
              <w:bidi w:val="0"/>
              <w:spacing w:before="0" w:after="0"/>
              <w:ind w:left="0" w:right="0" w:hanging="0"/>
              <w:jc w:val="left"/>
              <w:rPr/>
            </w:pPr>
            <w:r>
              <w:rPr/>
              <w:t> </w:t>
            </w:r>
          </w:p>
        </w:tc>
        <w:tc>
          <w:tcPr>
            <w:tcW w:w="1039"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4" w:type="dxa"/>
            <w:gridSpan w:val="2"/>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left"/>
              <w:rPr/>
            </w:pPr>
            <w:r>
              <w:rPr/>
              <w:t> </w:t>
            </w:r>
          </w:p>
        </w:tc>
      </w:tr>
      <w:tr>
        <w:trPr/>
        <w:tc>
          <w:tcPr>
            <w:tcW w:w="708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Stockholders' equity:</w:t>
            </w:r>
          </w:p>
        </w:tc>
        <w:tc>
          <w:tcPr>
            <w:tcW w:w="146" w:type="dxa"/>
            <w:tcBorders/>
            <w:vAlign w:val="center"/>
          </w:tcPr>
          <w:p>
            <w:pPr>
              <w:pStyle w:val="TableContents"/>
              <w:bidi w:val="0"/>
              <w:spacing w:before="0" w:after="0"/>
              <w:ind w:left="0" w:right="0" w:hanging="0"/>
              <w:jc w:val="left"/>
              <w:rPr/>
            </w:pPr>
            <w:r>
              <w:rPr/>
              <w:t> </w:t>
            </w:r>
          </w:p>
        </w:tc>
        <w:tc>
          <w:tcPr>
            <w:tcW w:w="1039"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4" w:type="dxa"/>
            <w:gridSpan w:val="2"/>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firstLine="200"/>
              <w:jc w:val="left"/>
              <w:rPr/>
            </w:pPr>
            <w:r>
              <w:rPr/>
              <w:t> </w:t>
            </w:r>
          </w:p>
        </w:tc>
      </w:tr>
      <w:tr>
        <w:trPr/>
        <w:tc>
          <w:tcPr>
            <w:tcW w:w="708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18"/>
              </w:rPr>
              <w:t>Common stock, $0.0001</w:t>
            </w:r>
            <w:r>
              <w:rPr>
                <w:rFonts w:ascii="Times New Roman" w:hAnsi="Times New Roman"/>
                <w:sz w:val="20"/>
              </w:rPr>
              <w:t> </w:t>
            </w:r>
            <w:r>
              <w:rPr>
                <w:rFonts w:ascii="Times New Roman;serif" w:hAnsi="Times New Roman;serif"/>
                <w:b w:val="false"/>
                <w:sz w:val="18"/>
              </w:rPr>
              <w:t>par value per share, 200,000,000</w:t>
            </w:r>
            <w:r>
              <w:rPr>
                <w:rFonts w:ascii="Times New Roman" w:hAnsi="Times New Roman"/>
                <w:sz w:val="20"/>
              </w:rPr>
              <w:t> </w:t>
            </w:r>
            <w:r>
              <w:rPr>
                <w:rFonts w:ascii="Times New Roman;serif" w:hAnsi="Times New Roman;serif"/>
                <w:b w:val="false"/>
                <w:sz w:val="18"/>
              </w:rPr>
              <w:t xml:space="preserve">shares authorized, </w:t>
            </w:r>
            <w:r>
              <w:rPr>
                <w:rFonts w:ascii="Times New Roman;serif" w:hAnsi="Times New Roman;serif"/>
                <w:b w:val="false"/>
                <w:sz w:val="19"/>
              </w:rPr>
              <w:t>25,447,615</w:t>
            </w:r>
            <w:r>
              <w:rPr>
                <w:rFonts w:ascii="Times New Roman" w:hAnsi="Times New Roman"/>
                <w:sz w:val="20"/>
              </w:rPr>
              <w:t> </w:t>
            </w:r>
            <w:r>
              <w:rPr>
                <w:rFonts w:ascii="Times New Roman;serif" w:hAnsi="Times New Roman;serif"/>
                <w:b w:val="false"/>
                <w:sz w:val="18"/>
              </w:rPr>
              <w:t>and 25,208,436</w:t>
            </w:r>
            <w:r>
              <w:rPr>
                <w:rFonts w:ascii="Times New Roman" w:hAnsi="Times New Roman"/>
                <w:sz w:val="20"/>
              </w:rPr>
              <w:t> </w:t>
            </w:r>
            <w:r>
              <w:rPr>
                <w:rFonts w:ascii="Times New Roman;serif" w:hAnsi="Times New Roman;serif"/>
                <w:b w:val="false"/>
                <w:sz w:val="18"/>
              </w:rPr>
              <w:t>shares issued and outstanding at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413" w:type="dxa"/>
            <w:tcBorders/>
            <w:vAlign w:val="center"/>
          </w:tcPr>
          <w:p>
            <w:pPr>
              <w:pStyle w:val="TableContents"/>
              <w:bidi w:val="0"/>
              <w:spacing w:before="0" w:after="0"/>
              <w:ind w:left="0" w:right="0" w:firstLine="200"/>
              <w:jc w:val="left"/>
              <w:rPr/>
            </w:pPr>
            <w:r>
              <w:rPr/>
              <w:t> </w:t>
            </w:r>
          </w:p>
        </w:tc>
      </w:tr>
      <w:tr>
        <w:trPr/>
        <w:tc>
          <w:tcPr>
            <w:tcW w:w="708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18"/>
              </w:rPr>
              <w:t>Preferred stock, $0.0001</w:t>
            </w:r>
            <w:r>
              <w:rPr>
                <w:rFonts w:ascii="Times New Roman" w:hAnsi="Times New Roman"/>
                <w:sz w:val="20"/>
              </w:rPr>
              <w:t> </w:t>
            </w:r>
            <w:r>
              <w:rPr>
                <w:rFonts w:ascii="Times New Roman;serif" w:hAnsi="Times New Roman;serif"/>
                <w:b w:val="false"/>
                <w:sz w:val="18"/>
              </w:rPr>
              <w:t>par value per share, 10,000,000</w:t>
            </w:r>
            <w:r>
              <w:rPr>
                <w:rFonts w:ascii="Times New Roman" w:hAnsi="Times New Roman"/>
                <w:sz w:val="20"/>
              </w:rPr>
              <w:t> </w:t>
            </w:r>
            <w:r>
              <w:rPr>
                <w:rFonts w:ascii="Times New Roman;serif" w:hAnsi="Times New Roman;serif"/>
                <w:b w:val="false"/>
                <w:sz w:val="18"/>
              </w:rPr>
              <w:t>shares authorized, no</w:t>
            </w:r>
            <w:r>
              <w:rPr>
                <w:rFonts w:ascii="Times New Roman" w:hAnsi="Times New Roman"/>
                <w:sz w:val="20"/>
              </w:rPr>
              <w:t> </w:t>
            </w:r>
            <w:r>
              <w:rPr>
                <w:rFonts w:ascii="Times New Roman;serif" w:hAnsi="Times New Roman;serif"/>
                <w:b w:val="false"/>
                <w:sz w:val="18"/>
              </w:rPr>
              <w:t>shares issued or outstanding at June 30, 2023 and December 31, 2022.</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413" w:type="dxa"/>
            <w:tcBorders/>
            <w:vAlign w:val="center"/>
          </w:tcPr>
          <w:p>
            <w:pPr>
              <w:pStyle w:val="TableContents"/>
              <w:bidi w:val="0"/>
              <w:spacing w:before="0" w:after="0"/>
              <w:ind w:left="0" w:right="0" w:firstLine="200"/>
              <w:jc w:val="left"/>
              <w:rPr/>
            </w:pPr>
            <w:r>
              <w:rPr/>
              <w:t> </w:t>
            </w:r>
          </w:p>
        </w:tc>
      </w:tr>
      <w:tr>
        <w:trPr/>
        <w:tc>
          <w:tcPr>
            <w:tcW w:w="708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Company common stock held by the non-qualified deferred compensation plan ("NQDC Plan")</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(892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(127</w:t>
            </w:r>
          </w:p>
        </w:tc>
        <w:tc>
          <w:tcPr>
            <w:tcW w:w="413"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708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343,769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339,825</w:t>
            </w:r>
          </w:p>
        </w:tc>
        <w:tc>
          <w:tcPr>
            <w:tcW w:w="413" w:type="dxa"/>
            <w:tcBorders/>
            <w:vAlign w:val="center"/>
          </w:tcPr>
          <w:p>
            <w:pPr>
              <w:pStyle w:val="TableContents"/>
              <w:bidi w:val="0"/>
              <w:spacing w:before="0" w:after="0"/>
              <w:ind w:left="0" w:right="0" w:firstLine="200"/>
              <w:jc w:val="left"/>
              <w:rPr/>
            </w:pPr>
            <w:r>
              <w:rPr/>
              <w:t> </w:t>
            </w:r>
          </w:p>
        </w:tc>
      </w:tr>
      <w:tr>
        <w:trPr/>
        <w:tc>
          <w:tcPr>
            <w:tcW w:w="708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Accumulated other comprehensive income</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7,959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7,627</w:t>
            </w:r>
          </w:p>
        </w:tc>
        <w:tc>
          <w:tcPr>
            <w:tcW w:w="413" w:type="dxa"/>
            <w:tcBorders/>
            <w:vAlign w:val="center"/>
          </w:tcPr>
          <w:p>
            <w:pPr>
              <w:pStyle w:val="TableContents"/>
              <w:bidi w:val="0"/>
              <w:spacing w:before="0" w:after="0"/>
              <w:ind w:left="0" w:right="0" w:firstLine="200"/>
              <w:jc w:val="left"/>
              <w:rPr/>
            </w:pPr>
            <w:r>
              <w:rPr/>
              <w:t> </w:t>
            </w:r>
          </w:p>
        </w:tc>
      </w:tr>
      <w:tr>
        <w:trPr/>
        <w:tc>
          <w:tcPr>
            <w:tcW w:w="708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Accumulated deficit</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(282,192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(262,588</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708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68,647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84,740</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8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liabilities, non-qualified deferred compensation plan share awards and stockholders' equity</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86,330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98,264</w:t>
            </w:r>
          </w:p>
        </w:tc>
        <w:tc>
          <w:tcPr>
            <w:tcW w:w="4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9"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4" w:type="dxa"/>
            <w:gridSpan w:val="2"/>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left"/>
              <w:rPr/>
            </w:pPr>
            <w:r>
              <w:rPr/>
              <w:t> </w:t>
            </w:r>
          </w:p>
        </w:tc>
      </w:tr>
    </w:tbl>
    <w:p>
      <w:pPr>
        <w:pStyle w:val="TextBody"/>
        <w:bidi w:val="0"/>
        <w:spacing w:before="4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form part of the unaudited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AVITA MEDICAL,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6" w:name="consolidated_statements_operations"/>
      <w:bookmarkEnd w:id="6"/>
      <w:r>
        <w:rPr>
          <w:rFonts w:ascii="Times New Roman;serif" w:hAnsi="Times New Roman;serif"/>
          <w:b/>
          <w:sz w:val="20"/>
        </w:rPr>
        <w:t>Consolidated Statements of Operations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center"/>
        <w:rPr/>
      </w:pPr>
      <w:r>
        <w:rPr/>
        <w:t> </w:t>
      </w:r>
    </w:p>
    <w:tbl>
      <w:tblPr>
        <w:tblW w:w="8814" w:type="dxa"/>
        <w:jc w:val="left"/>
        <w:tblInd w:w="0" w:type="dxa"/>
        <w:tblLayout w:type="fixed"/>
        <w:tblCellMar>
          <w:top w:w="28" w:type="dxa"/>
          <w:left w:w="28" w:type="dxa"/>
          <w:bottom w:w="28" w:type="dxa"/>
          <w:right w:w="28" w:type="dxa"/>
        </w:tblCellMar>
      </w:tblPr>
      <w:tblGrid>
        <w:gridCol w:w="2701"/>
        <w:gridCol w:w="146"/>
        <w:gridCol w:w="203"/>
        <w:gridCol w:w="952"/>
        <w:gridCol w:w="166"/>
        <w:gridCol w:w="146"/>
        <w:gridCol w:w="203"/>
        <w:gridCol w:w="952"/>
        <w:gridCol w:w="166"/>
        <w:gridCol w:w="146"/>
        <w:gridCol w:w="203"/>
        <w:gridCol w:w="952"/>
        <w:gridCol w:w="166"/>
        <w:gridCol w:w="146"/>
        <w:gridCol w:w="203"/>
        <w:gridCol w:w="952"/>
        <w:gridCol w:w="41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2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Three-Months Ended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2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Six-Months Ended</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5"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5"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5" w:type="dxa"/>
            <w:gridSpan w:val="2"/>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Revenues</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11,753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8,335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22,303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15,874</w:t>
            </w:r>
          </w:p>
        </w:tc>
        <w:tc>
          <w:tcPr>
            <w:tcW w:w="41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Cost of sales</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(3,164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Gross profit</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9,549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18,432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12,710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BARDA income</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1,285</w:t>
            </w:r>
          </w:p>
        </w:tc>
        <w:tc>
          <w:tcPr>
            <w:tcW w:w="41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expenses:</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firstLine="200"/>
              <w:jc w:val="lef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Sales and marketing expenses</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(5,332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(16,543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(10,160</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(5,471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(14,460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(13,005</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Research and development expenses</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(9,662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(6,679</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operating expenses</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(21,244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(13,862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(40,665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(29,844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loss</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(11,165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(6,362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(21,076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(15,849</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Interest expense</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income</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137</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Loss before income taxes</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(10,371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(6,257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(19,561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(15,716</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Income tax expense</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(10,384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(6,261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(19,604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(15,724</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 per common share:</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firstLine="200"/>
              <w:jc w:val="lef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Basic and Diluted</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(0.41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(0.25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(0.78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(0.63</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Weighted-average common shares:</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Basic and Diluted</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25,239,723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24,971,243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25,221,009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24,954,712</w:t>
            </w:r>
          </w:p>
        </w:tc>
        <w:tc>
          <w:tcPr>
            <w:tcW w:w="4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form part of the unaudited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AVITA MEDICAL,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7" w:name="consolidated_statements_comprehensive_lo"/>
      <w:bookmarkEnd w:id="7"/>
      <w:r>
        <w:rPr>
          <w:rFonts w:ascii="Times New Roman;serif" w:hAnsi="Times New Roman;serif"/>
          <w:b/>
          <w:sz w:val="20"/>
        </w:rPr>
        <w:t>Consolidated Statements</w:t>
      </w:r>
      <w:r>
        <w:rPr>
          <w:rFonts w:ascii="Times New Roman" w:hAnsi="Times New Roman"/>
          <w:sz w:val="20"/>
        </w:rPr>
        <w:t xml:space="preserve"> </w:t>
      </w:r>
      <w:r>
        <w:rPr>
          <w:rFonts w:ascii="Times New Roman;serif" w:hAnsi="Times New Roman;serif"/>
          <w:b/>
          <w:sz w:val="20"/>
        </w:rPr>
        <w:t>of Comprehensive Loss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thousands)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330"/>
        <w:gridCol w:w="146"/>
        <w:gridCol w:w="261"/>
        <w:gridCol w:w="884"/>
        <w:gridCol w:w="166"/>
        <w:gridCol w:w="146"/>
        <w:gridCol w:w="292"/>
        <w:gridCol w:w="851"/>
        <w:gridCol w:w="166"/>
        <w:gridCol w:w="146"/>
        <w:gridCol w:w="261"/>
        <w:gridCol w:w="884"/>
        <w:gridCol w:w="166"/>
        <w:gridCol w:w="146"/>
        <w:gridCol w:w="261"/>
        <w:gridCol w:w="884"/>
        <w:gridCol w:w="215"/>
      </w:tblGrid>
      <w:tr>
        <w:trPr/>
        <w:tc>
          <w:tcPr>
            <w:tcW w:w="43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33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60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Three-Months Ended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0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Six-Months Ended</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3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2022</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3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5"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3"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5"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5" w:type="dxa"/>
            <w:gridSpan w:val="2"/>
            <w:tcBorders/>
            <w:vAlign w:val="center"/>
          </w:tcPr>
          <w:p>
            <w:pPr>
              <w:pStyle w:val="TableContents"/>
              <w:bidi w:val="0"/>
              <w:spacing w:before="0" w:after="0"/>
              <w:ind w:left="0" w:right="0" w:hanging="0"/>
              <w:jc w:val="center"/>
              <w:rPr/>
            </w:pPr>
            <w:r>
              <w:rPr/>
              <w:t> </w:t>
            </w:r>
          </w:p>
        </w:tc>
        <w:tc>
          <w:tcPr>
            <w:tcW w:w="215" w:type="dxa"/>
            <w:tcBorders/>
            <w:vAlign w:val="center"/>
          </w:tcPr>
          <w:p>
            <w:pPr>
              <w:pStyle w:val="TableContents"/>
              <w:bidi w:val="0"/>
              <w:spacing w:before="0" w:after="0"/>
              <w:ind w:left="0" w:right="0" w:hanging="0"/>
              <w:jc w:val="center"/>
              <w:rPr/>
            </w:pPr>
            <w:r>
              <w:rPr/>
              <w:t> </w:t>
            </w:r>
          </w:p>
        </w:tc>
      </w:tr>
      <w:tr>
        <w:trPr/>
        <w:tc>
          <w:tcPr>
            <w:tcW w:w="433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8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(10,384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(6,261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8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(19,604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8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(15,724</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433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Foreign currency translation gain/(loss)</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88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88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88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(92</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433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unrealized gain/(loss) on marketable securities, net of tax</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(432</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433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Comprehensive loss</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(10,283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(6,506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(19,272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(16,248</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bidi w:val="0"/>
        <w:spacing w:before="0" w:after="0"/>
        <w:jc w:val="center"/>
        <w:rPr/>
      </w:pPr>
      <w:r>
        <w:rPr/>
        <w:t> </w:t>
      </w:r>
    </w:p>
    <w:p>
      <w:pPr>
        <w:pStyle w:val="TextBody"/>
        <w:bidi w:val="0"/>
        <w:spacing w:before="40" w:after="0"/>
        <w:jc w:val="center"/>
        <w:rPr>
          <w:rFonts w:ascii="Times New Roman" w:hAnsi="Times New Roman"/>
          <w:sz w:val="20"/>
        </w:rPr>
      </w:pPr>
      <w:r>
        <w:rPr>
          <w:rFonts w:ascii="Times New Roman;serif" w:hAnsi="Times New Roman;serif"/>
          <w:b w:val="false"/>
          <w:sz w:val="20"/>
        </w:rPr>
        <w:t>The accompanying notes form part of the unaudited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AVITA MEDICAL,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8" w:name="consolidated_statements_shareholders_equ"/>
      <w:bookmarkEnd w:id="8"/>
      <w:r>
        <w:rPr>
          <w:rFonts w:ascii="Times New Roman;serif" w:hAnsi="Times New Roman;serif"/>
          <w:b/>
          <w:sz w:val="20"/>
        </w:rPr>
        <w:t>Consolidated Statements of Stockholders’ Equity</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1201"/>
        <w:gridCol w:w="146"/>
        <w:gridCol w:w="146"/>
        <w:gridCol w:w="916"/>
        <w:gridCol w:w="146"/>
        <w:gridCol w:w="146"/>
        <w:gridCol w:w="345"/>
        <w:gridCol w:w="346"/>
        <w:gridCol w:w="146"/>
        <w:gridCol w:w="146"/>
        <w:gridCol w:w="259"/>
        <w:gridCol w:w="579"/>
        <w:gridCol w:w="166"/>
        <w:gridCol w:w="146"/>
        <w:gridCol w:w="196"/>
        <w:gridCol w:w="693"/>
        <w:gridCol w:w="166"/>
        <w:gridCol w:w="146"/>
        <w:gridCol w:w="337"/>
        <w:gridCol w:w="881"/>
        <w:gridCol w:w="146"/>
        <w:gridCol w:w="146"/>
        <w:gridCol w:w="217"/>
        <w:gridCol w:w="834"/>
        <w:gridCol w:w="166"/>
        <w:gridCol w:w="146"/>
        <w:gridCol w:w="247"/>
        <w:gridCol w:w="834"/>
        <w:gridCol w:w="216"/>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2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642" w:type="dxa"/>
            <w:gridSpan w:val="2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Three-Months Ended June 30, 2023</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4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8"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9"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8"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center"/>
              <w:rPr/>
            </w:pPr>
            <w:r>
              <w:rPr/>
              <w:t> </w:t>
            </w:r>
          </w:p>
        </w:tc>
        <w:tc>
          <w:tcPr>
            <w:tcW w:w="216" w:type="dxa"/>
            <w:tcBorders/>
            <w:vAlign w:val="center"/>
          </w:tcPr>
          <w:p>
            <w:pPr>
              <w:pStyle w:val="TableContents"/>
              <w:bidi w:val="0"/>
              <w:spacing w:before="0" w:after="0"/>
              <w:ind w:left="0" w:right="0" w:hanging="0"/>
              <w:jc w:val="center"/>
              <w:rPr/>
            </w:pPr>
            <w:r>
              <w:rPr/>
              <w:t> </w:t>
            </w:r>
          </w:p>
        </w:tc>
      </w:tr>
      <w:tr>
        <w:trPr/>
        <w:tc>
          <w:tcPr>
            <w:tcW w:w="12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Company common stock held by the NQDC Plan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Additional </w:t>
              <w:br/>
              <w:t>Paid-in 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 Other</w:t>
              <w:br/>
              <w:t>Comprehensive</w:t>
              <w:br/>
              <w:t>Gain (Loss)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w:t>
              <w:br/>
              <w:t>Equity</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at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25,327,761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5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(892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342,400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7,858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(271,808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77,561</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(10,384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(10,384</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1,175</w:t>
            </w:r>
          </w:p>
        </w:tc>
        <w:tc>
          <w:tcPr>
            <w:tcW w:w="216"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114,854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661</w:t>
            </w:r>
          </w:p>
        </w:tc>
        <w:tc>
          <w:tcPr>
            <w:tcW w:w="216"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Vesting of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216"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Change in redemption value of share awards in NQDC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(467</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Other comprehensive gain</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25,447,615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5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(892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343,769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7,959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(282,192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68,647</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203"/>
        <w:gridCol w:w="146"/>
        <w:gridCol w:w="146"/>
        <w:gridCol w:w="916"/>
        <w:gridCol w:w="146"/>
        <w:gridCol w:w="146"/>
        <w:gridCol w:w="345"/>
        <w:gridCol w:w="346"/>
        <w:gridCol w:w="146"/>
        <w:gridCol w:w="146"/>
        <w:gridCol w:w="453"/>
        <w:gridCol w:w="384"/>
        <w:gridCol w:w="146"/>
        <w:gridCol w:w="146"/>
        <w:gridCol w:w="196"/>
        <w:gridCol w:w="693"/>
        <w:gridCol w:w="166"/>
        <w:gridCol w:w="146"/>
        <w:gridCol w:w="337"/>
        <w:gridCol w:w="881"/>
        <w:gridCol w:w="166"/>
        <w:gridCol w:w="146"/>
        <w:gridCol w:w="217"/>
        <w:gridCol w:w="834"/>
        <w:gridCol w:w="166"/>
        <w:gridCol w:w="146"/>
        <w:gridCol w:w="265"/>
        <w:gridCol w:w="816"/>
        <w:gridCol w:w="215"/>
      </w:tblGrid>
      <w:tr>
        <w:trPr/>
        <w:tc>
          <w:tcPr>
            <w:tcW w:w="1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20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641" w:type="dxa"/>
            <w:gridSpan w:val="2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Three-Months Ended June 30, 2022</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0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4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9"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8"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center"/>
              <w:rPr/>
            </w:pPr>
            <w:r>
              <w:rPr/>
              <w:t> </w:t>
            </w:r>
          </w:p>
        </w:tc>
        <w:tc>
          <w:tcPr>
            <w:tcW w:w="215" w:type="dxa"/>
            <w:tcBorders/>
            <w:vAlign w:val="center"/>
          </w:tcPr>
          <w:p>
            <w:pPr>
              <w:pStyle w:val="TableContents"/>
              <w:bidi w:val="0"/>
              <w:spacing w:before="0" w:after="0"/>
              <w:ind w:left="0" w:right="0" w:hanging="0"/>
              <w:jc w:val="center"/>
              <w:rPr/>
            </w:pPr>
            <w:r>
              <w:rPr/>
              <w:t> </w:t>
            </w:r>
          </w:p>
        </w:tc>
      </w:tr>
      <w:tr>
        <w:trPr/>
        <w:tc>
          <w:tcPr>
            <w:tcW w:w="120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Company common stock held by the NQDC Plan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Additional </w:t>
              <w:br/>
              <w:t>Paid-in 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 Other</w:t>
              <w:br/>
              <w:t>Comprehensive</w:t>
              <w:br/>
              <w:t>Gain (Loss)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w:t>
              <w:br/>
              <w:t>Equity</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03"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at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24,955,581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3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335,417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7,781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(245,386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97,815</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0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left"/>
              <w:rPr/>
            </w:pPr>
            <w:r>
              <w:rPr/>
              <w:t> </w:t>
            </w:r>
          </w:p>
        </w:tc>
        <w:tc>
          <w:tcPr>
            <w:tcW w:w="3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(6,261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(6,261</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20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left"/>
              <w:rPr/>
            </w:pPr>
            <w:r>
              <w:rPr/>
              <w:t> </w:t>
            </w:r>
          </w:p>
        </w:tc>
        <w:tc>
          <w:tcPr>
            <w:tcW w:w="3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1,414</w:t>
            </w:r>
          </w:p>
        </w:tc>
        <w:tc>
          <w:tcPr>
            <w:tcW w:w="215" w:type="dxa"/>
            <w:tcBorders/>
            <w:vAlign w:val="center"/>
          </w:tcPr>
          <w:p>
            <w:pPr>
              <w:pStyle w:val="TableContents"/>
              <w:bidi w:val="0"/>
              <w:spacing w:before="0" w:after="0"/>
              <w:ind w:left="0" w:right="0" w:hanging="0"/>
              <w:jc w:val="left"/>
              <w:rPr/>
            </w:pPr>
            <w:r>
              <w:rPr/>
              <w:t> </w:t>
            </w:r>
          </w:p>
        </w:tc>
      </w:tr>
      <w:tr>
        <w:trPr/>
        <w:tc>
          <w:tcPr>
            <w:tcW w:w="120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Vesting of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47,507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left"/>
              <w:rPr/>
            </w:pPr>
            <w:r>
              <w:rPr/>
              <w:t> </w:t>
            </w:r>
          </w:p>
        </w:tc>
        <w:tc>
          <w:tcPr>
            <w:tcW w:w="3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215" w:type="dxa"/>
            <w:tcBorders/>
            <w:vAlign w:val="center"/>
          </w:tcPr>
          <w:p>
            <w:pPr>
              <w:pStyle w:val="TableContents"/>
              <w:bidi w:val="0"/>
              <w:spacing w:before="0" w:after="0"/>
              <w:ind w:left="0" w:right="0" w:hanging="0"/>
              <w:jc w:val="left"/>
              <w:rPr/>
            </w:pPr>
            <w:r>
              <w:rPr/>
              <w:t> </w:t>
            </w:r>
          </w:p>
        </w:tc>
      </w:tr>
      <w:tr>
        <w:trPr/>
        <w:tc>
          <w:tcPr>
            <w:tcW w:w="120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Change in classification of deferred compensation share awards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left"/>
              <w:rPr/>
            </w:pPr>
            <w:r>
              <w:rPr/>
              <w:t> </w:t>
            </w:r>
          </w:p>
        </w:tc>
        <w:tc>
          <w:tcPr>
            <w:tcW w:w="3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(192</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20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Change in redemption value of share awards in NQDC plan</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8"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w:t>
            </w:r>
          </w:p>
        </w:tc>
        <w:tc>
          <w:tcPr>
            <w:tcW w:w="215" w:type="dxa"/>
            <w:tcBorders/>
            <w:vAlign w:val="center"/>
          </w:tcPr>
          <w:p>
            <w:pPr>
              <w:pStyle w:val="TableContents"/>
              <w:bidi w:val="0"/>
              <w:spacing w:before="0" w:after="0"/>
              <w:ind w:left="0" w:right="0" w:hanging="0"/>
              <w:jc w:val="left"/>
              <w:rPr/>
            </w:pPr>
            <w:r>
              <w:rPr/>
              <w:t> </w:t>
            </w:r>
          </w:p>
        </w:tc>
      </w:tr>
      <w:tr>
        <w:trPr/>
        <w:tc>
          <w:tcPr>
            <w:tcW w:w="120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Other comprehensive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(245</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203"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at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25,003,088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3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336,668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7,536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(251,647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92,560</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1201"/>
        <w:gridCol w:w="146"/>
        <w:gridCol w:w="146"/>
        <w:gridCol w:w="916"/>
        <w:gridCol w:w="146"/>
        <w:gridCol w:w="146"/>
        <w:gridCol w:w="345"/>
        <w:gridCol w:w="346"/>
        <w:gridCol w:w="146"/>
        <w:gridCol w:w="146"/>
        <w:gridCol w:w="259"/>
        <w:gridCol w:w="579"/>
        <w:gridCol w:w="166"/>
        <w:gridCol w:w="146"/>
        <w:gridCol w:w="196"/>
        <w:gridCol w:w="693"/>
        <w:gridCol w:w="166"/>
        <w:gridCol w:w="146"/>
        <w:gridCol w:w="337"/>
        <w:gridCol w:w="881"/>
        <w:gridCol w:w="146"/>
        <w:gridCol w:w="146"/>
        <w:gridCol w:w="217"/>
        <w:gridCol w:w="834"/>
        <w:gridCol w:w="166"/>
        <w:gridCol w:w="146"/>
        <w:gridCol w:w="247"/>
        <w:gridCol w:w="834"/>
        <w:gridCol w:w="216"/>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2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642" w:type="dxa"/>
            <w:gridSpan w:val="2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Six-Months Ended June 30, 2023</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4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8"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9"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8"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center"/>
              <w:rPr/>
            </w:pPr>
            <w:r>
              <w:rPr/>
              <w:t> </w:t>
            </w:r>
          </w:p>
        </w:tc>
        <w:tc>
          <w:tcPr>
            <w:tcW w:w="216" w:type="dxa"/>
            <w:tcBorders/>
            <w:vAlign w:val="center"/>
          </w:tcPr>
          <w:p>
            <w:pPr>
              <w:pStyle w:val="TableContents"/>
              <w:bidi w:val="0"/>
              <w:spacing w:before="0" w:after="0"/>
              <w:ind w:left="0" w:right="0" w:hanging="0"/>
              <w:jc w:val="center"/>
              <w:rPr/>
            </w:pPr>
            <w:r>
              <w:rPr/>
              <w:t> </w:t>
            </w:r>
          </w:p>
        </w:tc>
      </w:tr>
      <w:tr>
        <w:trPr/>
        <w:tc>
          <w:tcPr>
            <w:tcW w:w="12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Company common stock held by the NQDC Plan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Additional </w:t>
              <w:br/>
              <w:t>Paid-in 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 Other</w:t>
              <w:br/>
              <w:t>Comprehensive</w:t>
              <w:br/>
              <w:t>Gain (Loss)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w:t>
              <w:br/>
              <w:t>Equity</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25,208,436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5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(127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339,825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7,627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(262,588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84,740</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(19,604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(19,604</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3,372</w:t>
            </w:r>
          </w:p>
        </w:tc>
        <w:tc>
          <w:tcPr>
            <w:tcW w:w="216"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146,529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832</w:t>
            </w:r>
          </w:p>
        </w:tc>
        <w:tc>
          <w:tcPr>
            <w:tcW w:w="216"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Company common stock held by the NQDC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87,650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216"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Vesting of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216"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Change in redemption value of share awards in NQDC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(1,025</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Other comprehensive gain</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332</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25,447,615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5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(892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343,769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7,959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(282,192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68,647</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1203"/>
        <w:gridCol w:w="146"/>
        <w:gridCol w:w="146"/>
        <w:gridCol w:w="916"/>
        <w:gridCol w:w="146"/>
        <w:gridCol w:w="146"/>
        <w:gridCol w:w="345"/>
        <w:gridCol w:w="346"/>
        <w:gridCol w:w="146"/>
        <w:gridCol w:w="146"/>
        <w:gridCol w:w="453"/>
        <w:gridCol w:w="384"/>
        <w:gridCol w:w="146"/>
        <w:gridCol w:w="146"/>
        <w:gridCol w:w="196"/>
        <w:gridCol w:w="693"/>
        <w:gridCol w:w="166"/>
        <w:gridCol w:w="146"/>
        <w:gridCol w:w="337"/>
        <w:gridCol w:w="881"/>
        <w:gridCol w:w="166"/>
        <w:gridCol w:w="146"/>
        <w:gridCol w:w="217"/>
        <w:gridCol w:w="834"/>
        <w:gridCol w:w="166"/>
        <w:gridCol w:w="146"/>
        <w:gridCol w:w="238"/>
        <w:gridCol w:w="843"/>
        <w:gridCol w:w="215"/>
      </w:tblGrid>
      <w:tr>
        <w:trPr/>
        <w:tc>
          <w:tcPr>
            <w:tcW w:w="1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20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641" w:type="dxa"/>
            <w:gridSpan w:val="2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Six-Months Ended June 30, 2022</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0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4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9"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8"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center"/>
              <w:rPr/>
            </w:pPr>
            <w:r>
              <w:rPr/>
              <w:t> </w:t>
            </w:r>
          </w:p>
        </w:tc>
        <w:tc>
          <w:tcPr>
            <w:tcW w:w="215" w:type="dxa"/>
            <w:tcBorders/>
            <w:vAlign w:val="center"/>
          </w:tcPr>
          <w:p>
            <w:pPr>
              <w:pStyle w:val="TableContents"/>
              <w:bidi w:val="0"/>
              <w:spacing w:before="0" w:after="0"/>
              <w:ind w:left="0" w:right="0" w:hanging="0"/>
              <w:jc w:val="center"/>
              <w:rPr/>
            </w:pPr>
            <w:r>
              <w:rPr/>
              <w:t> </w:t>
            </w:r>
          </w:p>
        </w:tc>
      </w:tr>
      <w:tr>
        <w:trPr/>
        <w:tc>
          <w:tcPr>
            <w:tcW w:w="120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Company common stock held by the NQDC Plan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Additional </w:t>
              <w:br/>
              <w:t>Paid-in 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 Other</w:t>
              <w:br/>
              <w:t>Comprehensive</w:t>
              <w:br/>
              <w:t>Gain (Loss)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w:t>
              <w:br/>
              <w:t>Equity</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03"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at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24,925,743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3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332,484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8,060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(235,923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104,624</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0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left"/>
              <w:rPr/>
            </w:pPr>
            <w:r>
              <w:rPr/>
              <w:t> </w:t>
            </w:r>
          </w:p>
        </w:tc>
        <w:tc>
          <w:tcPr>
            <w:tcW w:w="3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(15,724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(15,724</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20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left"/>
              <w:rPr/>
            </w:pPr>
            <w:r>
              <w:rPr/>
              <w:t> </w:t>
            </w:r>
          </w:p>
        </w:tc>
        <w:tc>
          <w:tcPr>
            <w:tcW w:w="3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4,346</w:t>
            </w:r>
          </w:p>
        </w:tc>
        <w:tc>
          <w:tcPr>
            <w:tcW w:w="215" w:type="dxa"/>
            <w:tcBorders/>
            <w:vAlign w:val="center"/>
          </w:tcPr>
          <w:p>
            <w:pPr>
              <w:pStyle w:val="TableContents"/>
              <w:bidi w:val="0"/>
              <w:spacing w:before="0" w:after="0"/>
              <w:ind w:left="0" w:right="0" w:hanging="0"/>
              <w:jc w:val="left"/>
              <w:rPr/>
            </w:pPr>
            <w:r>
              <w:rPr/>
              <w:t> </w:t>
            </w:r>
          </w:p>
        </w:tc>
      </w:tr>
      <w:tr>
        <w:trPr/>
        <w:tc>
          <w:tcPr>
            <w:tcW w:w="120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left"/>
              <w:rPr/>
            </w:pPr>
            <w:r>
              <w:rPr/>
              <w:t> </w:t>
            </w:r>
          </w:p>
        </w:tc>
        <w:tc>
          <w:tcPr>
            <w:tcW w:w="3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215" w:type="dxa"/>
            <w:tcBorders/>
            <w:vAlign w:val="center"/>
          </w:tcPr>
          <w:p>
            <w:pPr>
              <w:pStyle w:val="TableContents"/>
              <w:bidi w:val="0"/>
              <w:spacing w:before="0" w:after="0"/>
              <w:ind w:left="0" w:right="0" w:hanging="0"/>
              <w:jc w:val="left"/>
              <w:rPr/>
            </w:pPr>
            <w:r>
              <w:rPr/>
              <w:t> </w:t>
            </w:r>
          </w:p>
        </w:tc>
      </w:tr>
      <w:tr>
        <w:trPr/>
        <w:tc>
          <w:tcPr>
            <w:tcW w:w="120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Vesting of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77,220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left"/>
              <w:rPr/>
            </w:pPr>
            <w:r>
              <w:rPr/>
              <w:t> </w:t>
            </w:r>
          </w:p>
        </w:tc>
        <w:tc>
          <w:tcPr>
            <w:tcW w:w="3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215" w:type="dxa"/>
            <w:tcBorders/>
            <w:vAlign w:val="center"/>
          </w:tcPr>
          <w:p>
            <w:pPr>
              <w:pStyle w:val="TableContents"/>
              <w:bidi w:val="0"/>
              <w:spacing w:before="0" w:after="0"/>
              <w:ind w:left="0" w:right="0" w:hanging="0"/>
              <w:jc w:val="left"/>
              <w:rPr/>
            </w:pPr>
            <w:r>
              <w:rPr/>
              <w:t> </w:t>
            </w:r>
          </w:p>
        </w:tc>
      </w:tr>
      <w:tr>
        <w:trPr/>
        <w:tc>
          <w:tcPr>
            <w:tcW w:w="120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Change in classification of deferred compensation share awards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left"/>
              <w:rPr/>
            </w:pPr>
            <w:r>
              <w:rPr/>
              <w:t> </w:t>
            </w:r>
          </w:p>
        </w:tc>
        <w:tc>
          <w:tcPr>
            <w:tcW w:w="3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(192</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20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Change in redemption value of share awards in NQDC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left"/>
              <w:rPr/>
            </w:pPr>
            <w:r>
              <w:rPr/>
              <w:t> </w:t>
            </w:r>
          </w:p>
        </w:tc>
        <w:tc>
          <w:tcPr>
            <w:tcW w:w="3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w:t>
            </w:r>
          </w:p>
        </w:tc>
        <w:tc>
          <w:tcPr>
            <w:tcW w:w="215" w:type="dxa"/>
            <w:tcBorders/>
            <w:vAlign w:val="center"/>
          </w:tcPr>
          <w:p>
            <w:pPr>
              <w:pStyle w:val="TableContents"/>
              <w:bidi w:val="0"/>
              <w:spacing w:before="0" w:after="0"/>
              <w:ind w:left="0" w:right="0" w:hanging="0"/>
              <w:jc w:val="left"/>
              <w:rPr/>
            </w:pPr>
            <w:r>
              <w:rPr/>
              <w:t> </w:t>
            </w:r>
          </w:p>
        </w:tc>
      </w:tr>
      <w:tr>
        <w:trPr/>
        <w:tc>
          <w:tcPr>
            <w:tcW w:w="120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Other comprehensive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(524</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203"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at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25,003,088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3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336,668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7,536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(251,647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92,560</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form part of the unaudited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AVITA Medical, Inc.</w:t>
      </w:r>
    </w:p>
    <w:p>
      <w:pPr>
        <w:pStyle w:val="TextBody"/>
        <w:bidi w:val="0"/>
        <w:spacing w:before="0" w:after="0"/>
        <w:jc w:val="center"/>
        <w:rPr>
          <w:rFonts w:ascii="Times New Roman" w:hAnsi="Times New Roman"/>
          <w:sz w:val="20"/>
        </w:rPr>
      </w:pPr>
      <w:bookmarkStart w:id="9" w:name="consolidated_statements_cash_flows"/>
      <w:bookmarkEnd w:id="9"/>
      <w:r>
        <w:rPr>
          <w:rFonts w:ascii="Times New Roman;serif" w:hAnsi="Times New Roman;serif"/>
          <w:b/>
          <w:sz w:val="20"/>
        </w:rPr>
        <w:t>Consolidated Statements of Cash Flows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thousands)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center"/>
        <w:rPr/>
      </w:pPr>
      <w:r>
        <w:rPr/>
        <w:t> </w:t>
      </w:r>
    </w:p>
    <w:tbl>
      <w:tblPr>
        <w:tblW w:w="8975" w:type="dxa"/>
        <w:jc w:val="left"/>
        <w:tblInd w:w="0" w:type="dxa"/>
        <w:tblLayout w:type="fixed"/>
        <w:tblCellMar>
          <w:top w:w="28" w:type="dxa"/>
          <w:left w:w="28" w:type="dxa"/>
          <w:bottom w:w="28" w:type="dxa"/>
          <w:right w:w="28" w:type="dxa"/>
        </w:tblCellMar>
      </w:tblPr>
      <w:tblGrid>
        <w:gridCol w:w="5596"/>
        <w:gridCol w:w="146"/>
        <w:gridCol w:w="264"/>
        <w:gridCol w:w="891"/>
        <w:gridCol w:w="166"/>
        <w:gridCol w:w="146"/>
        <w:gridCol w:w="264"/>
        <w:gridCol w:w="891"/>
        <w:gridCol w:w="611"/>
      </w:tblGrid>
      <w:tr>
        <w:trPr/>
        <w:tc>
          <w:tcPr>
            <w:tcW w:w="5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5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Six-Months Ended</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5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Cash flow from operating activities:</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left"/>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(19,604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(15,724</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Adjustments to reconcile net loss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200"/>
              <w:jc w:val="left"/>
              <w:rPr/>
            </w:pPr>
            <w:r>
              <w:rPr/>
              <w:t> </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300</w:t>
            </w:r>
          </w:p>
        </w:tc>
        <w:tc>
          <w:tcPr>
            <w:tcW w:w="611" w:type="dxa"/>
            <w:tcBorders/>
            <w:vAlign w:val="center"/>
          </w:tcPr>
          <w:p>
            <w:pPr>
              <w:pStyle w:val="TableContents"/>
              <w:bidi w:val="0"/>
              <w:spacing w:before="0" w:after="0"/>
              <w:ind w:left="0" w:right="0" w:firstLine="200"/>
              <w:jc w:val="left"/>
              <w:rPr/>
            </w:pPr>
            <w:r>
              <w:rPr/>
              <w:t> </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4,346</w:t>
            </w:r>
          </w:p>
        </w:tc>
        <w:tc>
          <w:tcPr>
            <w:tcW w:w="611" w:type="dxa"/>
            <w:tcBorders/>
            <w:vAlign w:val="center"/>
          </w:tcPr>
          <w:p>
            <w:pPr>
              <w:pStyle w:val="TableContents"/>
              <w:bidi w:val="0"/>
              <w:spacing w:before="0" w:after="0"/>
              <w:ind w:left="0" w:right="0" w:firstLine="200"/>
              <w:jc w:val="left"/>
              <w:rPr/>
            </w:pPr>
            <w:r>
              <w:rPr/>
              <w:t> </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Non-cash lease expense</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341</w:t>
            </w:r>
          </w:p>
        </w:tc>
        <w:tc>
          <w:tcPr>
            <w:tcW w:w="611" w:type="dxa"/>
            <w:tcBorders/>
            <w:vAlign w:val="center"/>
          </w:tcPr>
          <w:p>
            <w:pPr>
              <w:pStyle w:val="TableContents"/>
              <w:bidi w:val="0"/>
              <w:spacing w:before="0" w:after="0"/>
              <w:ind w:left="0" w:right="0" w:firstLine="200"/>
              <w:jc w:val="left"/>
              <w:rPr/>
            </w:pPr>
            <w:r>
              <w:rPr/>
              <w:t> </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Loss on fixed asset disposal</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611" w:type="dxa"/>
            <w:tcBorders/>
            <w:vAlign w:val="center"/>
          </w:tcPr>
          <w:p>
            <w:pPr>
              <w:pStyle w:val="TableContents"/>
              <w:bidi w:val="0"/>
              <w:spacing w:before="0" w:after="0"/>
              <w:ind w:left="0" w:right="0" w:firstLine="200"/>
              <w:jc w:val="left"/>
              <w:rPr/>
            </w:pPr>
            <w:r>
              <w:rPr/>
              <w:t> </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Patent impairment loss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611" w:type="dxa"/>
            <w:tcBorders/>
            <w:vAlign w:val="center"/>
          </w:tcPr>
          <w:p>
            <w:pPr>
              <w:pStyle w:val="TableContents"/>
              <w:bidi w:val="0"/>
              <w:spacing w:before="0" w:after="0"/>
              <w:ind w:left="0" w:right="0" w:firstLine="200"/>
              <w:jc w:val="left"/>
              <w:rPr/>
            </w:pPr>
            <w:r>
              <w:rPr/>
              <w:t> </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Remeasurement and foreign currency transaction (gain)/loss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Excess and obsolete inventory related charges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158</w:t>
            </w:r>
          </w:p>
        </w:tc>
        <w:tc>
          <w:tcPr>
            <w:tcW w:w="611" w:type="dxa"/>
            <w:tcBorders/>
            <w:vAlign w:val="center"/>
          </w:tcPr>
          <w:p>
            <w:pPr>
              <w:pStyle w:val="TableContents"/>
              <w:bidi w:val="0"/>
              <w:spacing w:before="0" w:after="0"/>
              <w:ind w:left="0" w:right="0" w:firstLine="200"/>
              <w:jc w:val="left"/>
              <w:rPr/>
            </w:pPr>
            <w:r>
              <w:rPr/>
              <w:t> </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BARDA deferred costs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(64</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Contract cost amortization</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169</w:t>
            </w:r>
          </w:p>
        </w:tc>
        <w:tc>
          <w:tcPr>
            <w:tcW w:w="611" w:type="dxa"/>
            <w:tcBorders/>
            <w:vAlign w:val="center"/>
          </w:tcPr>
          <w:p>
            <w:pPr>
              <w:pStyle w:val="TableContents"/>
              <w:bidi w:val="0"/>
              <w:spacing w:before="0" w:after="0"/>
              <w:ind w:left="0" w:right="0" w:firstLine="200"/>
              <w:jc w:val="left"/>
              <w:rPr/>
            </w:pPr>
            <w:r>
              <w:rPr/>
              <w:t> </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Provision for doubtful accounts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611" w:type="dxa"/>
            <w:tcBorders/>
            <w:vAlign w:val="center"/>
          </w:tcPr>
          <w:p>
            <w:pPr>
              <w:pStyle w:val="TableContents"/>
              <w:bidi w:val="0"/>
              <w:spacing w:before="0" w:after="0"/>
              <w:ind w:left="0" w:right="0" w:firstLine="200"/>
              <w:jc w:val="left"/>
              <w:rPr/>
            </w:pPr>
            <w:r>
              <w:rPr/>
              <w:t> </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Amortization of (premium)/discount of marketable securities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83</w:t>
            </w:r>
          </w:p>
        </w:tc>
        <w:tc>
          <w:tcPr>
            <w:tcW w:w="611" w:type="dxa"/>
            <w:tcBorders/>
            <w:vAlign w:val="center"/>
          </w:tcPr>
          <w:p>
            <w:pPr>
              <w:pStyle w:val="TableContents"/>
              <w:bidi w:val="0"/>
              <w:spacing w:before="0" w:after="0"/>
              <w:ind w:left="0" w:right="0" w:firstLine="200"/>
              <w:jc w:val="left"/>
              <w:rPr/>
            </w:pPr>
            <w:r>
              <w:rPr/>
              <w:t> </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Non-cash changes in the fair value of NQDC plan</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611" w:type="dxa"/>
            <w:tcBorders/>
            <w:vAlign w:val="center"/>
          </w:tcPr>
          <w:p>
            <w:pPr>
              <w:pStyle w:val="TableContents"/>
              <w:bidi w:val="0"/>
              <w:spacing w:before="0" w:after="0"/>
              <w:ind w:left="0" w:right="0" w:hanging="0"/>
              <w:jc w:val="left"/>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200"/>
              <w:jc w:val="left"/>
              <w:rPr/>
            </w:pPr>
            <w:r>
              <w:rPr/>
              <w:t> </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Trade and other receivables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(777</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BARDA receivables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Prepaids and other current assets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205</w:t>
            </w:r>
          </w:p>
        </w:tc>
        <w:tc>
          <w:tcPr>
            <w:tcW w:w="611" w:type="dxa"/>
            <w:tcBorders/>
            <w:vAlign w:val="center"/>
          </w:tcPr>
          <w:p>
            <w:pPr>
              <w:pStyle w:val="TableContents"/>
              <w:bidi w:val="0"/>
              <w:spacing w:before="0" w:after="0"/>
              <w:ind w:left="0" w:right="0" w:firstLine="200"/>
              <w:jc w:val="left"/>
              <w:rPr/>
            </w:pPr>
            <w:r>
              <w:rPr/>
              <w:t> </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Inventory</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Operating lease liability</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(349</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Corporate-owned life insurance asset</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611" w:type="dxa"/>
            <w:tcBorders/>
            <w:vAlign w:val="center"/>
          </w:tcPr>
          <w:p>
            <w:pPr>
              <w:pStyle w:val="TableContents"/>
              <w:bidi w:val="0"/>
              <w:spacing w:before="0" w:after="0"/>
              <w:ind w:left="0" w:right="0" w:firstLine="200"/>
              <w:jc w:val="left"/>
              <w:rPr/>
            </w:pPr>
            <w:r>
              <w:rPr/>
              <w:t> </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long-term assets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(467</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Accounts payable and accrued expenses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(179</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Accrued wages and fringe benefits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(1,178</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Current non-qualified deferred compensation liability</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611" w:type="dxa"/>
            <w:tcBorders/>
            <w:vAlign w:val="center"/>
          </w:tcPr>
          <w:p>
            <w:pPr>
              <w:pStyle w:val="TableContents"/>
              <w:bidi w:val="0"/>
              <w:spacing w:before="0" w:after="0"/>
              <w:ind w:left="0" w:right="0" w:firstLine="200"/>
              <w:jc w:val="left"/>
              <w:rPr/>
            </w:pPr>
            <w:r>
              <w:rPr/>
              <w:t> </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current liabilities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105</w:t>
            </w:r>
          </w:p>
        </w:tc>
        <w:tc>
          <w:tcPr>
            <w:tcW w:w="611" w:type="dxa"/>
            <w:tcBorders/>
            <w:vAlign w:val="center"/>
          </w:tcPr>
          <w:p>
            <w:pPr>
              <w:pStyle w:val="TableContents"/>
              <w:bidi w:val="0"/>
              <w:spacing w:before="0" w:after="0"/>
              <w:ind w:left="0" w:right="0" w:firstLine="200"/>
              <w:jc w:val="left"/>
              <w:rPr/>
            </w:pPr>
            <w:r>
              <w:rPr/>
              <w:t> </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Non-qualified deferred compensation plan liability</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611" w:type="dxa"/>
            <w:tcBorders/>
            <w:vAlign w:val="center"/>
          </w:tcPr>
          <w:p>
            <w:pPr>
              <w:pStyle w:val="TableContents"/>
              <w:bidi w:val="0"/>
              <w:spacing w:before="0" w:after="0"/>
              <w:ind w:left="0" w:right="0" w:firstLine="200"/>
              <w:jc w:val="left"/>
              <w:rPr/>
            </w:pPr>
            <w:r>
              <w:rPr/>
              <w:t> </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Contract liabilities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(139</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long-term liabilities</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403</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59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Net cash used in operations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(18,174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(12,877</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Cash flows from investing activities:</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200"/>
              <w:jc w:val="left"/>
              <w:rPr/>
            </w:pPr>
            <w:r>
              <w:rPr/>
              <w:t> </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Purchase of marketable securities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(7,633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(32,975</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Maturities of marketable securities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45,388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25,440</w:t>
            </w:r>
          </w:p>
        </w:tc>
        <w:tc>
          <w:tcPr>
            <w:tcW w:w="611" w:type="dxa"/>
            <w:tcBorders/>
            <w:vAlign w:val="center"/>
          </w:tcPr>
          <w:p>
            <w:pPr>
              <w:pStyle w:val="TableContents"/>
              <w:bidi w:val="0"/>
              <w:spacing w:before="0" w:after="0"/>
              <w:ind w:left="0" w:right="0" w:firstLine="200"/>
              <w:jc w:val="left"/>
              <w:rPr/>
            </w:pPr>
            <w:r>
              <w:rPr/>
              <w:t> </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Purchase of plant and equipment</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(583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(278</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Patent filing fees</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559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Net cash provided/(used) in investing activities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37,150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(7,845</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Cash flow from financing activities:</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200"/>
              <w:jc w:val="left"/>
              <w:rPr/>
            </w:pPr>
            <w:r>
              <w:rPr/>
              <w:t> </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Proceeds from exercise of stock options</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59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611" w:type="dxa"/>
            <w:tcBorders/>
            <w:vAlign w:val="center"/>
          </w:tcPr>
          <w:p>
            <w:pPr>
              <w:pStyle w:val="TableContents"/>
              <w:bidi w:val="0"/>
              <w:spacing w:before="0" w:after="0"/>
              <w:ind w:left="0" w:right="0" w:hanging="0"/>
              <w:jc w:val="left"/>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Effect of foreign exchange rate on cash and restricted cash</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Net increase/(decrease) in cash and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19,321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(20,773</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Cash and cash equivalents and restricted cash beginning of the period</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18,164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55,712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Cash and cash equivalents and restricted cash end of the period</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37,485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34,939</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Supplemental Disclosure of Cash Flow Information</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left"/>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Income taxes paid during the period</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w:t>
            </w:r>
          </w:p>
        </w:tc>
        <w:tc>
          <w:tcPr>
            <w:tcW w:w="611" w:type="dxa"/>
            <w:tcBorders/>
            <w:vAlign w:val="center"/>
          </w:tcPr>
          <w:p>
            <w:pPr>
              <w:pStyle w:val="TableContents"/>
              <w:bidi w:val="0"/>
              <w:spacing w:before="0" w:after="0"/>
              <w:ind w:left="0" w:right="0" w:hanging="0"/>
              <w:jc w:val="left"/>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Interest paid during the period</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611" w:type="dxa"/>
            <w:tcBorders/>
            <w:vAlign w:val="center"/>
          </w:tcPr>
          <w:p>
            <w:pPr>
              <w:pStyle w:val="TableContents"/>
              <w:bidi w:val="0"/>
              <w:spacing w:before="0" w:after="0"/>
              <w:ind w:left="0" w:right="0" w:hanging="0"/>
              <w:jc w:val="left"/>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Plant and equipment purchases not yet paid</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611" w:type="dxa"/>
            <w:tcBorders/>
            <w:vAlign w:val="center"/>
          </w:tcPr>
          <w:p>
            <w:pPr>
              <w:pStyle w:val="TableContents"/>
              <w:bidi w:val="0"/>
              <w:spacing w:before="0" w:after="0"/>
              <w:ind w:left="0" w:right="0" w:hanging="0"/>
              <w:jc w:val="left"/>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Exercise of stock options not yet paid</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6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form part of the unaudited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AVITA MEDICAL,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10" w:name="notes_to_consolidated_financial_statemen"/>
      <w:bookmarkEnd w:id="10"/>
      <w:r>
        <w:rPr>
          <w:rFonts w:ascii="Times New Roman;serif" w:hAnsi="Times New Roman;serif"/>
          <w:b/>
          <w:sz w:val="20"/>
        </w:rPr>
        <w:t>Notes to Consolidated Financial Statements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sz w:val="20"/>
        </w:rPr>
        <w:t>1. The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Nature of the Business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AVITA Medical, Inc. and its subsidiaries (collectively, “</w:t>
      </w:r>
      <w:r>
        <w:rPr>
          <w:rFonts w:ascii="Times New Roman;serif" w:hAnsi="Times New Roman;serif"/>
          <w:b/>
          <w:sz w:val="20"/>
        </w:rPr>
        <w:t>AVITA Medical</w:t>
      </w:r>
      <w:r>
        <w:rPr>
          <w:rFonts w:ascii="Times New Roman" w:hAnsi="Times New Roman"/>
          <w:sz w:val="20"/>
        </w:rPr>
        <w:t>”</w:t>
      </w:r>
      <w:r>
        <w:rPr>
          <w:rFonts w:ascii="Times New Roman;serif" w:hAnsi="Times New Roman;serif"/>
          <w:b w:val="false"/>
          <w:sz w:val="20"/>
        </w:rPr>
        <w:t>, or “</w:t>
      </w:r>
      <w:r>
        <w:rPr>
          <w:rFonts w:ascii="Times New Roman;serif" w:hAnsi="Times New Roman;serif"/>
          <w:b/>
          <w:sz w:val="20"/>
        </w:rPr>
        <w:t>Company</w:t>
      </w:r>
      <w:r>
        <w:rPr>
          <w:rFonts w:ascii="Times New Roman" w:hAnsi="Times New Roman"/>
          <w:sz w:val="20"/>
        </w:rPr>
        <w:t>”</w:t>
      </w:r>
      <w:r>
        <w:rPr>
          <w:rFonts w:ascii="Times New Roman;serif" w:hAnsi="Times New Roman;serif"/>
          <w:b w:val="false"/>
          <w:sz w:val="20"/>
        </w:rPr>
        <w:t>), is a regenerative medicine company leading the development and commercialization of devices and autologous cellular therapies for skin restoration. The Company's RECELL® System technology platform harnesses the regenerative properties of a patient’s own skin to create Spray-On Skin cells. In September 2018, the United States Food &amp; Drug Administration (“</w:t>
      </w:r>
      <w:r>
        <w:rPr>
          <w:rFonts w:ascii="Times New Roman;serif" w:hAnsi="Times New Roman;serif"/>
          <w:b/>
          <w:sz w:val="20"/>
        </w:rPr>
        <w:t>FDA</w:t>
      </w:r>
      <w:r>
        <w:rPr>
          <w:rFonts w:ascii="Times New Roman" w:hAnsi="Times New Roman"/>
          <w:sz w:val="20"/>
        </w:rPr>
        <w:t>”</w:t>
      </w:r>
      <w:r>
        <w:rPr>
          <w:rFonts w:ascii="Times New Roman;serif" w:hAnsi="Times New Roman;serif"/>
          <w:b w:val="false"/>
          <w:sz w:val="20"/>
        </w:rPr>
        <w:t>) granted premarket approval (“</w:t>
      </w:r>
      <w:r>
        <w:rPr>
          <w:rFonts w:ascii="Times New Roman;serif" w:hAnsi="Times New Roman;serif"/>
          <w:b/>
          <w:sz w:val="20"/>
        </w:rPr>
        <w:t>PMA</w:t>
      </w:r>
      <w:r>
        <w:rPr>
          <w:rFonts w:ascii="Times New Roman" w:hAnsi="Times New Roman"/>
          <w:sz w:val="20"/>
        </w:rPr>
        <w:t>”</w:t>
      </w:r>
      <w:r>
        <w:rPr>
          <w:rFonts w:ascii="Times New Roman;serif" w:hAnsi="Times New Roman;serif"/>
          <w:b w:val="false"/>
          <w:sz w:val="20"/>
        </w:rPr>
        <w:t>) to the RECELL System for use in the treatment of acute thermal burns in patients eighteen years and older. Following receipt of the original PMA, the Company commenced commercialization of the RECELL System in January 2019 in the United States. In June 2021, the FDA approved expanded use of the RECELL System in combination of meshed autografting for acute full-thickness thermal wounds in pediatric and adult patients. In February 2022, the FDA approved a PMA supplement for the RECELL Autologous Cell Harvesting Device, an enhanced ease-of-use device aimed at providing clinicians a more efficient user experience and simplified workflow. On June 7, 2023, the FDA approved a PMA supplement for full-thickness skin defects based on results of the Company's pivotal trial for soft tissue repair and reconstruction. Following this approval, the Company commenced a commercial launch on June 8, 2023. On June 16, 2023, the FDA approved a PMA application for the repigmentation of stable depigmented vitiligo lesions. The Company plans to commence a full commercial launch following the expected receipt of in-office reimbursement for the use of RECELL in the physician office setting, which the Company anticipates in 2025. Additionally, on June 29, 2023, the Company submitted a PMA supplement to the FDA for its automated cell disaggregation device, RECELL GO. RECELL GO maintains the FDA Breakthrough Device designation from predecessor devices.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In February 2019, the Company entered into a collaboration with COSMOTEC Company Ltd ("</w:t>
      </w:r>
      <w:r>
        <w:rPr>
          <w:rFonts w:ascii="Times New Roman;serif" w:hAnsi="Times New Roman;serif"/>
          <w:b/>
          <w:sz w:val="20"/>
        </w:rPr>
        <w:t>COSMOTEC</w:t>
      </w:r>
      <w:r>
        <w:rPr>
          <w:rFonts w:ascii="Times New Roman;serif" w:hAnsi="Times New Roman;serif"/>
          <w:b w:val="false"/>
          <w:sz w:val="20"/>
        </w:rPr>
        <w:t>"), an M3 Group company, to market and distribute the RECELL System in Japan. Under the terms of the agreement, AVITA Medical will supply the RECELL product, and COSMOTEC will be the sole distributor of the product in Japan. The Company worked with COSMOTEC to advance its application for approval of the RECELL System in Japan pursuant to Japan’s Pharmaceuticals and Medical Devices Act (“</w:t>
      </w:r>
      <w:r>
        <w:rPr>
          <w:rFonts w:ascii="Times New Roman;serif" w:hAnsi="Times New Roman;serif"/>
          <w:b/>
          <w:sz w:val="20"/>
        </w:rPr>
        <w:t>PMDA</w:t>
      </w:r>
      <w:r>
        <w:rPr>
          <w:rFonts w:ascii="Times New Roman" w:hAnsi="Times New Roman"/>
          <w:sz w:val="20"/>
        </w:rPr>
        <w:t>”</w:t>
      </w:r>
      <w:r>
        <w:rPr>
          <w:rFonts w:ascii="Times New Roman;serif" w:hAnsi="Times New Roman;serif"/>
          <w:b w:val="false"/>
          <w:sz w:val="20"/>
        </w:rPr>
        <w:t>). In February 2022, COSMOTEC’s application for regulatory approval was approved by the PMDA with labeling for burns only. In September 2022, COSMOTEC commercially launched RECELL in Japan following Japan’s Ministry of Health, Labor, and Welfare approval of reimbursement pricing.</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2. Summary of Significant Accounting Policies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Basis of Presentation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accompanying unaudited Consolidated Financial Statements of the Company have been prepared in accordance with generally accepted accounting principles in the United States of America (“</w:t>
      </w:r>
      <w:r>
        <w:rPr>
          <w:rFonts w:ascii="Times New Roman;serif" w:hAnsi="Times New Roman;serif"/>
          <w:b/>
          <w:sz w:val="20"/>
        </w:rPr>
        <w:t>GAAP</w:t>
      </w:r>
      <w:r>
        <w:rPr>
          <w:rFonts w:ascii="Times New Roman" w:hAnsi="Times New Roman"/>
          <w:sz w:val="20"/>
        </w:rPr>
        <w:t>”</w:t>
      </w:r>
      <w:r>
        <w:rPr>
          <w:rFonts w:ascii="Times New Roman;serif" w:hAnsi="Times New Roman;serif"/>
          <w:b w:val="false"/>
          <w:sz w:val="20"/>
        </w:rPr>
        <w:t>) for interim financial information and with the instructions to Form 10-Q and Article 10 of Regulation S-X of the Securities and Exchange Commission (the “</w:t>
      </w:r>
      <w:r>
        <w:rPr>
          <w:rFonts w:ascii="Times New Roman;serif" w:hAnsi="Times New Roman;serif"/>
          <w:b/>
          <w:sz w:val="20"/>
        </w:rPr>
        <w:t>SEC</w:t>
      </w:r>
      <w:r>
        <w:rPr>
          <w:rFonts w:ascii="Times New Roman" w:hAnsi="Times New Roman"/>
          <w:sz w:val="20"/>
        </w:rPr>
        <w:t>”</w:t>
      </w:r>
      <w:r>
        <w:rPr>
          <w:rFonts w:ascii="Times New Roman;serif" w:hAnsi="Times New Roman;serif"/>
          <w:b w:val="false"/>
          <w:sz w:val="20"/>
        </w:rPr>
        <w:t>).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year-ended December 31, 2022 filed with the SEC on February 23, 2023 and the Australian Securities Exchange ("</w:t>
      </w:r>
      <w:r>
        <w:rPr>
          <w:rFonts w:ascii="Times New Roman;serif" w:hAnsi="Times New Roman;serif"/>
          <w:b/>
          <w:sz w:val="20"/>
        </w:rPr>
        <w:t>ASX</w:t>
      </w:r>
      <w:r>
        <w:rPr>
          <w:rFonts w:ascii="Times New Roman;serif" w:hAnsi="Times New Roman;serif"/>
          <w:b w:val="false"/>
          <w:sz w:val="20"/>
        </w:rPr>
        <w:t xml:space="preserve">") on February 24, 2023 (the </w:t>
      </w:r>
      <w:r>
        <w:rPr>
          <w:rFonts w:ascii="Times New Roman" w:hAnsi="Times New Roman"/>
          <w:sz w:val="20"/>
        </w:rPr>
        <w:t>“</w:t>
      </w:r>
      <w:r>
        <w:rPr>
          <w:rFonts w:ascii="Times New Roman;serif" w:hAnsi="Times New Roman;serif"/>
          <w:b/>
          <w:sz w:val="20"/>
        </w:rPr>
        <w:t>Annual Report"</w:t>
      </w:r>
      <w:r>
        <w:rPr>
          <w:rFonts w:ascii="Times New Roman;serif" w:hAnsi="Times New Roman;serif"/>
          <w:b w:val="false"/>
          <w:sz w:val="20"/>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There have been no changes to the Company’s significant accounting policies as described in the Annual Report on Form 10-K that have had a material impact on the Company’s Consolidated Financial Statements. See the summary of the Company’s significant accounting policies set forth in the notes to its Consolidated Financial Statements included in the Annual Report.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Principles of Consolidation</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accompanying Consolidated Financial Statements include the accounts of the Company and its wholly owned subsidiaries. All intercompany transactions and balances have been eliminated upon consolidation.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Reclassification of prior year presentation</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Certain prior year amounts within Other current liabilities have been reclassified to Current non-qualified deferred compensation liability, in the Consolidated Balance Sheets for consistency with current period presentation. These reclassifications had no effect on the reported results of operations or financial position.</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Recent Accounting Pronouncements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No new accounting standards were adopted during the three-months and six-months ended June 30, 2023. The Company considers the applicability and impact of recent Accounting Standard Updates ("</w:t>
      </w:r>
      <w:r>
        <w:rPr>
          <w:rFonts w:ascii="Times New Roman;serif" w:hAnsi="Times New Roman;serif"/>
          <w:b/>
          <w:sz w:val="20"/>
        </w:rPr>
        <w:t>ASUs</w:t>
      </w:r>
      <w:r>
        <w:rPr>
          <w:rFonts w:ascii="Times New Roman;serif" w:hAnsi="Times New Roman;serif"/>
          <w:b w:val="false"/>
          <w:sz w:val="20"/>
        </w:rPr>
        <w:t>") issued by the Financial Accounting Standards Board ("</w:t>
      </w:r>
      <w:r>
        <w:rPr>
          <w:rFonts w:ascii="Times New Roman;serif" w:hAnsi="Times New Roman;serif"/>
          <w:b/>
          <w:sz w:val="20"/>
        </w:rPr>
        <w:t>FASB</w:t>
      </w:r>
      <w:r>
        <w:rPr>
          <w:rFonts w:ascii="Times New Roman;serif" w:hAnsi="Times New Roman;serif"/>
          <w:b w:val="false"/>
          <w:sz w:val="20"/>
        </w:rPr>
        <w:t>"). Based on the assessment, the ASUs were determined to be either not applicable or are expected to have minimal impact on the Company's Consolidated Financial Statements.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Use of Estimates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preparation of the accompanying Consolidated Financial Statements in conformity with GAAP requires management to make estimates and assumptions that affect the reported amounts (including doubtful accounts, carrying value of long-lived assets, the useful lives of long-lived assets, accounting for marketable securities, income taxes, stock-based compensation, and the stand-alone selling price for the Biomedical Advanced Research and Development Authority (</w:t>
      </w:r>
      <w:r>
        <w:rPr>
          <w:rFonts w:ascii="Times New Roman;serif" w:hAnsi="Times New Roman;serif"/>
          <w:b/>
          <w:sz w:val="20"/>
        </w:rPr>
        <w:t>"BARDA"</w:t>
      </w:r>
      <w:r>
        <w:rPr>
          <w:rFonts w:ascii="Times New Roman;serif" w:hAnsi="Times New Roman;serif"/>
          <w:b w:val="false"/>
          <w:sz w:val="20"/>
        </w:rPr>
        <w:t>) contract) and related disclosures. Estimates have been prepared on the basis of the current and available information. However, actual results could differ from estimated amounts.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Foreign Currency Translation and Foreign Currency Transactions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financial position and results of operations of the Company’s operating non-U.S. subsidiaries are generally determined using the respective local currency as the functional currency of that subsidiary. Assets and liabilities of these subsidiaries are translated at the exchange rate in effect at each period end. Income statement accounts are translated at the average rate of exchange prevailing during the period. Adjustments arising from the use of differing exchange rates from period to period are included in Other comprehensive gain (loss) in Stockholders’ Equity. Gains and losses resulting from foreign currency transactions are included in General and administrative expenses in the Consolidated Statement of Operations. Amounts for the three-months ended June 30, 2023 were insignificant, and for the three-months ended June 30, 2022, the Company had a gain of $69,000. Gains and losses resulting from foreign currency transactions were a gain of $11,000</w:t>
      </w:r>
      <w:r>
        <w:rPr>
          <w:rFonts w:ascii="Times New Roman" w:hAnsi="Times New Roman"/>
          <w:sz w:val="20"/>
        </w:rPr>
        <w:t xml:space="preserve"> </w:t>
      </w:r>
      <w:r>
        <w:rPr>
          <w:rFonts w:ascii="Times New Roman;serif" w:hAnsi="Times New Roman;serif"/>
          <w:b w:val="false"/>
          <w:sz w:val="20"/>
        </w:rPr>
        <w:t>and gain of $47,000</w:t>
      </w:r>
      <w:r>
        <w:rPr>
          <w:rFonts w:ascii="Times New Roman" w:hAnsi="Times New Roman"/>
          <w:sz w:val="20"/>
        </w:rPr>
        <w:t xml:space="preserve"> </w:t>
      </w:r>
      <w:r>
        <w:rPr>
          <w:rFonts w:ascii="Times New Roman;serif" w:hAnsi="Times New Roman;serif"/>
          <w:b w:val="false"/>
          <w:sz w:val="20"/>
        </w:rPr>
        <w:t>for the six-months ended June 30, 2023 and 2022, respectively.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Company’s non-operating subsidiaries that use the U.S. dollar as their functional currency remeasure monetary assets and liabilities at exchange rates in effect at the end of each period and nonmonetary assets and liabilities at historical rates. Gains and losses resulting from these remeasurements, and foreign currency transactions are included in General and administrative expenses in the Consolidated Statement of Operations. During the three-months ended June 30, 2023 and 2022, the Company recorded a loss of $6,000</w:t>
      </w:r>
      <w:r>
        <w:rPr>
          <w:rFonts w:ascii="Times New Roman" w:hAnsi="Times New Roman"/>
          <w:sz w:val="20"/>
        </w:rPr>
        <w:t xml:space="preserve"> </w:t>
      </w:r>
      <w:r>
        <w:rPr>
          <w:rFonts w:ascii="Times New Roman;serif" w:hAnsi="Times New Roman;serif"/>
          <w:b w:val="false"/>
          <w:sz w:val="20"/>
        </w:rPr>
        <w:t>and a gain of $7,000, respectively. During the six-months ended June 30, 2023 and 2022, the Company recorded a loss of $15,000</w:t>
      </w:r>
      <w:r>
        <w:rPr>
          <w:rFonts w:ascii="Times New Roman" w:hAnsi="Times New Roman"/>
          <w:sz w:val="20"/>
        </w:rPr>
        <w:t xml:space="preserve"> </w:t>
      </w:r>
      <w:r>
        <w:rPr>
          <w:rFonts w:ascii="Times New Roman;serif" w:hAnsi="Times New Roman;serif"/>
          <w:b w:val="false"/>
          <w:sz w:val="20"/>
        </w:rPr>
        <w:t>and a loss of $8,000, respectively</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Comprehensive Loss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components of comprehensive loss consist of net loss, foreign currency translation adjustments from the Company's subsidiaries not using the U.S. dollar as their functional currency and unrealized gains and losses in investments available-for-sale. The Company did not have reclassifications from other comprehensive loss to net loss during the three-months and six-months ended June 30, 2023 and 2022.</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Revenue Recognition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 recognizes revenue when its customers obtain control of promised goods or services, in an amount that reflects the consideration which the Company expects to be entitled in exchange for those goods or services.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To determine revenue recognition for arrangements that are within the scope of Accounting Standard Codification (“</w:t>
      </w:r>
      <w:r>
        <w:rPr>
          <w:rFonts w:ascii="Times New Roman;serif" w:hAnsi="Times New Roman;serif"/>
          <w:b/>
          <w:sz w:val="20"/>
        </w:rPr>
        <w:t>ASC</w:t>
      </w:r>
      <w:r>
        <w:rPr>
          <w:rFonts w:ascii="Times New Roman" w:hAnsi="Times New Roman"/>
          <w:sz w:val="20"/>
        </w:rPr>
        <w:t>”</w:t>
      </w:r>
      <w:r>
        <w:rPr>
          <w:rFonts w:ascii="Times New Roman;serif" w:hAnsi="Times New Roman;serif"/>
          <w:b w:val="false"/>
          <w:sz w:val="20"/>
        </w:rPr>
        <w:t xml:space="preserve">) </w:t>
      </w:r>
      <w:r>
        <w:rPr>
          <w:rFonts w:ascii="Times New Roman;serif" w:hAnsi="Times New Roman;serif"/>
          <w:b w:val="false"/>
          <w:i/>
          <w:sz w:val="20"/>
        </w:rPr>
        <w:t>Topic 606</w:t>
      </w:r>
      <w:r>
        <w:rPr>
          <w:rFonts w:ascii="Times New Roman;serif" w:hAnsi="Times New Roman;serif"/>
          <w:b w:val="false"/>
          <w:sz w:val="20"/>
        </w:rPr>
        <w:t xml:space="preserve">, </w:t>
      </w:r>
      <w:r>
        <w:rPr>
          <w:rFonts w:ascii="Times New Roman;serif" w:hAnsi="Times New Roman;serif"/>
          <w:b w:val="false"/>
          <w:i/>
          <w:sz w:val="20"/>
        </w:rPr>
        <w:t>Revenue Recognition</w:t>
      </w:r>
      <w:r>
        <w:rPr>
          <w:rFonts w:ascii="Times New Roman;serif" w:hAnsi="Times New Roman;serif"/>
          <w:b w:val="false"/>
          <w:sz w:val="20"/>
        </w:rPr>
        <w:t>, the Company performs the following five steps: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Identify the contract with a customer </w:t>
      </w:r>
    </w:p>
    <w:p>
      <w:pPr>
        <w:pStyle w:val="TextBody"/>
        <w:bidi w:val="0"/>
        <w:spacing w:before="0" w:after="0"/>
        <w:jc w:val="left"/>
        <w:rPr>
          <w:rFonts w:ascii="Times New Roman" w:hAnsi="Times New Roman"/>
          <w:b w:val="false"/>
          <w:sz w:val="20"/>
        </w:rPr>
      </w:pPr>
      <w:r>
        <w:rPr>
          <w:rFonts w:ascii="Times New Roman" w:hAnsi="Times New Roman"/>
          <w:b w:val="false"/>
          <w:sz w:val="20"/>
        </w:rPr>
        <w:t>2.</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Identify the performance obligations </w:t>
      </w:r>
    </w:p>
    <w:p>
      <w:pPr>
        <w:pStyle w:val="TextBody"/>
        <w:bidi w:val="0"/>
        <w:spacing w:before="0" w:after="0"/>
        <w:jc w:val="left"/>
        <w:rPr>
          <w:rFonts w:ascii="Times New Roman" w:hAnsi="Times New Roman"/>
          <w:b w:val="false"/>
          <w:sz w:val="20"/>
        </w:rPr>
      </w:pPr>
      <w:r>
        <w:rPr>
          <w:rFonts w:ascii="Times New Roman" w:hAnsi="Times New Roman"/>
          <w:b w:val="false"/>
          <w:sz w:val="20"/>
        </w:rPr>
        <w:t>3.</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Determine the transaction price </w:t>
      </w:r>
    </w:p>
    <w:p>
      <w:pPr>
        <w:pStyle w:val="TextBody"/>
        <w:bidi w:val="0"/>
        <w:spacing w:before="0" w:after="0"/>
        <w:jc w:val="left"/>
        <w:rPr>
          <w:rFonts w:ascii="Times New Roman" w:hAnsi="Times New Roman"/>
          <w:b w:val="false"/>
          <w:sz w:val="20"/>
        </w:rPr>
      </w:pPr>
      <w:r>
        <w:rPr>
          <w:rFonts w:ascii="Times New Roman" w:hAnsi="Times New Roman"/>
          <w:b w:val="false"/>
          <w:sz w:val="20"/>
        </w:rPr>
        <w:t>4.</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Allocate the transaction price to the performance obligations </w:t>
      </w:r>
    </w:p>
    <w:p>
      <w:pPr>
        <w:pStyle w:val="TextBody"/>
        <w:bidi w:val="0"/>
        <w:spacing w:before="0" w:after="0"/>
        <w:jc w:val="left"/>
        <w:rPr>
          <w:rFonts w:ascii="Times New Roman" w:hAnsi="Times New Roman"/>
          <w:b w:val="false"/>
          <w:sz w:val="20"/>
        </w:rPr>
      </w:pPr>
      <w:r>
        <w:rPr>
          <w:rFonts w:ascii="Times New Roman" w:hAnsi="Times New Roman"/>
          <w:b w:val="false"/>
          <w:sz w:val="20"/>
        </w:rPr>
        <w:t>5.</w:t>
      </w:r>
    </w:p>
    <w:p>
      <w:pPr>
        <w:pStyle w:val="TextBody"/>
        <w:bidi w:val="0"/>
        <w:jc w:val="left"/>
        <w:rPr>
          <w:rFonts w:ascii="Times New Roman;serif" w:hAnsi="Times New Roman;serif"/>
          <w:b w:val="false"/>
          <w:sz w:val="20"/>
        </w:rPr>
      </w:pPr>
      <w:r>
        <w:rPr>
          <w:rFonts w:ascii="Times New Roman;serif" w:hAnsi="Times New Roman;serif"/>
          <w:b w:val="false"/>
          <w:sz w:val="20"/>
        </w:rPr>
        <w:t xml:space="preserve">Recognize revenue when/as performance obligation(s) are satisfied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In order for an arrangement to be considered a contract, it must be probable that the Company will collect the consideration to which it is entitled for goods or services to be transferred. Once the contract is determined to be within the scope of </w:t>
      </w:r>
      <w:r>
        <w:rPr>
          <w:rFonts w:ascii="Times New Roman;serif" w:hAnsi="Times New Roman;serif"/>
          <w:b w:val="false"/>
          <w:i/>
          <w:sz w:val="20"/>
        </w:rPr>
        <w:t>ASC 606,</w:t>
      </w:r>
      <w:r>
        <w:rPr>
          <w:rFonts w:ascii="Times New Roman" w:hAnsi="Times New Roman"/>
          <w:sz w:val="20"/>
        </w:rPr>
        <w:t xml:space="preserve"> </w:t>
      </w:r>
      <w:r>
        <w:rPr>
          <w:rFonts w:ascii="Times New Roman;serif" w:hAnsi="Times New Roman;serif"/>
          <w:b w:val="false"/>
          <w:sz w:val="20"/>
        </w:rPr>
        <w:t>the Company assesses the goods or services promised with each contract, determines whether those are performance obligations and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related transaction price. The Company then recognizes the sale of goods based on the transaction price that is allocated to the respective performance obligation when the performance obligation is satisfied.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Company’s revenue consists primarily of the sale of the RECELL System to hospitals, treatment centers, COSMOTEC and to BARDA (collectively, “</w:t>
      </w:r>
      <w:r>
        <w:rPr>
          <w:rFonts w:ascii="Times New Roman;serif" w:hAnsi="Times New Roman;serif"/>
          <w:b/>
          <w:sz w:val="20"/>
        </w:rPr>
        <w:t>customers</w:t>
      </w:r>
      <w:r>
        <w:rPr>
          <w:rFonts w:ascii="Times New Roman" w:hAnsi="Times New Roman"/>
          <w:sz w:val="20"/>
        </w:rPr>
        <w:t>”</w:t>
      </w:r>
      <w:r>
        <w:rPr>
          <w:rFonts w:ascii="Times New Roman;serif" w:hAnsi="Times New Roman;serif"/>
          <w:b w:val="false"/>
          <w:sz w:val="20"/>
        </w:rPr>
        <w:t xml:space="preserve">), predominately in the United States. The Company evaluated the BARDA contract and concluded that a portion of the arrangement, such as the procurement of the RECELL system and the emergency preparedness, represents a transaction with a customer and as such are in the scope of </w:t>
      </w:r>
      <w:r>
        <w:rPr>
          <w:rFonts w:ascii="Times New Roman;serif" w:hAnsi="Times New Roman;serif"/>
          <w:b w:val="false"/>
          <w:i/>
          <w:sz w:val="20"/>
        </w:rPr>
        <w:t>ASC 606</w:t>
      </w:r>
      <w:r>
        <w:rPr>
          <w:rFonts w:ascii="Times New Roman;serif" w:hAnsi="Times New Roman;serif"/>
          <w:b w:val="false"/>
          <w:sz w:val="20"/>
        </w:rPr>
        <w:t>. Amounts received from BARDA for the research and development of the Company’s product are classified as BARDA income in the Consolidated Statements of Operations and are accounted for under IAS 20 by analogy. For further details refer to BARDA Income and Receivables below.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Revenues for commercial customers (hospitals, treatment centers and COSMOTEC) are recognized as control of the product is transferred to customers, at an amount that reflects the consideration expected to be received in exchange for the product. Revenues are recognized net of volume discounts. As such, revenue is recognized only to the extent a significant reversal of revenues is not expected to occur in subsequent periods. For the Company’s contracts that have an original duration of one year or less, the Company elected the practical expedient applicable to such contracts and does not consider the time value of money. Further, because of the short duration of these contracts, the Company has not disclosed the transaction price for the remaining performance obligations as of each reporting period or when the Company expects to recognize this revenue. The Company has further applied the practical expedient to exclude sales tax in the transaction price and expense contract fulfillment costs such as commissions and shipping and handling expenses as incurred.</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For revenues related to the BARDA contract within the scope of </w:t>
      </w:r>
      <w:r>
        <w:rPr>
          <w:rFonts w:ascii="Times New Roman;serif" w:hAnsi="Times New Roman;serif"/>
          <w:b w:val="false"/>
          <w:i/>
          <w:sz w:val="20"/>
        </w:rPr>
        <w:t>ASC 606</w:t>
      </w:r>
      <w:r>
        <w:rPr>
          <w:rFonts w:ascii="Times New Roman;serif" w:hAnsi="Times New Roman;serif"/>
          <w:b w:val="false"/>
          <w:sz w:val="20"/>
        </w:rPr>
        <w:t>, the Company identified two</w:t>
      </w:r>
      <w:r>
        <w:rPr>
          <w:rFonts w:ascii="Times New Roman;serif" w:hAnsi="Times New Roman;serif"/>
          <w:sz w:val="20"/>
        </w:rPr>
        <w:t xml:space="preserve"> </w:t>
      </w:r>
      <w:r>
        <w:rPr>
          <w:rFonts w:ascii="Times New Roman;serif" w:hAnsi="Times New Roman;serif"/>
          <w:b w:val="false"/>
          <w:sz w:val="20"/>
        </w:rPr>
        <w:t>performance obligations: (i) the procurement of 5,614</w:t>
      </w:r>
      <w:r>
        <w:rPr>
          <w:rFonts w:ascii="Times New Roman;serif" w:hAnsi="Times New Roman;serif"/>
          <w:sz w:val="20"/>
        </w:rPr>
        <w:t xml:space="preserve"> </w:t>
      </w:r>
      <w:r>
        <w:rPr>
          <w:rFonts w:ascii="Times New Roman;serif" w:hAnsi="Times New Roman;serif"/>
          <w:b w:val="false"/>
          <w:sz w:val="20"/>
        </w:rPr>
        <w:t>RECELL units; and (ii) emergency preparedness services.</w:t>
      </w:r>
      <w:r>
        <w:rPr>
          <w:rFonts w:ascii="Times New Roman" w:hAnsi="Times New Roman"/>
          <w:sz w:val="20"/>
        </w:rPr>
        <w:t xml:space="preserve"> </w:t>
      </w:r>
      <w:r>
        <w:rPr>
          <w:rFonts w:ascii="Times New Roman;serif" w:hAnsi="Times New Roman;serif"/>
          <w:b w:val="false"/>
          <w:sz w:val="20"/>
        </w:rPr>
        <w:t>Under this contract the Company promises to procure the product through a vendor management inventory arrangement and to stand ready to provide emergency deployment services related to the product. Emergency preparedness services include procuring necessary storage containers, housing, and maintaining the containers (and product), and providing shipping and handling services in the event of an emergency situation. This stand ready obligation is a series of distinct services that are substantially the same and have the same pattern of transfer to the customer, over time as services are consumed.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The total transaction price for the portion of the BARDA contract that is within the scope of </w:t>
      </w:r>
      <w:r>
        <w:rPr>
          <w:rFonts w:ascii="Times New Roman;serif" w:hAnsi="Times New Roman;serif"/>
          <w:b w:val="false"/>
          <w:i/>
          <w:sz w:val="20"/>
        </w:rPr>
        <w:t>ASC 606</w:t>
      </w:r>
      <w:r>
        <w:rPr>
          <w:rFonts w:ascii="Times New Roman" w:hAnsi="Times New Roman"/>
          <w:sz w:val="20"/>
        </w:rPr>
        <w:t xml:space="preserve"> </w:t>
      </w:r>
      <w:r>
        <w:rPr>
          <w:rFonts w:ascii="Times New Roman;serif" w:hAnsi="Times New Roman;serif"/>
          <w:b w:val="false"/>
          <w:sz w:val="20"/>
        </w:rPr>
        <w:t>was determined to be $9.2</w:t>
      </w:r>
      <w:r>
        <w:rPr>
          <w:rFonts w:ascii="Times New Roman" w:hAnsi="Times New Roman"/>
          <w:sz w:val="20"/>
        </w:rPr>
        <w:t xml:space="preserve"> </w:t>
      </w:r>
      <w:r>
        <w:rPr>
          <w:rFonts w:ascii="Times New Roman;serif" w:hAnsi="Times New Roman;serif"/>
          <w:b w:val="false"/>
          <w:sz w:val="20"/>
        </w:rPr>
        <w:t>million. The transaction price was allocated on a stand-alone selling price basis as follows: $7.6</w:t>
      </w:r>
      <w:r>
        <w:rPr>
          <w:rFonts w:ascii="Times New Roman" w:hAnsi="Times New Roman"/>
          <w:sz w:val="20"/>
        </w:rPr>
        <w:t xml:space="preserve"> </w:t>
      </w:r>
      <w:r>
        <w:rPr>
          <w:rFonts w:ascii="Times New Roman;serif" w:hAnsi="Times New Roman;serif"/>
          <w:b w:val="false"/>
          <w:sz w:val="20"/>
        </w:rPr>
        <w:t>million to the procurement of the RECELL product, which is classified as Revenues when recognized in the Consolidated Statements of Operations and $1.6</w:t>
      </w:r>
      <w:r>
        <w:rPr>
          <w:rFonts w:ascii="Times New Roman" w:hAnsi="Times New Roman"/>
          <w:sz w:val="20"/>
        </w:rPr>
        <w:t xml:space="preserve"> </w:t>
      </w:r>
      <w:r>
        <w:rPr>
          <w:rFonts w:ascii="Times New Roman;serif" w:hAnsi="Times New Roman;serif"/>
          <w:b w:val="false"/>
          <w:sz w:val="20"/>
        </w:rPr>
        <w:t>million to the emergency deployment services which is classified as Revenues when recognized in the Consolidated Statements of Operations. The $1.6</w:t>
      </w:r>
      <w:r>
        <w:rPr>
          <w:rFonts w:ascii="Times New Roman" w:hAnsi="Times New Roman"/>
          <w:sz w:val="20"/>
        </w:rPr>
        <w:t xml:space="preserve"> </w:t>
      </w:r>
      <w:r>
        <w:rPr>
          <w:rFonts w:ascii="Times New Roman;serif" w:hAnsi="Times New Roman;serif"/>
          <w:b w:val="false"/>
          <w:sz w:val="20"/>
        </w:rPr>
        <w:t>million for emergency deployment includes variable consideration which is deemed immaterial to the contract as a whole. The Company estimated the stand-alone selling price of the procurement of the RECELL product based on historical pricing of the Company’s product at the initial execution of the contract. The Company estimated the stand-alone selling price of the emergency deployment services performed based on the Company’s projected cost of providing the services plus an applicable profit margin as denoted in the contract.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The Company’s performance obligations are either satisfied at a point in time or over time as services are provided. The product procurement performance obligation is satisfied at a point in time, upon transfer of control of the product. As such, the related revenue for these performance obligations is recognized at a point in time as Revenue within the Company’s Consolidated Statement of Operations. In addition to guidance under </w:t>
      </w:r>
      <w:r>
        <w:rPr>
          <w:rFonts w:ascii="Times New Roman;serif" w:hAnsi="Times New Roman;serif"/>
          <w:b w:val="false"/>
          <w:i/>
          <w:sz w:val="20"/>
        </w:rPr>
        <w:t>ASC 606</w:t>
      </w:r>
      <w:r>
        <w:rPr>
          <w:rFonts w:ascii="Times New Roman;serif" w:hAnsi="Times New Roman;serif"/>
          <w:b w:val="false"/>
          <w:sz w:val="20"/>
        </w:rPr>
        <w:t>, the Company recognizes revenue from the sales of RECELL product to BARDA for placement into vaccine stockpiles in accordance with SEC Interpretation</w:t>
      </w:r>
      <w:r>
        <w:rPr>
          <w:rFonts w:ascii="Times New Roman;serif" w:hAnsi="Times New Roman;serif"/>
          <w:b w:val="false"/>
          <w:i/>
          <w:sz w:val="20"/>
        </w:rPr>
        <w:t>, Commission Guidance regarding Accounting for Sale of Vaccines and BioTerror Countermeasures to the Federal Government for Placement into the Pediatric Vaccine Stockpile or the Strategic National Stockpile (SNS).</w:t>
      </w:r>
      <w:r>
        <w:rPr>
          <w:rFonts w:ascii="Times New Roman" w:hAnsi="Times New Roman"/>
          <w:sz w:val="20"/>
        </w:rPr>
        <w:t xml:space="preserve"> </w:t>
      </w:r>
      <w:r>
        <w:rPr>
          <w:rFonts w:ascii="Times New Roman;serif" w:hAnsi="Times New Roman;serif"/>
          <w:b w:val="false"/>
          <w:sz w:val="20"/>
        </w:rPr>
        <w:t>Under this guidance, revenue is recognized when product is placed in the BARDA vendor-managed inventory ("</w:t>
      </w:r>
      <w:r>
        <w:rPr>
          <w:rFonts w:ascii="Times New Roman;serif" w:hAnsi="Times New Roman;serif"/>
          <w:b/>
          <w:sz w:val="20"/>
        </w:rPr>
        <w:t>VMI</w:t>
      </w:r>
      <w:r>
        <w:rPr>
          <w:rFonts w:ascii="Times New Roman;serif" w:hAnsi="Times New Roman;serif"/>
          <w:b w:val="false"/>
          <w:sz w:val="20"/>
        </w:rPr>
        <w:t>") as control of the product has been transferred to the customer at the time of delivery to the VMI. RECELL units that have been delivered to BARDA have a product replacement obligation at no</w:t>
      </w:r>
      <w:r>
        <w:rPr>
          <w:rFonts w:ascii="Times New Roman" w:hAnsi="Times New Roman"/>
          <w:sz w:val="20"/>
        </w:rPr>
        <w:t xml:space="preserve"> </w:t>
      </w:r>
      <w:r>
        <w:rPr>
          <w:rFonts w:ascii="Times New Roman;serif" w:hAnsi="Times New Roman;serif"/>
          <w:b w:val="false"/>
          <w:sz w:val="20"/>
        </w:rPr>
        <w:t>cost to BARDA due to the product’s limited shelf-life. The estimated cost of the expired inventory over the term of the contract is recognized on a per unit basis at the time of delivery. The liability is released upon replacement of the product along with a corresponding reduction to inventory. The emergency preparedness services performance obligation is satisfied over time. Revenue for the emergency deployment will be recognized on a straight-line basis during the term of the contract as services are consumed over time. Services recognized are included in Revenues within the Consolidated Statements of Operations. Contract costs to fulfill the performance obligations are incremental and expected to be recovered are capitalized and amortized on a straight-line basis over the term of the contract. Contract costs are included in Prepaids and other current assets in the Consolidated Balance Sheets. For further details refer to Note 5.</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Contract Liabilities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Company receives payments from customers based on contractual terms. Trade receivables are recorded when the right to consideration becomes unconditional. The Company satisfies its performance obligation on product sales when the products are shipped or delivered, depending on the terms of the sale. Payment terms on invoiced amounts are typically 30-90 days, and do not include a financing component. Contract liabilities are recorded when the Company receives payment prior to satisfying its obligation to transfer goods to a customer. For further details refer to Note 5.</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Cost of Sales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Cost of sales related to products includes costs to manufacture or purchase, package, and ship the Company’s products. Costs also include relevant production overhead and depreciation and amortization. These costs are recognized when control of the product is transferred to the customer and revenue is recognized.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Cash and Cash Equivalents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Cash and cash equivalents consist of cash held at deposit institutions and cash equivalents. Cash equivalents consist of short-term highly liquid investments with original maturities of three months or less from the date of purchase and consist primarily of money market funds. The Company holds cash at deposit institutions in the amount of $5.8</w:t>
      </w:r>
      <w:r>
        <w:rPr>
          <w:rFonts w:ascii="Times New Roman" w:hAnsi="Times New Roman"/>
          <w:sz w:val="20"/>
        </w:rPr>
        <w:t xml:space="preserve"> </w:t>
      </w:r>
      <w:r>
        <w:rPr>
          <w:rFonts w:ascii="Times New Roman;serif" w:hAnsi="Times New Roman;serif"/>
          <w:b w:val="false"/>
          <w:sz w:val="20"/>
        </w:rPr>
        <w:t>million and $4.1</w:t>
      </w:r>
      <w:r>
        <w:rPr>
          <w:rFonts w:ascii="Times New Roman" w:hAnsi="Times New Roman"/>
          <w:sz w:val="20"/>
        </w:rPr>
        <w:t xml:space="preserve"> </w:t>
      </w:r>
      <w:r>
        <w:rPr>
          <w:rFonts w:ascii="Times New Roman;serif" w:hAnsi="Times New Roman;serif"/>
          <w:b w:val="false"/>
          <w:sz w:val="20"/>
        </w:rPr>
        <w:t>million, of which $697,000</w:t>
      </w:r>
      <w:r>
        <w:rPr>
          <w:rFonts w:ascii="Times New Roman" w:hAnsi="Times New Roman"/>
          <w:sz w:val="20"/>
        </w:rPr>
        <w:t xml:space="preserve"> </w:t>
      </w:r>
      <w:r>
        <w:rPr>
          <w:rFonts w:ascii="Times New Roman;serif" w:hAnsi="Times New Roman;serif"/>
          <w:b w:val="false"/>
          <w:sz w:val="20"/>
        </w:rPr>
        <w:t>and $737,000</w:t>
      </w:r>
      <w:r>
        <w:rPr>
          <w:rFonts w:ascii="Times New Roman" w:hAnsi="Times New Roman"/>
          <w:sz w:val="20"/>
        </w:rPr>
        <w:t xml:space="preserve"> </w:t>
      </w:r>
      <w:r>
        <w:rPr>
          <w:rFonts w:ascii="Times New Roman;serif" w:hAnsi="Times New Roman;serif"/>
          <w:b w:val="false"/>
          <w:sz w:val="20"/>
        </w:rPr>
        <w:t>is denominated in foreign currencies in foreign institutions as of June 30, 2023 and December 31, 2022, respectively. As of June 30, 2023 and December 31, 2022, the Company held cash equivalents in the amount of $31.7</w:t>
      </w:r>
      <w:r>
        <w:rPr>
          <w:rFonts w:ascii="Times New Roman" w:hAnsi="Times New Roman"/>
          <w:sz w:val="20"/>
        </w:rPr>
        <w:t xml:space="preserve"> </w:t>
      </w:r>
      <w:r>
        <w:rPr>
          <w:rFonts w:ascii="Times New Roman;serif" w:hAnsi="Times New Roman;serif"/>
          <w:b w:val="false"/>
          <w:sz w:val="20"/>
        </w:rPr>
        <w:t>million and $14.1</w:t>
      </w:r>
      <w:r>
        <w:rPr>
          <w:rFonts w:ascii="Times New Roman" w:hAnsi="Times New Roman"/>
          <w:sz w:val="20"/>
        </w:rPr>
        <w:t xml:space="preserve"> </w:t>
      </w:r>
      <w:r>
        <w:rPr>
          <w:rFonts w:ascii="Times New Roman;serif" w:hAnsi="Times New Roman;serif"/>
          <w:b w:val="false"/>
          <w:sz w:val="20"/>
        </w:rPr>
        <w:t>million, respectively.</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Concentrations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Financial instruments that potentially subject the Company to concentrations of credit risk consist primarily of cash and cash equivalents, marketable securities, trade receivables, BARDA receivables and other receivables. As of June 30, 2023 and December 31, 2022, substantially all of the Company’s cash was deposited in accounts at financial institutions, and amounts may exceed federally insured limits and subject to the risk of bank failure.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As of June 30, 2023 no</w:t>
      </w:r>
      <w:r>
        <w:rPr>
          <w:rFonts w:ascii="Times New Roman" w:hAnsi="Times New Roman"/>
          <w:sz w:val="20"/>
        </w:rPr>
        <w:t xml:space="preserve"> </w:t>
      </w:r>
      <w:r>
        <w:rPr>
          <w:rFonts w:ascii="Times New Roman;serif" w:hAnsi="Times New Roman;serif"/>
          <w:b w:val="false"/>
          <w:sz w:val="20"/>
        </w:rPr>
        <w:t>single commercial customer accounted for more than 10% of net accounts receivable. As of December 31, 2022, one</w:t>
      </w:r>
      <w:r>
        <w:rPr>
          <w:rFonts w:ascii="Times New Roman" w:hAnsi="Times New Roman"/>
          <w:sz w:val="20"/>
        </w:rPr>
        <w:t xml:space="preserve"> </w:t>
      </w:r>
      <w:r>
        <w:rPr>
          <w:rFonts w:ascii="Times New Roman;serif" w:hAnsi="Times New Roman;serif"/>
          <w:b w:val="false"/>
          <w:sz w:val="20"/>
        </w:rPr>
        <w:t>commercial customer accounted for more than 10% of total net accounts receivable. For the three-months and six-months ended June 30, 2023 and 2022, no</w:t>
      </w:r>
      <w:r>
        <w:rPr>
          <w:rFonts w:ascii="Times New Roman" w:hAnsi="Times New Roman"/>
          <w:sz w:val="20"/>
        </w:rPr>
        <w:t xml:space="preserve"> </w:t>
      </w:r>
      <w:r>
        <w:rPr>
          <w:rFonts w:ascii="Times New Roman;serif" w:hAnsi="Times New Roman;serif"/>
          <w:b w:val="false"/>
          <w:sz w:val="20"/>
        </w:rPr>
        <w:t>single customer accounted for more than 10% of revenues. BARDA revenue for emergency deployment accounted for less than 1% of total revenues for the three-months and six-months ended June 30, 2023 and 2022. BARDA receivables for emergency preparedness services accounted for 4%</w:t>
      </w:r>
      <w:r>
        <w:rPr>
          <w:rFonts w:ascii="Times New Roman" w:hAnsi="Times New Roman"/>
          <w:sz w:val="20"/>
        </w:rPr>
        <w:t xml:space="preserve"> </w:t>
      </w:r>
      <w:r>
        <w:rPr>
          <w:rFonts w:ascii="Times New Roman;serif" w:hAnsi="Times New Roman;serif"/>
          <w:b w:val="false"/>
          <w:sz w:val="20"/>
        </w:rPr>
        <w:t>and 2%</w:t>
      </w:r>
      <w:r>
        <w:rPr>
          <w:rFonts w:ascii="Times New Roman" w:hAnsi="Times New Roman"/>
          <w:sz w:val="20"/>
        </w:rPr>
        <w:t xml:space="preserve"> </w:t>
      </w:r>
      <w:r>
        <w:rPr>
          <w:rFonts w:ascii="Times New Roman;serif" w:hAnsi="Times New Roman;serif"/>
          <w:b w:val="false"/>
          <w:sz w:val="20"/>
        </w:rPr>
        <w:t>of total BARDA receivables as of June 30, 2023 and December 31, 2022, respectively. See table below for breakdown of BARDA receivables (in thousands).</w:t>
      </w:r>
      <w:r>
        <w:rPr>
          <w:rFonts w:ascii="Times New Roman" w:hAnsi="Times New Roman"/>
          <w:sz w:val="20"/>
        </w:rPr>
        <w:t xml:space="preserve"> </w:t>
      </w:r>
    </w:p>
    <w:tbl>
      <w:tblPr>
        <w:tblW w:w="8550" w:type="dxa"/>
        <w:jc w:val="left"/>
        <w:tblInd w:w="0" w:type="dxa"/>
        <w:tblLayout w:type="fixed"/>
        <w:tblCellMar>
          <w:top w:w="28" w:type="dxa"/>
          <w:left w:w="28" w:type="dxa"/>
          <w:bottom w:w="28" w:type="dxa"/>
          <w:right w:w="28" w:type="dxa"/>
        </w:tblCellMar>
      </w:tblPr>
      <w:tblGrid>
        <w:gridCol w:w="4921"/>
        <w:gridCol w:w="146"/>
        <w:gridCol w:w="426"/>
        <w:gridCol w:w="849"/>
        <w:gridCol w:w="146"/>
        <w:gridCol w:w="146"/>
        <w:gridCol w:w="574"/>
        <w:gridCol w:w="1151"/>
        <w:gridCol w:w="191"/>
      </w:tblGrid>
      <w:tr>
        <w:trPr/>
        <w:tc>
          <w:tcPr>
            <w:tcW w:w="4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9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9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9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BARDA procurement and emergency preparedness services</w:t>
            </w:r>
          </w:p>
        </w:tc>
        <w:tc>
          <w:tcPr>
            <w:tcW w:w="146" w:type="dxa"/>
            <w:tcBorders/>
            <w:vAlign w:val="center"/>
          </w:tcPr>
          <w:p>
            <w:pPr>
              <w:pStyle w:val="TableContents"/>
              <w:bidi w:val="0"/>
              <w:spacing w:before="0" w:after="0"/>
              <w:ind w:left="0" w:right="0" w:hanging="0"/>
              <w:jc w:val="left"/>
              <w:rPr/>
            </w:pPr>
            <w:r>
              <w:rPr/>
              <w:t> </w:t>
            </w:r>
          </w:p>
        </w:tc>
        <w:tc>
          <w:tcPr>
            <w:tcW w:w="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91" w:type="dxa"/>
            <w:tcBorders/>
            <w:vAlign w:val="center"/>
          </w:tcPr>
          <w:p>
            <w:pPr>
              <w:pStyle w:val="TableContents"/>
              <w:bidi w:val="0"/>
              <w:spacing w:before="0" w:after="0"/>
              <w:ind w:left="0" w:right="0" w:hanging="0"/>
              <w:jc w:val="left"/>
              <w:rPr/>
            </w:pPr>
            <w:r>
              <w:rPr/>
              <w:t> </w:t>
            </w:r>
          </w:p>
        </w:tc>
      </w:tr>
      <w:tr>
        <w:trPr/>
        <w:tc>
          <w:tcPr>
            <w:tcW w:w="49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BARDA expense reimbursements</w:t>
            </w:r>
          </w:p>
        </w:tc>
        <w:tc>
          <w:tcPr>
            <w:tcW w:w="146" w:type="dxa"/>
            <w:tcBorders/>
            <w:vAlign w:val="center"/>
          </w:tcPr>
          <w:p>
            <w:pPr>
              <w:pStyle w:val="TableContents"/>
              <w:bidi w:val="0"/>
              <w:spacing w:before="0" w:after="0"/>
              <w:ind w:left="0" w:right="0" w:hanging="0"/>
              <w:jc w:val="left"/>
              <w:rPr/>
            </w:pPr>
            <w:r>
              <w:rPr/>
              <w:t> </w:t>
            </w:r>
          </w:p>
        </w:tc>
        <w:tc>
          <w:tcPr>
            <w:tcW w:w="4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9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4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442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898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Marketable Securities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We classify all highly liquid investments with original maturities of three months or less from the date of purchase as cash equivalents and all highly liquid investments with stated maturities of greater than three months as marketable securities. The Company classifies marketable securities as short-term when they have remaining contractual maturities of one year or less from the balance sheet date, and as long-term when the investments have remaining contractual maturities of more than one year from the balance sheet date. Classification is determined at the time of purchase and re-evaluated each balance sheet date. Short-term marketable securities represent investment of cash available for current operations.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All marketable securities, which consist of corporate debt securities, asset backed securities, U.S government agency obligations, U.S treasury and commercial paper are denominated in U.S. dollars, have been classified as “available-for-sale”, and are carried at fair value. Unrealized gains and losses, net of any related tax effects, are excluded from earnings and are included in Other comprehensive income (loss) and reported as a separate component of Stockholders' Equity until realized. Realized gains and losses on marketable securities are included in Other income in the accompanying Consolidated Statements of Operations. The cost of any marketable securities sold is based on the specific identification method. The amortized cost of marketable securities is adjusted for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amortization of premiums and accretion of discounts to maturity. Interest on marketable securities is included in Other income in the accompanying Consolidated Statements of Operations. In accordance with the Company’s investment policy, management invests to diversify credit risk and only invests in securities with high credit quality, including U.S. government securities, and the maximum final maturity from the date of purchase is thirty-seven months.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If necessary, the Company will recognize an allowance for credit losses on available-for-sale debt securities on an individual basis and will no longer consider other-than-temporary impairment or immediately reduce the cost basis of the investment, provided that it is more likely than not that the security will be held to recovery or maturity. Further, the Company will recognize any improvements in estimated credit losses on available-for-sale debt securities immediately in earnings and reduce the existing allowance for credit losses. The Company will disaggregate its available-for-sale debt securities into the following categories: commercial paper, corporate debt, government and agency securities, asset backed securities and money market funds. The Company’s corporate bonds are comprised of predominantly high-grade corporate bonds while its government and agency securities are U.S. treasury bonds, and U.S. agency bonds. The Company has analyzed both corporate bonds and government and agency securities and identified that both types of securities have similar risk characteristics in that they are traded infrequently and have contractual interest rates and maturity dates.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To evaluate for impairment, management reviews credit rating changes, securities trends, interest rate movements and unrealized loss at the security level of the Company’s available-for-sale debt securities. If any of these give rise to a potential credit concern, the Company performs a discounted cash flow analysis to determine the credit portion of the impairment. The discounted cash flow analysis will be performed either internally or through the assistance of a qualified third party. Once the credit component of the impairment is determined, the Company will record the impaired amount as an allowance to the available-for-sale debt securities balance and as a charge to Other income in the accompanying Consolidated Statements of Operations, not to exceed the amount of the unrealized loss. The Company assesses expected credit losses at the end of each reporting period and adjusts the allowance through Other income.</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BARDA Income and Receivables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Company was awarded the BARDA grant in September 2015. Under this grant, BARDA supported the Company’s research and development for the Company’s product, including the U.S. clinical regulatory program targeted towards FDA PMA, compassionate use programs, clinical and health economics research, and U.S. pediatric burn programs. Currently, the BARDA contract is supporting the Company's clinical trial in soft-tissue reconstruction, which led to the full-thickness skin defect indication.</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Consideration received under the BARDA grant is earned and recognized under a cost-plus-fixed-fee arrangement in which the Company is reimbursed for direct costs incurred plus allowable indirect costs and a fixed-fee earned. Billings under the contracts are based on approved provisional indirect billing rates, which permit recovery of fringe benefits, general and administrative expenses and a fixed fee.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The Company has concluded that grants under the BARDA grant are not within the scope of </w:t>
      </w:r>
      <w:r>
        <w:rPr>
          <w:rFonts w:ascii="Times New Roman;serif" w:hAnsi="Times New Roman;serif"/>
          <w:b w:val="false"/>
          <w:i/>
          <w:sz w:val="20"/>
        </w:rPr>
        <w:t>ASC 606</w:t>
      </w:r>
      <w:r>
        <w:rPr>
          <w:rFonts w:ascii="Times New Roman;serif" w:hAnsi="Times New Roman;serif"/>
          <w:b w:val="false"/>
          <w:sz w:val="20"/>
        </w:rPr>
        <w:t xml:space="preserve">, as they do not meet the definition of a contract with a “customer.” The Company has further concluded that </w:t>
      </w:r>
      <w:r>
        <w:rPr>
          <w:rFonts w:ascii="Times New Roman;serif" w:hAnsi="Times New Roman;serif"/>
          <w:b w:val="false"/>
          <w:i/>
          <w:sz w:val="20"/>
        </w:rPr>
        <w:t>Subtopic 958-605, Not-for-Profit-Entities-Revenue Recognition</w:t>
      </w:r>
      <w:r>
        <w:rPr>
          <w:rFonts w:ascii="Times New Roman" w:hAnsi="Times New Roman"/>
          <w:sz w:val="20"/>
        </w:rPr>
        <w:t xml:space="preserve"> </w:t>
      </w:r>
      <w:r>
        <w:rPr>
          <w:rFonts w:ascii="Times New Roman;serif" w:hAnsi="Times New Roman;serif"/>
          <w:b w:val="false"/>
          <w:sz w:val="20"/>
        </w:rPr>
        <w:t>also does not apply, as the Company is a business entity, and the grants are with governmental agencies or units. With respect to the BARDA grant, we considered the guidance in IAS 20, Accounting for Government Grants and Disclosure of Government Assistance, by analogy. BARDA income and related receivables are recognized when there is reasonable assurance that the grant will be received, and all attaching conditions have been complied with. When the grant relates to an expense item, the grant received is recognized as income over the period when the expense was incurred.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Leases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 has operating leases for corporate office space, manufacturing and a warehouse facility. The Company’s operating leases have remaining lease terms of one year</w:t>
      </w:r>
      <w:r>
        <w:rPr>
          <w:rFonts w:ascii="Times New Roman" w:hAnsi="Times New Roman"/>
          <w:sz w:val="20"/>
        </w:rPr>
        <w:t xml:space="preserve"> </w:t>
      </w:r>
      <w:r>
        <w:rPr>
          <w:rFonts w:ascii="Times New Roman;serif" w:hAnsi="Times New Roman;serif"/>
          <w:b w:val="false"/>
          <w:sz w:val="20"/>
        </w:rPr>
        <w:t>to three years, some of which include options to renew the lease. At contract inception, the Company determines whether the contract is a lease or contains a lease. A contract contains a lease if the Company is both able to identify an asset and can conclude it has the right to control the identified asset for a period of time. Leases with an initial term of twelve months or less are not recorded on the Consolidated Balance Sheets.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Right-of-use (“</w:t>
      </w:r>
      <w:r>
        <w:rPr>
          <w:rFonts w:ascii="Times New Roman;serif" w:hAnsi="Times New Roman;serif"/>
          <w:b/>
          <w:sz w:val="20"/>
        </w:rPr>
        <w:t>ROU</w:t>
      </w:r>
      <w:r>
        <w:rPr>
          <w:rFonts w:ascii="Times New Roman" w:hAnsi="Times New Roman"/>
          <w:sz w:val="20"/>
        </w:rPr>
        <w:t>”</w:t>
      </w:r>
      <w:r>
        <w:rPr>
          <w:rFonts w:ascii="Times New Roman;serif" w:hAnsi="Times New Roman;serif"/>
          <w:b w:val="false"/>
          <w:sz w:val="20"/>
        </w:rPr>
        <w:t>) assets represent the Company’s right to control an underlying asset for the lease term, and lease liabilities represent the Company’s obligation to make lease payments arising from the lease. ROU assets and lease liabilities are recognized at commencement date based on the present value of lease payments over the lease term. As the Company’s leases do not provide an explicit rate, the Company used its incremental borrowing rate (“</w:t>
      </w:r>
      <w:r>
        <w:rPr>
          <w:rFonts w:ascii="Times New Roman;serif" w:hAnsi="Times New Roman;serif"/>
          <w:b/>
          <w:sz w:val="20"/>
        </w:rPr>
        <w:t>IBR</w:t>
      </w:r>
      <w:r>
        <w:rPr>
          <w:rFonts w:ascii="Times New Roman" w:hAnsi="Times New Roman"/>
          <w:sz w:val="20"/>
        </w:rPr>
        <w:t>”</w:t>
      </w:r>
      <w:r>
        <w:rPr>
          <w:rFonts w:ascii="Times New Roman;serif" w:hAnsi="Times New Roman;serif"/>
          <w:b w:val="false"/>
          <w:sz w:val="20"/>
        </w:rPr>
        <w:t>) based on the information available at the commencement date in determining the discount rate used to present value lease payments. In determining the IBR, the Company considered its credit rating and current market interest rates. The IBR used approximates the interest that the Company would be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required to pay for a collateralized loan over a similar term. The Company’s leases typically do not include any residual value guarantees or asset retirement obligations.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Company’s lease terms are only for periods in which it has enforceable rights. A lease is no longer enforceable when both the lessee and the lessor each have the right to terminate the lease without permission from the other party with no more than an insignificant penalty. The Company has options to renew some of these leases for three years</w:t>
      </w:r>
      <w:r>
        <w:rPr>
          <w:rFonts w:ascii="Times New Roman" w:hAnsi="Times New Roman"/>
          <w:sz w:val="20"/>
        </w:rPr>
        <w:t xml:space="preserve"> </w:t>
      </w:r>
      <w:r>
        <w:rPr>
          <w:rFonts w:ascii="Times New Roman;serif" w:hAnsi="Times New Roman;serif"/>
          <w:b w:val="false"/>
          <w:sz w:val="20"/>
        </w:rPr>
        <w:t>after their expiration. The Company considers these options, which may be elected at the Company’s sole discretion, in determining the lease term on a lease-by-lease basis. Lease expense is recognized on a straight-line basis over the lease term and is primarily included in General and administrative expenses in the accompanying Consolidated Statements of Operations.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Company has lease agreements with lease and non-lease components, which are accounted for as a single lease component for all underlying asset classes. Some leases require variable payments for common area maintenance, property taxes, parking, insurance and other variable costs. The variable portion of lease payments is not included in operating lease assets or liabilities. Variable lease costs are expensed when incurred.</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Stock-Based Compensation</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 records compensation expense for stock options and restricted stock units ("</w:t>
      </w:r>
      <w:r>
        <w:rPr>
          <w:rFonts w:ascii="Times New Roman;serif" w:hAnsi="Times New Roman;serif"/>
          <w:b/>
          <w:sz w:val="20"/>
        </w:rPr>
        <w:t>RSU</w:t>
      </w:r>
      <w:r>
        <w:rPr>
          <w:rFonts w:ascii="Times New Roman;serif" w:hAnsi="Times New Roman;serif"/>
          <w:b w:val="false"/>
          <w:sz w:val="20"/>
        </w:rPr>
        <w:t xml:space="preserve">") based on the fair market value of the awards on the date of grant. The fair value of stock-based compensation awards is amortized over the vesting period of the award. Compensation expense for performance-based awards is evaluated based on the number of shares ultimately expected to vest, evaluated each reporting period and based on management’s expectations regarding the relevant performance criteria. The Black-Scholes option pricing model and Monte Carlo Simulation are used to estimate the fair value of the time-based and performance-based options, respectively. Under </w:t>
      </w:r>
      <w:r>
        <w:rPr>
          <w:rFonts w:ascii="Times New Roman;serif" w:hAnsi="Times New Roman;serif"/>
          <w:b w:val="false"/>
          <w:i/>
          <w:sz w:val="20"/>
        </w:rPr>
        <w:t>ASU 2016-09</w:t>
      </w:r>
      <w:r>
        <w:rPr>
          <w:rFonts w:ascii="Times New Roman;serif" w:hAnsi="Times New Roman;serif"/>
          <w:b w:val="false"/>
          <w:sz w:val="20"/>
        </w:rPr>
        <w:t xml:space="preserve">, </w:t>
      </w:r>
      <w:r>
        <w:rPr>
          <w:rFonts w:ascii="Times New Roman;serif" w:hAnsi="Times New Roman;serif"/>
          <w:b w:val="false"/>
          <w:i/>
          <w:sz w:val="20"/>
        </w:rPr>
        <w:t>Compensation – Stock Compensation (“ASC 718”) Improvements to Employee Share-Based Payment Accounting</w:t>
      </w:r>
      <w:r>
        <w:rPr>
          <w:rFonts w:ascii="Times New Roman;serif" w:hAnsi="Times New Roman;serif"/>
          <w:b w:val="false"/>
          <w:sz w:val="20"/>
        </w:rPr>
        <w:t>, the Company elected to account for forfeitures as they occur.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assumptions were used in the valuation of stock options.</w:t>
      </w:r>
    </w:p>
    <w:p>
      <w:pPr>
        <w:pStyle w:val="TextBody"/>
        <w:bidi w:val="0"/>
        <w:spacing w:before="0" w:after="0"/>
        <w:jc w:val="left"/>
        <w:rPr/>
      </w:pPr>
      <w:r>
        <w:rPr/>
        <w:t> </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 xml:space="preserve">Expected volatility – determined using the average of the historical volatility using daily intervals over the expected term and the derived volatility using the longest term available of 12 months. </w:t>
      </w:r>
    </w:p>
    <w:p>
      <w:pPr>
        <w:pStyle w:val="TextBody"/>
        <w:bidi w:val="0"/>
        <w:spacing w:before="0" w:after="0"/>
        <w:jc w:val="left"/>
        <w:rPr/>
      </w:pPr>
      <w:r>
        <w:rPr/>
        <w:t> </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 xml:space="preserve">Expected dividends - based on the fact that the Company has never paid cash dividends and does not expect to pay any cash dividends in the foreseeable future </w:t>
      </w:r>
    </w:p>
    <w:p>
      <w:pPr>
        <w:pStyle w:val="TextBody"/>
        <w:bidi w:val="0"/>
        <w:spacing w:before="0" w:after="0"/>
        <w:jc w:val="left"/>
        <w:rPr/>
      </w:pPr>
      <w:r>
        <w:rPr/>
        <w:t> </w:t>
      </w:r>
    </w:p>
    <w:p>
      <w:pPr>
        <w:pStyle w:val="TextBody"/>
        <w:bidi w:val="0"/>
        <w:spacing w:before="0" w:after="0"/>
        <w:jc w:val="left"/>
        <w:rPr/>
      </w:pPr>
      <w:r>
        <w:rPr/>
        <w:t>•</w:t>
      </w:r>
    </w:p>
    <w:p>
      <w:pPr>
        <w:pStyle w:val="TextBody"/>
        <w:bidi w:val="0"/>
        <w:jc w:val="left"/>
        <w:rPr>
          <w:rFonts w:ascii="Times New Roman;serif" w:hAnsi="Times New Roman;serif"/>
          <w:sz w:val="20"/>
        </w:rPr>
      </w:pPr>
      <w:r>
        <w:rPr>
          <w:rFonts w:ascii="Times New Roman;serif" w:hAnsi="Times New Roman;serif"/>
          <w:b w:val="false"/>
          <w:sz w:val="20"/>
        </w:rPr>
        <w:t>Expected term – the expected term of the Company’s stock options for tenure only vesting has been determined utilizing the “simplified” method as described in the SEC’s Staff Accounting Bulletin No. 107 relating to share-based compensation. The simplified method was chosen because the Company has limited historical option exercise experience due to its short operating history of awards granted, with the first plan being established in 2016 which was primarily used for executive awards. Further, the Company does not have sufficient history of exercises in the U.S. market given the Company’s redomiciliation from Australia to the United States in 2020. The expected term of options with a performance condition or market condition was set to the contractual term of 10</w:t>
      </w:r>
      <w:r>
        <w:rPr>
          <w:rFonts w:ascii="Times New Roman;serif" w:hAnsi="Times New Roman;serif"/>
          <w:sz w:val="20"/>
        </w:rPr>
        <w:t xml:space="preserve"> </w:t>
      </w:r>
      <w:r>
        <w:rPr>
          <w:rFonts w:ascii="Times New Roman;serif" w:hAnsi="Times New Roman;serif"/>
          <w:b w:val="false"/>
          <w:sz w:val="20"/>
        </w:rPr>
        <w:t>years. The contractual term was used for options with a performance or market condition as these are primarily awarded to executives and the Company assumes that they will hold them longer than rank and file employees.</w:t>
      </w:r>
    </w:p>
    <w:p>
      <w:pPr>
        <w:pStyle w:val="TextBody"/>
        <w:bidi w:val="0"/>
        <w:spacing w:before="0" w:after="0"/>
        <w:jc w:val="left"/>
        <w:rPr/>
      </w:pPr>
      <w:r>
        <w:rPr/>
        <w:t> </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Risk-free interest rate – the risk-free interest rate is based on the U.S. Treasury yield in effect at the time of grant for a period approximately equal to the expected term of the award.</w:t>
      </w:r>
    </w:p>
    <w:p>
      <w:pPr>
        <w:pStyle w:val="TextBody"/>
        <w:bidi w:val="0"/>
        <w:spacing w:before="0" w:after="0"/>
        <w:jc w:val="left"/>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Non-Qualified Deferred Compensation Plan Liability and Corporate-Owned Life Insurance Asset</w:t>
      </w:r>
    </w:p>
    <w:p>
      <w:pPr>
        <w:pStyle w:val="TextBody"/>
        <w:bidi w:val="0"/>
        <w:spacing w:before="0" w:after="0"/>
        <w:jc w:val="both"/>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Company’s non-qualified deferred compensation plan (the "</w:t>
      </w:r>
      <w:r>
        <w:rPr>
          <w:rFonts w:ascii="Times New Roman;serif" w:hAnsi="Times New Roman;serif"/>
          <w:b/>
          <w:sz w:val="20"/>
        </w:rPr>
        <w:t>NQDC plan</w:t>
      </w:r>
      <w:r>
        <w:rPr>
          <w:rFonts w:ascii="Times New Roman;serif" w:hAnsi="Times New Roman;serif"/>
          <w:b w:val="false"/>
          <w:sz w:val="20"/>
        </w:rPr>
        <w:t xml:space="preserve">"), which became effective in October 2021, allows highly compensated key employees to elect to defer a portion of their salary, bonus and RSU awards to later years. Management determined that the cash deferrals under the NQDC plan shall be accounted for similarly to a defined benefit plan under </w:t>
      </w:r>
      <w:r>
        <w:rPr>
          <w:rFonts w:ascii="Times New Roman;serif" w:hAnsi="Times New Roman;serif"/>
          <w:b w:val="false"/>
          <w:i/>
          <w:sz w:val="20"/>
        </w:rPr>
        <w:t>ASC 715</w:t>
      </w:r>
      <w:r>
        <w:rPr>
          <w:rFonts w:ascii="Times New Roman;serif" w:hAnsi="Times New Roman;serif"/>
          <w:b w:val="false"/>
          <w:sz w:val="20"/>
        </w:rPr>
        <w:t xml:space="preserve">, </w:t>
      </w:r>
      <w:r>
        <w:rPr>
          <w:rFonts w:ascii="Times New Roman;serif" w:hAnsi="Times New Roman;serif"/>
          <w:b w:val="false"/>
          <w:i/>
          <w:sz w:val="20"/>
        </w:rPr>
        <w:t>Compensation – Retirement Benefits</w:t>
      </w:r>
      <w:r>
        <w:rPr>
          <w:rFonts w:ascii="Times New Roman;serif" w:hAnsi="Times New Roman;serif"/>
          <w:b w:val="false"/>
          <w:sz w:val="20"/>
        </w:rPr>
        <w:t>, and should follow accounting treatment that is similar to a cash balance plan. Management determined that the employee portion and employer portion of the deferred compensation should be recognized as a compensation expense with a corresponding credit to deferred compensation liability. The matching contribution will be accrued over the vesting period of two years</w:t>
      </w:r>
      <w:r>
        <w:rPr>
          <w:rFonts w:ascii="Times New Roman" w:hAnsi="Times New Roman"/>
          <w:sz w:val="20"/>
        </w:rPr>
        <w:t xml:space="preserve"> </w:t>
      </w:r>
      <w:r>
        <w:rPr>
          <w:rFonts w:ascii="Times New Roman;serif" w:hAnsi="Times New Roman;serif"/>
          <w:b w:val="false"/>
          <w:sz w:val="20"/>
        </w:rPr>
        <w:t>with 25% vesting in the first year and 75% vesting in the second year. Employees aged 55 or older immediately vest in employer matching contributions. The change in the liability between each reporting period is accounted for as compensation expense with a corresponding adjustment to deferred compensation liability. Upon distribution, the Company will record the distribution as a decrease to deferred compensation liability with a corresponding credit to cash. The Company funds the NQDC plan through a Corporate-Owned Life Insurance (</w:t>
      </w:r>
      <w:r>
        <w:rPr>
          <w:rFonts w:ascii="Times New Roman" w:hAnsi="Times New Roman"/>
          <w:sz w:val="20"/>
        </w:rPr>
        <w:t>“</w:t>
      </w:r>
      <w:r>
        <w:rPr>
          <w:rFonts w:ascii="Times New Roman;serif" w:hAnsi="Times New Roman;serif"/>
          <w:b/>
          <w:sz w:val="20"/>
        </w:rPr>
        <w:t>COLI”</w:t>
      </w:r>
      <w:r>
        <w:rPr>
          <w:rFonts w:ascii="Times New Roman;serif" w:hAnsi="Times New Roman;serif"/>
          <w:b w:val="false"/>
          <w:sz w:val="20"/>
        </w:rPr>
        <w:t xml:space="preserve">). Per the </w:t>
      </w:r>
      <w:r>
        <w:rPr>
          <w:rFonts w:ascii="Times New Roman;serif" w:hAnsi="Times New Roman;serif"/>
          <w:b w:val="false"/>
          <w:i/>
          <w:sz w:val="20"/>
        </w:rPr>
        <w:t>ASC 325-30-25-1A, Investments – Other</w:t>
      </w:r>
      <w:r>
        <w:rPr>
          <w:rFonts w:ascii="Times New Roman;serif" w:hAnsi="Times New Roman;serif"/>
          <w:b w:val="false"/>
          <w:sz w:val="20"/>
        </w:rPr>
        <w:t>, COLI is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recorded as an asset on the Consolidated Balance Sheets as it does not meet the definition of a plan asset under </w:t>
      </w:r>
      <w:r>
        <w:rPr>
          <w:rFonts w:ascii="Times New Roman;serif" w:hAnsi="Times New Roman;serif"/>
          <w:b w:val="false"/>
          <w:i/>
          <w:sz w:val="20"/>
        </w:rPr>
        <w:t>ASC 715</w:t>
      </w:r>
      <w:r>
        <w:rPr>
          <w:rFonts w:ascii="Times New Roman;serif" w:hAnsi="Times New Roman;serif"/>
          <w:b w:val="false"/>
          <w:sz w:val="20"/>
        </w:rPr>
        <w:t>. The Company invests in COLI policies relating to its deferred compensation plan. Investments in COLI policies are recorded at their cash surrender values as of each balance sheet date. Changes in the cash surrender value during the period are recorded as a gain or loss in the Consolidated Statements of Operations in Other income.</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Rabbi Trust</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During April 2022, the Company established a rabbi trust for a select group of participants in which share awards granted under the 2020 Omnibus Incentive Plan (</w:t>
      </w:r>
      <w:r>
        <w:rPr>
          <w:rFonts w:ascii="Times New Roman" w:hAnsi="Times New Roman"/>
          <w:sz w:val="20"/>
        </w:rPr>
        <w:t>“</w:t>
      </w:r>
      <w:r>
        <w:rPr>
          <w:rFonts w:ascii="Times New Roman;serif" w:hAnsi="Times New Roman;serif"/>
          <w:b/>
          <w:sz w:val="20"/>
        </w:rPr>
        <w:t>2020 Plan”</w:t>
      </w:r>
      <w:r>
        <w:rPr>
          <w:rFonts w:ascii="Times New Roman;serif" w:hAnsi="Times New Roman;serif"/>
          <w:b w:val="false"/>
          <w:sz w:val="20"/>
        </w:rPr>
        <w:t>) and deferred under the NQDC plan may be deposited. In addition to the deferral of shares, the rabbi trust holds the assets in the COLI for the NQDC plan. The rabbi trust is an irrevocable trust, and no portion of the trust fund may be used for any purpose other than the delivery of those assets to the participants. The assets held in the rabbi trust are subject to the claims of our general creditors in the event of bankruptcy or insolvency. The value of the assets of the rabbi trust is consolidated into our financial statements.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The NQDC plan permits diversification of vested shares (common stock) into other equity securities subject to a six-month and one day holding period subsequent to vesting. Per </w:t>
      </w:r>
      <w:r>
        <w:rPr>
          <w:rFonts w:ascii="Times New Roman;serif" w:hAnsi="Times New Roman;serif"/>
          <w:b w:val="false"/>
          <w:i/>
          <w:sz w:val="20"/>
        </w:rPr>
        <w:t>ASC 710-10-25-15</w:t>
      </w:r>
      <w:r>
        <w:rPr>
          <w:rFonts w:ascii="Times New Roman;serif" w:hAnsi="Times New Roman;serif"/>
          <w:b w:val="false"/>
          <w:sz w:val="20"/>
        </w:rPr>
        <w:t>, accounting for deferred common stock will be under plan type C or D. Accounting will depend on whether or not the employee has diversified the common stock. Under Plan type C, diversification is permitted but the employee has not diversified. Under plan type D, diversification is permitted, and the employee has diversified.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For common stock that have not been diversified, the employer stock held in the rabbi trust is classified in a manner similar to treasury stock and presented separately on the Consolidated Balance Sheets as Company common stock held by the NQDC plan. The common stock will be recorded at the fair value of the stock at the time it vested, subsequent changes in the value of the common stock will not be recognized. The deferred compensation obligation is measured independently at fair value of the common stock with a corresponding charge or credit to compensation cost. The fair value is calculated as the product of the common stock and the closing price of the stock each reporting period.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Under plan type D, the accounting for the assets held by the rabbi trust is subject to the accounting pronouncements under applicable GAAP for each asset type. As diversified common stock will be invested in mutual funds, assets held by the rabbi trust will be subject to accounting under </w:t>
      </w:r>
      <w:r>
        <w:rPr>
          <w:rFonts w:ascii="Times New Roman;serif" w:hAnsi="Times New Roman;serif"/>
          <w:b w:val="false"/>
          <w:i/>
          <w:sz w:val="20"/>
        </w:rPr>
        <w:t>ASC 321 -</w:t>
      </w:r>
      <w:r>
        <w:rPr>
          <w:rFonts w:ascii="Times New Roman" w:hAnsi="Times New Roman"/>
          <w:sz w:val="20"/>
        </w:rPr>
        <w:t xml:space="preserve"> </w:t>
      </w:r>
      <w:r>
        <w:rPr>
          <w:rFonts w:ascii="Times New Roman;serif" w:hAnsi="Times New Roman;serif"/>
          <w:b w:val="false"/>
          <w:i/>
          <w:sz w:val="20"/>
        </w:rPr>
        <w:t>Investments - Equity Securities</w:t>
      </w:r>
      <w:r>
        <w:rPr>
          <w:rFonts w:ascii="Times New Roman;serif" w:hAnsi="Times New Roman;serif"/>
          <w:b w:val="false"/>
          <w:sz w:val="20"/>
        </w:rPr>
        <w:t>. The deferred compensation obligation is measured independently at fair value of the underlying assets. As of June 30, 2023, none of the deferred common stock has been diversified.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Non-Qualified Deferred Compensation Stock Awards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In accordance with </w:t>
      </w:r>
      <w:r>
        <w:rPr>
          <w:rFonts w:ascii="Times New Roman;serif" w:hAnsi="Times New Roman;serif"/>
          <w:b w:val="false"/>
          <w:i/>
          <w:sz w:val="20"/>
        </w:rPr>
        <w:t>ASC 718, Compensation — Stock Compensation</w:t>
      </w:r>
      <w:r>
        <w:rPr>
          <w:rFonts w:ascii="Times New Roman;serif" w:hAnsi="Times New Roman;serif"/>
          <w:b w:val="false"/>
          <w:sz w:val="20"/>
        </w:rPr>
        <w:t xml:space="preserve">, the deferred RSU awards under the NQDC plan are classified as an equity instrument and changes in fair value of the amount owed to the participant are not recognized. As the plan permits diversification, presentation outside of permanent equity in accordance with </w:t>
      </w:r>
      <w:r>
        <w:rPr>
          <w:rFonts w:ascii="Times New Roman;serif" w:hAnsi="Times New Roman;serif"/>
          <w:b w:val="false"/>
          <w:i/>
          <w:sz w:val="20"/>
        </w:rPr>
        <w:t>ASR 268, Redeemable Preferred Stock</w:t>
      </w:r>
      <w:r>
        <w:rPr>
          <w:rFonts w:ascii="Times New Roman" w:hAnsi="Times New Roman"/>
          <w:sz w:val="20"/>
        </w:rPr>
        <w:t xml:space="preserve"> </w:t>
      </w:r>
      <w:r>
        <w:rPr>
          <w:rFonts w:ascii="Times New Roman;serif" w:hAnsi="Times New Roman;serif"/>
          <w:b w:val="false"/>
          <w:sz w:val="20"/>
        </w:rPr>
        <w:t>is appropriate. The redemption amounts are based on the vested percentage and are recorded outside of equity as Non-qualified deferred compensation share awards on the Consolidated Balance Sheets. Deferred awards will be presented outside of permanent equity until the awards are vested. For further details refer to Note 17.</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3. Marketable Securities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table summarizes the amortized cost and estimated fair values of debt securities available-for-sale:</w:t>
      </w:r>
    </w:p>
    <w:p>
      <w:pPr>
        <w:pStyle w:val="TextBody"/>
        <w:bidi w:val="0"/>
        <w:spacing w:before="0" w:after="0"/>
        <w:jc w:val="left"/>
        <w:rPr/>
      </w:pPr>
      <w:r>
        <w:rPr/>
        <w:t> </w:t>
      </w:r>
    </w:p>
    <w:tbl>
      <w:tblPr>
        <w:tblW w:w="8110" w:type="dxa"/>
        <w:jc w:val="left"/>
        <w:tblInd w:w="0" w:type="dxa"/>
        <w:tblLayout w:type="fixed"/>
        <w:tblCellMar>
          <w:top w:w="28" w:type="dxa"/>
          <w:left w:w="28" w:type="dxa"/>
          <w:bottom w:w="28" w:type="dxa"/>
          <w:right w:w="28" w:type="dxa"/>
        </w:tblCellMar>
      </w:tblPr>
      <w:tblGrid>
        <w:gridCol w:w="3331"/>
        <w:gridCol w:w="146"/>
        <w:gridCol w:w="211"/>
        <w:gridCol w:w="676"/>
        <w:gridCol w:w="146"/>
        <w:gridCol w:w="146"/>
        <w:gridCol w:w="443"/>
        <w:gridCol w:w="443"/>
        <w:gridCol w:w="146"/>
        <w:gridCol w:w="146"/>
        <w:gridCol w:w="318"/>
        <w:gridCol w:w="568"/>
        <w:gridCol w:w="166"/>
        <w:gridCol w:w="146"/>
        <w:gridCol w:w="211"/>
        <w:gridCol w:w="676"/>
        <w:gridCol w:w="1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2"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June 30, 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Holding</w:t>
              <w:br/>
              <w:t>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Holding</w:t>
              <w:br/>
              <w:t>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Carrying</w:t>
              <w:br/>
              <w:t>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 thousands)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30,669</w:t>
            </w:r>
          </w:p>
        </w:tc>
        <w:tc>
          <w:tcPr>
            <w:tcW w:w="191" w:type="dxa"/>
            <w:tcBorders/>
            <w:vAlign w:val="center"/>
          </w:tcPr>
          <w:p>
            <w:pPr>
              <w:pStyle w:val="TableContents"/>
              <w:bidi w:val="0"/>
              <w:spacing w:before="0" w:after="0"/>
              <w:ind w:left="0" w:right="0" w:hanging="0"/>
              <w:jc w:val="left"/>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31,668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31,669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Current marketable securities: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23,158</w:t>
            </w:r>
          </w:p>
        </w:tc>
        <w:tc>
          <w:tcPr>
            <w:tcW w:w="191" w:type="dxa"/>
            <w:tcBorders/>
            <w:vAlign w:val="center"/>
          </w:tcPr>
          <w:p>
            <w:pPr>
              <w:pStyle w:val="TableContents"/>
              <w:bidi w:val="0"/>
              <w:spacing w:before="0" w:after="0"/>
              <w:ind w:left="0" w:right="0" w:hanging="0"/>
              <w:jc w:val="left"/>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5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2,311</w:t>
            </w:r>
          </w:p>
        </w:tc>
        <w:tc>
          <w:tcPr>
            <w:tcW w:w="191" w:type="dxa"/>
            <w:tcBorders/>
            <w:vAlign w:val="center"/>
          </w:tcPr>
          <w:p>
            <w:pPr>
              <w:pStyle w:val="TableContents"/>
              <w:bidi w:val="0"/>
              <w:spacing w:before="0" w:after="0"/>
              <w:ind w:left="0" w:right="0" w:hanging="0"/>
              <w:jc w:val="left"/>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debt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5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1,417</w:t>
            </w:r>
          </w:p>
        </w:tc>
        <w:tc>
          <w:tcPr>
            <w:tcW w:w="191" w:type="dxa"/>
            <w:tcBorders/>
            <w:vAlign w:val="center"/>
          </w:tcPr>
          <w:p>
            <w:pPr>
              <w:pStyle w:val="TableContents"/>
              <w:bidi w:val="0"/>
              <w:spacing w:before="0" w:after="0"/>
              <w:ind w:left="0" w:right="0" w:hanging="0"/>
              <w:jc w:val="left"/>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agency obligations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current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28,562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Long-term marketable securities: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 backed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long-term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2,754</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8110" w:type="dxa"/>
        <w:jc w:val="left"/>
        <w:tblInd w:w="0" w:type="dxa"/>
        <w:tblLayout w:type="fixed"/>
        <w:tblCellMar>
          <w:top w:w="28" w:type="dxa"/>
          <w:left w:w="28" w:type="dxa"/>
          <w:bottom w:w="28" w:type="dxa"/>
          <w:right w:w="28" w:type="dxa"/>
        </w:tblCellMar>
      </w:tblPr>
      <w:tblGrid>
        <w:gridCol w:w="3331"/>
        <w:gridCol w:w="146"/>
        <w:gridCol w:w="211"/>
        <w:gridCol w:w="676"/>
        <w:gridCol w:w="146"/>
        <w:gridCol w:w="146"/>
        <w:gridCol w:w="443"/>
        <w:gridCol w:w="443"/>
        <w:gridCol w:w="146"/>
        <w:gridCol w:w="146"/>
        <w:gridCol w:w="270"/>
        <w:gridCol w:w="616"/>
        <w:gridCol w:w="166"/>
        <w:gridCol w:w="146"/>
        <w:gridCol w:w="211"/>
        <w:gridCol w:w="676"/>
        <w:gridCol w:w="1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2"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Holding</w:t>
              <w:br/>
              <w:t>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Holding</w:t>
              <w:br/>
              <w:t>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Carrying</w:t>
              <w:br/>
              <w:t>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 thousands)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14,089</w:t>
            </w:r>
          </w:p>
        </w:tc>
        <w:tc>
          <w:tcPr>
            <w:tcW w:w="191" w:type="dxa"/>
            <w:tcBorders/>
            <w:vAlign w:val="center"/>
          </w:tcPr>
          <w:p>
            <w:pPr>
              <w:pStyle w:val="TableContents"/>
              <w:bidi w:val="0"/>
              <w:spacing w:before="0" w:after="0"/>
              <w:ind w:left="0" w:right="0" w:hanging="0"/>
              <w:jc w:val="left"/>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Current marketable securities: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42,700</w:t>
            </w:r>
          </w:p>
        </w:tc>
        <w:tc>
          <w:tcPr>
            <w:tcW w:w="191" w:type="dxa"/>
            <w:tcBorders/>
            <w:vAlign w:val="center"/>
          </w:tcPr>
          <w:p>
            <w:pPr>
              <w:pStyle w:val="TableContents"/>
              <w:bidi w:val="0"/>
              <w:spacing w:before="0" w:after="0"/>
              <w:ind w:left="0" w:right="0" w:hanging="0"/>
              <w:jc w:val="left"/>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12,743</w:t>
            </w:r>
          </w:p>
        </w:tc>
        <w:tc>
          <w:tcPr>
            <w:tcW w:w="191" w:type="dxa"/>
            <w:tcBorders/>
            <w:vAlign w:val="center"/>
          </w:tcPr>
          <w:p>
            <w:pPr>
              <w:pStyle w:val="TableContents"/>
              <w:bidi w:val="0"/>
              <w:spacing w:before="0" w:after="0"/>
              <w:ind w:left="0" w:right="0" w:hanging="0"/>
              <w:jc w:val="left"/>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debt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3,842</w:t>
            </w:r>
          </w:p>
        </w:tc>
        <w:tc>
          <w:tcPr>
            <w:tcW w:w="191" w:type="dxa"/>
            <w:tcBorders/>
            <w:vAlign w:val="center"/>
          </w:tcPr>
          <w:p>
            <w:pPr>
              <w:pStyle w:val="TableContents"/>
              <w:bidi w:val="0"/>
              <w:spacing w:before="0" w:after="0"/>
              <w:ind w:left="0" w:right="0" w:hanging="0"/>
              <w:jc w:val="left"/>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agency obligations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current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61,601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61,178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Long-term marketable securities: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 backed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3,572</w:t>
            </w:r>
          </w:p>
        </w:tc>
        <w:tc>
          <w:tcPr>
            <w:tcW w:w="191" w:type="dxa"/>
            <w:tcBorders/>
            <w:vAlign w:val="center"/>
          </w:tcPr>
          <w:p>
            <w:pPr>
              <w:pStyle w:val="TableContents"/>
              <w:bidi w:val="0"/>
              <w:spacing w:before="0" w:after="0"/>
              <w:ind w:left="0" w:right="0" w:hanging="0"/>
              <w:jc w:val="left"/>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2,410</w:t>
            </w:r>
          </w:p>
        </w:tc>
        <w:tc>
          <w:tcPr>
            <w:tcW w:w="191" w:type="dxa"/>
            <w:tcBorders/>
            <w:vAlign w:val="center"/>
          </w:tcPr>
          <w:p>
            <w:pPr>
              <w:pStyle w:val="TableContents"/>
              <w:bidi w:val="0"/>
              <w:spacing w:before="0" w:after="0"/>
              <w:ind w:left="0" w:right="0" w:hanging="0"/>
              <w:jc w:val="left"/>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agency obligations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long-term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6,933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6,930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4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The maturities of debt securities available-for-sale are summarized in the following table using contractual maturities. Actual maturities may differ from contractual maturities due to obligations that are called or prepaid.</w:t>
      </w:r>
      <w:r>
        <w:rPr>
          <w:rFonts w:ascii="Times New Roman" w:hAnsi="Times New Roman"/>
          <w:sz w:val="20"/>
        </w:rPr>
        <w:t xml:space="preserve"> </w:t>
      </w:r>
    </w:p>
    <w:p>
      <w:pPr>
        <w:pStyle w:val="TextBody"/>
        <w:bidi w:val="0"/>
        <w:spacing w:before="0" w:after="0"/>
        <w:jc w:val="both"/>
        <w:rPr/>
      </w:pPr>
      <w:r>
        <w:rPr/>
        <w:t> </w:t>
      </w:r>
    </w:p>
    <w:tbl>
      <w:tblPr>
        <w:tblW w:w="7957" w:type="dxa"/>
        <w:jc w:val="left"/>
        <w:tblInd w:w="0" w:type="dxa"/>
        <w:tblLayout w:type="fixed"/>
        <w:tblCellMar>
          <w:top w:w="28" w:type="dxa"/>
          <w:left w:w="28" w:type="dxa"/>
          <w:bottom w:w="28" w:type="dxa"/>
          <w:right w:w="28" w:type="dxa"/>
        </w:tblCellMar>
      </w:tblPr>
      <w:tblGrid>
        <w:gridCol w:w="3196"/>
        <w:gridCol w:w="146"/>
        <w:gridCol w:w="211"/>
        <w:gridCol w:w="676"/>
        <w:gridCol w:w="146"/>
        <w:gridCol w:w="146"/>
        <w:gridCol w:w="211"/>
        <w:gridCol w:w="676"/>
        <w:gridCol w:w="146"/>
        <w:gridCol w:w="146"/>
        <w:gridCol w:w="211"/>
        <w:gridCol w:w="676"/>
        <w:gridCol w:w="146"/>
        <w:gridCol w:w="146"/>
        <w:gridCol w:w="211"/>
        <w:gridCol w:w="676"/>
        <w:gridCol w:w="19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 thousands)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Carrying</w:t>
              <w:br/>
              <w:t>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Carrying</w:t>
              <w:br/>
              <w:t>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Due in one year or less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61,601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61,178</w:t>
            </w:r>
          </w:p>
        </w:tc>
        <w:tc>
          <w:tcPr>
            <w:tcW w:w="191" w:type="dxa"/>
            <w:tcBorders/>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Due after one year through three 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6,930</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Gross unrealized gains and losses on the Company’s marketable securities were an unrealized gain of $3,000</w:t>
      </w:r>
      <w:r>
        <w:rPr>
          <w:rFonts w:ascii="Times New Roman" w:hAnsi="Times New Roman"/>
          <w:sz w:val="20"/>
        </w:rPr>
        <w:t xml:space="preserve"> </w:t>
      </w:r>
      <w:r>
        <w:rPr>
          <w:rFonts w:ascii="Times New Roman;serif" w:hAnsi="Times New Roman;serif"/>
          <w:b w:val="false"/>
          <w:sz w:val="20"/>
        </w:rPr>
        <w:t>and an unrealized loss of $86,000</w:t>
      </w:r>
      <w:r>
        <w:rPr>
          <w:rFonts w:ascii="Times New Roman" w:hAnsi="Times New Roman"/>
          <w:sz w:val="20"/>
        </w:rPr>
        <w:t xml:space="preserve"> </w:t>
      </w:r>
      <w:r>
        <w:rPr>
          <w:rFonts w:ascii="Times New Roman;serif" w:hAnsi="Times New Roman;serif"/>
          <w:b w:val="false"/>
          <w:sz w:val="20"/>
        </w:rPr>
        <w:t>as of June 30, 2023, which resulted in a net unrealized loss of $83,000. Gross unrealized gains and losses on the Company’s marketable securities were an unrealized gain of $8,000</w:t>
      </w:r>
      <w:r>
        <w:rPr>
          <w:rFonts w:ascii="Times New Roman" w:hAnsi="Times New Roman"/>
          <w:sz w:val="20"/>
        </w:rPr>
        <w:t xml:space="preserve"> </w:t>
      </w:r>
      <w:r>
        <w:rPr>
          <w:rFonts w:ascii="Times New Roman;serif" w:hAnsi="Times New Roman;serif"/>
          <w:b w:val="false"/>
          <w:sz w:val="20"/>
        </w:rPr>
        <w:t>and an unrealized loss of $434,000</w:t>
      </w:r>
      <w:r>
        <w:rPr>
          <w:rFonts w:ascii="Times New Roman" w:hAnsi="Times New Roman"/>
          <w:sz w:val="20"/>
        </w:rPr>
        <w:t xml:space="preserve"> </w:t>
      </w:r>
      <w:r>
        <w:rPr>
          <w:rFonts w:ascii="Times New Roman;serif" w:hAnsi="Times New Roman;serif"/>
          <w:b w:val="false"/>
          <w:sz w:val="20"/>
        </w:rPr>
        <w:t>as of December 31, 2022, which resulted in a net unrealized loss of $426,000. As of June 30, 2023, and December 31, 2022, the Company did not recognize credit losses. The Company has accrued interest income of $168,000</w:t>
      </w:r>
      <w:r>
        <w:rPr>
          <w:rFonts w:ascii="Times New Roman" w:hAnsi="Times New Roman"/>
          <w:sz w:val="20"/>
        </w:rPr>
        <w:t xml:space="preserve"> </w:t>
      </w:r>
      <w:r>
        <w:rPr>
          <w:rFonts w:ascii="Times New Roman;serif" w:hAnsi="Times New Roman;serif"/>
          <w:b w:val="false"/>
          <w:sz w:val="20"/>
        </w:rPr>
        <w:t>as of June 30, 2023, and December 31, 2022, in Prepaids and other current assets.</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4. Fair Value Measurements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Level 1: Inputs are quoted prices (unadjusted) in active markets for identical assets or liabilities that the reporting entity can access at the measurement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Level 2: Inputs are inputs other than quoted prices included within Level 1 that are observable for the asset or liability, either directly or indirectly.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Level 3: Inputs are unobservable inputs for the asset or liability.</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tables present information about the Company’s financial assets measured at fair value on a recurring basis, based on the three-tier fair value hierarchy:</w:t>
      </w:r>
    </w:p>
    <w:p>
      <w:pPr>
        <w:pStyle w:val="TextBody"/>
        <w:bidi w:val="0"/>
        <w:spacing w:before="0" w:after="0"/>
        <w:jc w:val="left"/>
        <w:rPr/>
      </w:pPr>
      <w:r>
        <w:rPr/>
        <w:t> </w:t>
      </w:r>
    </w:p>
    <w:tbl>
      <w:tblPr>
        <w:tblW w:w="8840" w:type="dxa"/>
        <w:jc w:val="left"/>
        <w:tblInd w:w="0" w:type="dxa"/>
        <w:tblLayout w:type="fixed"/>
        <w:tblCellMar>
          <w:top w:w="28" w:type="dxa"/>
          <w:left w:w="28" w:type="dxa"/>
          <w:bottom w:w="28" w:type="dxa"/>
          <w:right w:w="28" w:type="dxa"/>
        </w:tblCellMar>
      </w:tblPr>
      <w:tblGrid>
        <w:gridCol w:w="4231"/>
        <w:gridCol w:w="146"/>
        <w:gridCol w:w="211"/>
        <w:gridCol w:w="676"/>
        <w:gridCol w:w="146"/>
        <w:gridCol w:w="146"/>
        <w:gridCol w:w="211"/>
        <w:gridCol w:w="676"/>
        <w:gridCol w:w="146"/>
        <w:gridCol w:w="146"/>
        <w:gridCol w:w="410"/>
        <w:gridCol w:w="325"/>
        <w:gridCol w:w="146"/>
        <w:gridCol w:w="146"/>
        <w:gridCol w:w="211"/>
        <w:gridCol w:w="676"/>
        <w:gridCol w:w="191"/>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72"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 June 30, 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 thousands)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30,669</w:t>
            </w:r>
          </w:p>
        </w:tc>
        <w:tc>
          <w:tcPr>
            <w:tcW w:w="191" w:type="dxa"/>
            <w:tcBorders/>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30,669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325"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31,669</w:t>
            </w:r>
          </w:p>
        </w:tc>
        <w:tc>
          <w:tcPr>
            <w:tcW w:w="191" w:type="dxa"/>
            <w:tcBorders/>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Current marketable securities: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23,158</w:t>
            </w:r>
          </w:p>
        </w:tc>
        <w:tc>
          <w:tcPr>
            <w:tcW w:w="191" w:type="dxa"/>
            <w:tcBorders/>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0" w:type="dxa"/>
            <w:tcBorders/>
            <w:vAlign w:val="center"/>
          </w:tcPr>
          <w:p>
            <w:pPr>
              <w:pStyle w:val="TableContents"/>
              <w:bidi w:val="0"/>
              <w:spacing w:before="0" w:after="0"/>
              <w:ind w:left="0" w:right="0" w:hanging="0"/>
              <w:jc w:val="left"/>
              <w:rPr/>
            </w:pPr>
            <w:r>
              <w:rPr/>
              <w:t> </w:t>
            </w:r>
          </w:p>
        </w:tc>
        <w:tc>
          <w:tcPr>
            <w:tcW w:w="325"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2,311</w:t>
            </w:r>
          </w:p>
        </w:tc>
        <w:tc>
          <w:tcPr>
            <w:tcW w:w="191" w:type="dxa"/>
            <w:tcBorders/>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debt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0" w:type="dxa"/>
            <w:tcBorders/>
            <w:vAlign w:val="center"/>
          </w:tcPr>
          <w:p>
            <w:pPr>
              <w:pStyle w:val="TableContents"/>
              <w:bidi w:val="0"/>
              <w:spacing w:before="0" w:after="0"/>
              <w:ind w:left="0" w:right="0" w:hanging="0"/>
              <w:jc w:val="left"/>
              <w:rPr/>
            </w:pPr>
            <w:r>
              <w:rPr/>
              <w:t> </w:t>
            </w:r>
          </w:p>
        </w:tc>
        <w:tc>
          <w:tcPr>
            <w:tcW w:w="325"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1,417</w:t>
            </w:r>
          </w:p>
        </w:tc>
        <w:tc>
          <w:tcPr>
            <w:tcW w:w="191" w:type="dxa"/>
            <w:tcBorders/>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agency obligations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current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28,562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325"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28,562</w:t>
            </w:r>
          </w:p>
        </w:tc>
        <w:tc>
          <w:tcPr>
            <w:tcW w:w="191" w:type="dxa"/>
            <w:tcBorders/>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Long-term marketable securities: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 backed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long-term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2,754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3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2,754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marketable securities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30,669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32,316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3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62,985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tbl>
      <w:tblPr>
        <w:tblW w:w="8840" w:type="dxa"/>
        <w:jc w:val="left"/>
        <w:tblInd w:w="0" w:type="dxa"/>
        <w:tblLayout w:type="fixed"/>
        <w:tblCellMar>
          <w:top w:w="28" w:type="dxa"/>
          <w:left w:w="28" w:type="dxa"/>
          <w:bottom w:w="28" w:type="dxa"/>
          <w:right w:w="28" w:type="dxa"/>
        </w:tblCellMar>
      </w:tblPr>
      <w:tblGrid>
        <w:gridCol w:w="4231"/>
        <w:gridCol w:w="146"/>
        <w:gridCol w:w="211"/>
        <w:gridCol w:w="676"/>
        <w:gridCol w:w="146"/>
        <w:gridCol w:w="146"/>
        <w:gridCol w:w="211"/>
        <w:gridCol w:w="676"/>
        <w:gridCol w:w="146"/>
        <w:gridCol w:w="146"/>
        <w:gridCol w:w="410"/>
        <w:gridCol w:w="325"/>
        <w:gridCol w:w="146"/>
        <w:gridCol w:w="146"/>
        <w:gridCol w:w="211"/>
        <w:gridCol w:w="676"/>
        <w:gridCol w:w="191"/>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72"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 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 thousands)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14,089</w:t>
            </w:r>
          </w:p>
        </w:tc>
        <w:tc>
          <w:tcPr>
            <w:tcW w:w="191" w:type="dxa"/>
            <w:tcBorders/>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Current marketable securities: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0" w:type="dxa"/>
            <w:tcBorders/>
            <w:vAlign w:val="center"/>
          </w:tcPr>
          <w:p>
            <w:pPr>
              <w:pStyle w:val="TableContents"/>
              <w:bidi w:val="0"/>
              <w:spacing w:before="0" w:after="0"/>
              <w:ind w:left="0" w:right="0" w:hanging="0"/>
              <w:jc w:val="left"/>
              <w:rPr/>
            </w:pPr>
            <w:r>
              <w:rPr/>
              <w:t> </w:t>
            </w:r>
          </w:p>
        </w:tc>
        <w:tc>
          <w:tcPr>
            <w:tcW w:w="325"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42,700</w:t>
            </w:r>
          </w:p>
        </w:tc>
        <w:tc>
          <w:tcPr>
            <w:tcW w:w="191" w:type="dxa"/>
            <w:tcBorders/>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0" w:type="dxa"/>
            <w:tcBorders/>
            <w:vAlign w:val="center"/>
          </w:tcPr>
          <w:p>
            <w:pPr>
              <w:pStyle w:val="TableContents"/>
              <w:bidi w:val="0"/>
              <w:spacing w:before="0" w:after="0"/>
              <w:ind w:left="0" w:right="0" w:hanging="0"/>
              <w:jc w:val="left"/>
              <w:rPr/>
            </w:pPr>
            <w:r>
              <w:rPr/>
              <w:t> </w:t>
            </w:r>
          </w:p>
        </w:tc>
        <w:tc>
          <w:tcPr>
            <w:tcW w:w="325"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12,743</w:t>
            </w:r>
          </w:p>
        </w:tc>
        <w:tc>
          <w:tcPr>
            <w:tcW w:w="191" w:type="dxa"/>
            <w:tcBorders/>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debt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0" w:type="dxa"/>
            <w:tcBorders/>
            <w:vAlign w:val="center"/>
          </w:tcPr>
          <w:p>
            <w:pPr>
              <w:pStyle w:val="TableContents"/>
              <w:bidi w:val="0"/>
              <w:spacing w:before="0" w:after="0"/>
              <w:ind w:left="0" w:right="0" w:hanging="0"/>
              <w:jc w:val="left"/>
              <w:rPr/>
            </w:pPr>
            <w:r>
              <w:rPr/>
              <w:t> </w:t>
            </w:r>
          </w:p>
        </w:tc>
        <w:tc>
          <w:tcPr>
            <w:tcW w:w="325"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3,842</w:t>
            </w:r>
          </w:p>
        </w:tc>
        <w:tc>
          <w:tcPr>
            <w:tcW w:w="191" w:type="dxa"/>
            <w:tcBorders/>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agency obligations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current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61,178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325"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61,178</w:t>
            </w:r>
          </w:p>
        </w:tc>
        <w:tc>
          <w:tcPr>
            <w:tcW w:w="191" w:type="dxa"/>
            <w:tcBorders/>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Long-term marketable securities: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 backed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3,572</w:t>
            </w:r>
          </w:p>
        </w:tc>
        <w:tc>
          <w:tcPr>
            <w:tcW w:w="191" w:type="dxa"/>
            <w:tcBorders/>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0" w:type="dxa"/>
            <w:tcBorders/>
            <w:vAlign w:val="center"/>
          </w:tcPr>
          <w:p>
            <w:pPr>
              <w:pStyle w:val="TableContents"/>
              <w:bidi w:val="0"/>
              <w:spacing w:before="0" w:after="0"/>
              <w:ind w:left="0" w:right="0" w:hanging="0"/>
              <w:jc w:val="left"/>
              <w:rPr/>
            </w:pPr>
            <w:r>
              <w:rPr/>
              <w:t> </w:t>
            </w:r>
          </w:p>
        </w:tc>
        <w:tc>
          <w:tcPr>
            <w:tcW w:w="325"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2,410</w:t>
            </w:r>
          </w:p>
        </w:tc>
        <w:tc>
          <w:tcPr>
            <w:tcW w:w="191" w:type="dxa"/>
            <w:tcBorders/>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agency obligations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long-term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6,930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3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6,930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marketable securities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14,089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68,108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3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82,197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Company’s Level 1 assets include money market instruments and are valued based upon observable market prices. Level 2 assets consist of commercial paper, U.S. Government agency obligations, corporate debt securities, asset backed securities and U.S Treasury securities. Level 2 securities are valued based upon observable inputs that include reported trades, broker/dealer quotes, bids and offers. As of June 30, 2023 and December 31, 2022, the Company had no investments that were measured using unobservable (Level 3) inputs. There were no transfers between fair value measurement levels as of June 30, 2023 or December 31, 2022.</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5. Revenues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Revenues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Company’s revenue consists of sale of the RECELL System to hospitals, treatment centers and COSMOTEC (“</w:t>
      </w:r>
      <w:r>
        <w:rPr>
          <w:rFonts w:ascii="Times New Roman;serif" w:hAnsi="Times New Roman;serif"/>
          <w:b/>
          <w:sz w:val="20"/>
        </w:rPr>
        <w:t>commercial customers</w:t>
      </w:r>
      <w:r>
        <w:rPr>
          <w:rFonts w:ascii="Times New Roman" w:hAnsi="Times New Roman"/>
          <w:sz w:val="20"/>
        </w:rPr>
        <w:t>”</w:t>
      </w:r>
      <w:r>
        <w:rPr>
          <w:rFonts w:ascii="Times New Roman;serif" w:hAnsi="Times New Roman;serif"/>
          <w:b w:val="false"/>
          <w:sz w:val="20"/>
        </w:rPr>
        <w:t>) and to BARDA (collectively “</w:t>
      </w:r>
      <w:r>
        <w:rPr>
          <w:rFonts w:ascii="Times New Roman;serif" w:hAnsi="Times New Roman;serif"/>
          <w:b/>
          <w:sz w:val="20"/>
        </w:rPr>
        <w:t>customers</w:t>
      </w:r>
      <w:r>
        <w:rPr>
          <w:rFonts w:ascii="Times New Roman" w:hAnsi="Times New Roman"/>
          <w:sz w:val="20"/>
        </w:rPr>
        <w:t>”</w:t>
      </w:r>
      <w:r>
        <w:rPr>
          <w:rFonts w:ascii="Times New Roman;serif" w:hAnsi="Times New Roman;serif"/>
          <w:b w:val="false"/>
          <w:sz w:val="20"/>
        </w:rPr>
        <w:t>), predominately in the United States. In addition, the Company records service revenue for the emergency preparedness services provided to BARDA.</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Performance Obligations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For commercial contracts, we identified the hospital, treatment center, or COSMOTEC as the customer in Step 1 of the 5-step model of </w:t>
      </w:r>
      <w:r>
        <w:rPr>
          <w:rFonts w:ascii="Times New Roman;serif" w:hAnsi="Times New Roman;serif"/>
          <w:b w:val="false"/>
          <w:i/>
          <w:sz w:val="20"/>
        </w:rPr>
        <w:t>ASC 606</w:t>
      </w:r>
      <w:r>
        <w:rPr>
          <w:rFonts w:ascii="Times New Roman" w:hAnsi="Times New Roman"/>
          <w:sz w:val="20"/>
        </w:rPr>
        <w:t xml:space="preserve"> </w:t>
      </w:r>
      <w:r>
        <w:rPr>
          <w:rFonts w:ascii="Times New Roman;serif" w:hAnsi="Times New Roman;serif"/>
          <w:b w:val="false"/>
          <w:sz w:val="20"/>
        </w:rPr>
        <w:t>and have determined a contract exists with those customers. As these contracts typically have a single performance obligation (i.e., product delivery), no allocation of the transaction price is required in Step 4 of the model. Control of the product is transferred to the customer at a point in time, at the point in time at which the goods are either shipped or delivered to the customers’ facilities, depending on the terms of the contract. The transaction price is stated within the contract and is therefore fixed consideration. The transaction price does not include the sales tax that is imposed by governmental authorities.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For the contract with BARDA, the Company identified two</w:t>
      </w:r>
      <w:r>
        <w:rPr>
          <w:rFonts w:ascii="Times New Roman;serif" w:hAnsi="Times New Roman;serif"/>
          <w:sz w:val="20"/>
        </w:rPr>
        <w:t xml:space="preserve"> </w:t>
      </w:r>
      <w:r>
        <w:rPr>
          <w:rFonts w:ascii="Times New Roman;serif" w:hAnsi="Times New Roman;serif"/>
          <w:b w:val="false"/>
          <w:sz w:val="20"/>
        </w:rPr>
        <w:t>performance obligations (i) the procurement of 5,614</w:t>
      </w:r>
      <w:r>
        <w:rPr>
          <w:rFonts w:ascii="Times New Roman;serif" w:hAnsi="Times New Roman;serif"/>
          <w:sz w:val="20"/>
        </w:rPr>
        <w:t xml:space="preserve"> </w:t>
      </w:r>
      <w:r>
        <w:rPr>
          <w:rFonts w:ascii="Times New Roman;serif" w:hAnsi="Times New Roman;serif"/>
          <w:b w:val="false"/>
          <w:sz w:val="20"/>
        </w:rPr>
        <w:t>RECELL units; and (ii) emergency preparedness services.</w:t>
      </w:r>
      <w:r>
        <w:rPr>
          <w:rFonts w:ascii="Times New Roman" w:hAnsi="Times New Roman"/>
          <w:sz w:val="20"/>
        </w:rPr>
        <w:t xml:space="preserve"> </w:t>
      </w:r>
      <w:r>
        <w:rPr>
          <w:rFonts w:ascii="Times New Roman;serif" w:hAnsi="Times New Roman;serif"/>
          <w:b w:val="false"/>
          <w:sz w:val="20"/>
        </w:rPr>
        <w:t>The Company’s performance obligations are either satisfied at a point in time or over time as services are provided. The product procurement performance obligation is satisfied at a point in time, upon transfer of control of the product. RECELL units that have been delivered to BARDA have a product replacement obligation at no</w:t>
      </w:r>
      <w:r>
        <w:rPr>
          <w:rFonts w:ascii="Times New Roman" w:hAnsi="Times New Roman"/>
          <w:sz w:val="20"/>
        </w:rPr>
        <w:t xml:space="preserve"> </w:t>
      </w:r>
      <w:r>
        <w:rPr>
          <w:rFonts w:ascii="Times New Roman;serif" w:hAnsi="Times New Roman;serif"/>
          <w:b w:val="false"/>
          <w:sz w:val="20"/>
        </w:rPr>
        <w:t>cost to BARDA due to the product’s limited shelf-life. The estimated cost of the expired inventory over the term of the contract is recognized on a per unit basis at the time of delivery. The liability is released upon replacement of the product along with a corresponding reduction to inventory. The Company has estimated deferred cost of approximately $130,000</w:t>
      </w:r>
      <w:r>
        <w:rPr>
          <w:rFonts w:ascii="Times New Roman" w:hAnsi="Times New Roman"/>
          <w:sz w:val="20"/>
        </w:rPr>
        <w:t xml:space="preserve"> </w:t>
      </w:r>
      <w:r>
        <w:rPr>
          <w:rFonts w:ascii="Times New Roman;serif" w:hAnsi="Times New Roman;serif"/>
          <w:b w:val="false"/>
          <w:sz w:val="20"/>
        </w:rPr>
        <w:t>and $194,000</w:t>
      </w:r>
      <w:r>
        <w:rPr>
          <w:rFonts w:ascii="Times New Roman" w:hAnsi="Times New Roman"/>
          <w:sz w:val="20"/>
        </w:rPr>
        <w:t xml:space="preserve"> </w:t>
      </w:r>
      <w:r>
        <w:rPr>
          <w:rFonts w:ascii="Times New Roman;serif" w:hAnsi="Times New Roman;serif"/>
          <w:b w:val="false"/>
          <w:sz w:val="20"/>
        </w:rPr>
        <w:t>as of June 30, 2023 and December 31, 2022, respectively, for the rotation cost of the product and are included Other current liabilities in the Consolidated Balance Sheets. The emergency preparedness services performance obligation is satisfied over time. Revenue for the emergency deployment will be recognized on a straight-line basis during the term of the contract as services are consumed over time. Services recognized for the three-months ended June 30, 2023 and 2022, were $67,000</w:t>
      </w:r>
      <w:r>
        <w:rPr>
          <w:rFonts w:ascii="Times New Roman" w:hAnsi="Times New Roman"/>
          <w:sz w:val="20"/>
        </w:rPr>
        <w:t xml:space="preserve"> </w:t>
      </w:r>
      <w:r>
        <w:rPr>
          <w:rFonts w:ascii="Times New Roman;serif" w:hAnsi="Times New Roman;serif"/>
          <w:b w:val="false"/>
          <w:sz w:val="20"/>
        </w:rPr>
        <w:t>and $93,000, respectively. Services recognized for the six-months ended June 30, 2023 and 2022, were $160,000</w:t>
      </w:r>
      <w:r>
        <w:rPr>
          <w:rFonts w:ascii="Times New Roman" w:hAnsi="Times New Roman"/>
          <w:sz w:val="20"/>
        </w:rPr>
        <w:t xml:space="preserve"> </w:t>
      </w:r>
      <w:r>
        <w:rPr>
          <w:rFonts w:ascii="Times New Roman;serif" w:hAnsi="Times New Roman;serif"/>
          <w:b w:val="false"/>
          <w:sz w:val="20"/>
        </w:rPr>
        <w:t>and $186,000, respectively. Services are included in Revenues within the Consolidated Statements of Operations. Contract costs to fulfill the performance obligation that are incremental and are expected to be recovered are capitalized and amortized on a straight-line basis over the term of the contract. As of June 30, 2023 and December 31, 2022, contract costs of $126,000</w:t>
      </w:r>
      <w:r>
        <w:rPr>
          <w:rFonts w:ascii="Times New Roman" w:hAnsi="Times New Roman"/>
          <w:sz w:val="20"/>
        </w:rPr>
        <w:t xml:space="preserve"> </w:t>
      </w:r>
      <w:r>
        <w:rPr>
          <w:rFonts w:ascii="Times New Roman;serif" w:hAnsi="Times New Roman;serif"/>
          <w:b w:val="false"/>
          <w:sz w:val="20"/>
        </w:rPr>
        <w:t>and $252,000</w:t>
      </w:r>
      <w:r>
        <w:rPr>
          <w:rFonts w:ascii="Times New Roman" w:hAnsi="Times New Roman"/>
          <w:sz w:val="20"/>
        </w:rPr>
        <w:t xml:space="preserve"> </w:t>
      </w:r>
      <w:r>
        <w:rPr>
          <w:rFonts w:ascii="Times New Roman;serif" w:hAnsi="Times New Roman;serif"/>
          <w:b w:val="false"/>
          <w:sz w:val="20"/>
        </w:rPr>
        <w:t>are included in Prepaids and other current assets in the Consolidated Balance Sheets.</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Remaining Performance Obligations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Revenues from remaining performance obligations are calculated as the dollar value of the remaining performance obligations on executed contracts. The estimated revenue expected to be recognized in the future related to performance obligations that are unsatisfied (or partially unsatisfied) pursuant to the Company’s existing customer agreements is $557,000</w:t>
      </w:r>
      <w:r>
        <w:rPr>
          <w:rFonts w:ascii="Times New Roman" w:hAnsi="Times New Roman"/>
          <w:sz w:val="20"/>
        </w:rPr>
        <w:t xml:space="preserve"> </w:t>
      </w:r>
      <w:r>
        <w:rPr>
          <w:rFonts w:ascii="Times New Roman;serif" w:hAnsi="Times New Roman;serif"/>
          <w:b w:val="false"/>
          <w:sz w:val="20"/>
        </w:rPr>
        <w:t>and $698,000</w:t>
      </w:r>
      <w:r>
        <w:rPr>
          <w:rFonts w:ascii="Times New Roman" w:hAnsi="Times New Roman"/>
          <w:sz w:val="20"/>
        </w:rPr>
        <w:t xml:space="preserve"> </w:t>
      </w:r>
      <w:r>
        <w:rPr>
          <w:rFonts w:ascii="Times New Roman;serif" w:hAnsi="Times New Roman;serif"/>
          <w:b w:val="false"/>
          <w:sz w:val="20"/>
        </w:rPr>
        <w:t>as of June 30, 2023 and December 31, 2022, respectively. Approximately $149,000</w:t>
      </w:r>
      <w:r>
        <w:rPr>
          <w:rFonts w:ascii="Times New Roman" w:hAnsi="Times New Roman"/>
          <w:sz w:val="20"/>
        </w:rPr>
        <w:t xml:space="preserve"> </w:t>
      </w:r>
      <w:r>
        <w:rPr>
          <w:rFonts w:ascii="Times New Roman;serif" w:hAnsi="Times New Roman;serif"/>
          <w:b w:val="false"/>
          <w:sz w:val="20"/>
        </w:rPr>
        <w:t>as of June 30, 2023 and $274,000</w:t>
      </w:r>
      <w:r>
        <w:rPr>
          <w:rFonts w:ascii="Times New Roman" w:hAnsi="Times New Roman"/>
          <w:sz w:val="20"/>
        </w:rPr>
        <w:t xml:space="preserve"> </w:t>
      </w:r>
      <w:r>
        <w:rPr>
          <w:rFonts w:ascii="Times New Roman;serif" w:hAnsi="Times New Roman;serif"/>
          <w:b w:val="false"/>
          <w:sz w:val="20"/>
        </w:rPr>
        <w:t>as of December 31, 2022, of the total balance relates to our July 2020 contract with BARDA for the purchase, delivery and storage of RECELL Systems for emergency response preparedness for a period of three years. The Company expects to recognize these amounts as services are provided to BARDA. We are contracted to manage this inventory of product until the federal government requests shipment or at contract termination on December 31, 2023. The remaining balance of $408,000</w:t>
      </w:r>
      <w:r>
        <w:rPr>
          <w:rFonts w:ascii="Times New Roman" w:hAnsi="Times New Roman"/>
          <w:sz w:val="20"/>
        </w:rPr>
        <w:t xml:space="preserve"> </w:t>
      </w:r>
      <w:r>
        <w:rPr>
          <w:rFonts w:ascii="Times New Roman;serif" w:hAnsi="Times New Roman;serif"/>
          <w:b w:val="false"/>
          <w:sz w:val="20"/>
        </w:rPr>
        <w:t>and $424,000</w:t>
      </w:r>
      <w:r>
        <w:rPr>
          <w:rFonts w:ascii="Times New Roman" w:hAnsi="Times New Roman"/>
          <w:sz w:val="20"/>
        </w:rPr>
        <w:t xml:space="preserve"> </w:t>
      </w:r>
      <w:r>
        <w:rPr>
          <w:rFonts w:ascii="Times New Roman;serif" w:hAnsi="Times New Roman;serif"/>
          <w:b w:val="false"/>
          <w:sz w:val="20"/>
        </w:rPr>
        <w:t>as of June 30, 2023 and December 31, 2022, respectively, relate to our contract with COSMOTEC. The Company expects to recognize these amounts as revenue on a straight-line basis over the term of the contract with COSMOTEC.</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Variable Consideration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Company evaluates its contracts with customers for forms of variable consideration, which may require an adjustment to the transaction price based on their estimated impact. For commercial customers, revenue from the sale of goods is recognized net of volume discounts. The Company uses the expected value method when estimating variable consideration. Revenue is only recognized to the extent that it is probable that a significant reversal will not occur. Variable consideration under the BARDA contract is not material to the Consolidated Financial Statements.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Contract Assets and Contract Liabilities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Contract assets include amounts related to the Company’s contractual right to consideration for both completed and partially completed performance for which the Company does not have the right to payment. As of the period ended June 30, 2023 and December 31, 2022, the Company does not have any contract assets.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Contract liabilities are recorded when the Company receives payment prior to satisfying its obligation to transfer goods to a customer. The Company had $557,000</w:t>
      </w:r>
      <w:r>
        <w:rPr>
          <w:rFonts w:ascii="Times New Roman" w:hAnsi="Times New Roman"/>
          <w:sz w:val="20"/>
        </w:rPr>
        <w:t xml:space="preserve"> </w:t>
      </w:r>
      <w:r>
        <w:rPr>
          <w:rFonts w:ascii="Times New Roman;serif" w:hAnsi="Times New Roman;serif"/>
          <w:b w:val="false"/>
          <w:sz w:val="20"/>
        </w:rPr>
        <w:t>and $698,000</w:t>
      </w:r>
      <w:r>
        <w:rPr>
          <w:rFonts w:ascii="Times New Roman" w:hAnsi="Times New Roman"/>
          <w:sz w:val="20"/>
        </w:rPr>
        <w:t xml:space="preserve"> </w:t>
      </w:r>
      <w:r>
        <w:rPr>
          <w:rFonts w:ascii="Times New Roman;serif" w:hAnsi="Times New Roman;serif"/>
          <w:b w:val="false"/>
          <w:sz w:val="20"/>
        </w:rPr>
        <w:t>of contract liabilities as of June 30, 2023 and December 31, 2022, respectively. As of June 30, 2023 and December 31, 2022, a total of $183,000</w:t>
      </w:r>
      <w:r>
        <w:rPr>
          <w:rFonts w:ascii="Times New Roman" w:hAnsi="Times New Roman"/>
          <w:sz w:val="20"/>
        </w:rPr>
        <w:t xml:space="preserve"> </w:t>
      </w:r>
      <w:r>
        <w:rPr>
          <w:rFonts w:ascii="Times New Roman;serif" w:hAnsi="Times New Roman;serif"/>
          <w:b w:val="false"/>
          <w:sz w:val="20"/>
        </w:rPr>
        <w:t>and $0, respectively, was included in Other current liabilities and $374,000</w:t>
      </w:r>
      <w:r>
        <w:rPr>
          <w:rFonts w:ascii="Times New Roman" w:hAnsi="Times New Roman"/>
          <w:sz w:val="20"/>
        </w:rPr>
        <w:t xml:space="preserve"> </w:t>
      </w:r>
      <w:r>
        <w:rPr>
          <w:rFonts w:ascii="Times New Roman;serif" w:hAnsi="Times New Roman;serif"/>
          <w:b w:val="false"/>
          <w:sz w:val="20"/>
        </w:rPr>
        <w:t>and $698,000, respectively, in Contract liabilities in the Consolidated Balance Sheets. The balance relates to the unsatisfied performance obligation for emergency preparedness under the BARDA and amounts received from COSMOTEC. The Company recognized $67,000</w:t>
      </w:r>
      <w:r>
        <w:rPr>
          <w:rFonts w:ascii="Times New Roman" w:hAnsi="Times New Roman"/>
          <w:sz w:val="20"/>
        </w:rPr>
        <w:t xml:space="preserve"> </w:t>
      </w:r>
      <w:r>
        <w:rPr>
          <w:rFonts w:ascii="Times New Roman;serif" w:hAnsi="Times New Roman;serif"/>
          <w:b w:val="false"/>
          <w:sz w:val="20"/>
        </w:rPr>
        <w:t>and $93,000</w:t>
      </w:r>
      <w:r>
        <w:rPr>
          <w:rFonts w:ascii="Times New Roman" w:hAnsi="Times New Roman"/>
          <w:sz w:val="20"/>
        </w:rPr>
        <w:t xml:space="preserve"> </w:t>
      </w:r>
      <w:r>
        <w:rPr>
          <w:rFonts w:ascii="Times New Roman;serif" w:hAnsi="Times New Roman;serif"/>
          <w:b w:val="false"/>
          <w:sz w:val="20"/>
        </w:rPr>
        <w:t>of revenue from BARDA for amounts included in the beginning balance of contract liabilities for the three-months ended June 30, 2023 and 2022, respectively, and $160,000</w:t>
      </w:r>
      <w:r>
        <w:rPr>
          <w:rFonts w:ascii="Times New Roman" w:hAnsi="Times New Roman"/>
          <w:sz w:val="20"/>
        </w:rPr>
        <w:t xml:space="preserve"> </w:t>
      </w:r>
      <w:r>
        <w:rPr>
          <w:rFonts w:ascii="Times New Roman;serif" w:hAnsi="Times New Roman;serif"/>
          <w:b w:val="false"/>
          <w:sz w:val="20"/>
        </w:rPr>
        <w:t>and $186,000</w:t>
      </w:r>
      <w:r>
        <w:rPr>
          <w:rFonts w:ascii="Times New Roman" w:hAnsi="Times New Roman"/>
          <w:sz w:val="20"/>
        </w:rPr>
        <w:t xml:space="preserve"> </w:t>
      </w:r>
      <w:r>
        <w:rPr>
          <w:rFonts w:ascii="Times New Roman;serif" w:hAnsi="Times New Roman;serif"/>
          <w:b w:val="false"/>
          <w:sz w:val="20"/>
        </w:rPr>
        <w:t>for the six-months ended June 30, 2023 and 2022, respectively. The Company recognized $8,000</w:t>
      </w:r>
      <w:r>
        <w:rPr>
          <w:rFonts w:ascii="Times New Roman" w:hAnsi="Times New Roman"/>
          <w:sz w:val="20"/>
        </w:rPr>
        <w:t xml:space="preserve"> </w:t>
      </w:r>
      <w:r>
        <w:rPr>
          <w:rFonts w:ascii="Times New Roman;serif" w:hAnsi="Times New Roman;serif"/>
          <w:b w:val="false"/>
          <w:sz w:val="20"/>
        </w:rPr>
        <w:t>and $17,000</w:t>
      </w:r>
      <w:r>
        <w:rPr>
          <w:rFonts w:ascii="Times New Roman" w:hAnsi="Times New Roman"/>
          <w:sz w:val="20"/>
        </w:rPr>
        <w:t xml:space="preserve"> </w:t>
      </w:r>
      <w:r>
        <w:rPr>
          <w:rFonts w:ascii="Times New Roman;serif" w:hAnsi="Times New Roman;serif"/>
          <w:b w:val="false"/>
          <w:sz w:val="20"/>
        </w:rPr>
        <w:t>of revenue from COSMOTEC for amounts included in the beginning balance of contract liabilities for the three-months and six-months ended June 30, 2023. The Company did not recognize any the amounts of revenue included in the beginning balance of contract liabilities for the three-months and six-months ended June 30, 2022.</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Cost to Obtain and Fulfill a Contract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Commercial contract fulfillment costs include commissions and shipping expenses. The Company has opted to immediately expense the incremental cost of obtaining a contract when the underlying related asset would have been amortized over one year or less. The Company generally does not incur costs to obtain new contracts.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BARDA Contract Costs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Cost to fulfill the BARDA emergency preparedness performance obligation, which primarily consist of billed costs to BARDA incurred in connection with the emergency deployment services, are incremental and expected to be recovered. Costs are capitalized and amortized on a straight-line basis over the term of the contract. As of June 30, 2023, and December 31, 2022, the Company had $126,000</w:t>
      </w:r>
      <w:r>
        <w:rPr>
          <w:rFonts w:ascii="Times New Roman" w:hAnsi="Times New Roman"/>
          <w:sz w:val="20"/>
        </w:rPr>
        <w:t xml:space="preserve"> </w:t>
      </w:r>
      <w:r>
        <w:rPr>
          <w:rFonts w:ascii="Times New Roman;serif" w:hAnsi="Times New Roman;serif"/>
          <w:b w:val="false"/>
          <w:sz w:val="20"/>
        </w:rPr>
        <w:t>and $252,000</w:t>
      </w:r>
      <w:r>
        <w:rPr>
          <w:rFonts w:ascii="Times New Roman" w:hAnsi="Times New Roman"/>
          <w:sz w:val="20"/>
        </w:rPr>
        <w:t xml:space="preserve"> </w:t>
      </w:r>
      <w:r>
        <w:rPr>
          <w:rFonts w:ascii="Times New Roman;serif" w:hAnsi="Times New Roman;serif"/>
          <w:b w:val="false"/>
          <w:sz w:val="20"/>
        </w:rPr>
        <w:t>of contracts costs included in Prepaids and other current assets in the Consolidated Balance Sheets. Amortization expense related to deferred contract costs was $85,000</w:t>
      </w:r>
      <w:r>
        <w:rPr>
          <w:rFonts w:ascii="Times New Roman" w:hAnsi="Times New Roman"/>
          <w:sz w:val="20"/>
        </w:rPr>
        <w:t xml:space="preserve"> </w:t>
      </w:r>
      <w:r>
        <w:rPr>
          <w:rFonts w:ascii="Times New Roman;serif" w:hAnsi="Times New Roman;serif"/>
          <w:b w:val="false"/>
          <w:sz w:val="20"/>
        </w:rPr>
        <w:t>and $84,000</w:t>
      </w:r>
      <w:r>
        <w:rPr>
          <w:rFonts w:ascii="Times New Roman" w:hAnsi="Times New Roman"/>
          <w:sz w:val="20"/>
        </w:rPr>
        <w:t xml:space="preserve"> </w:t>
      </w:r>
      <w:r>
        <w:rPr>
          <w:rFonts w:ascii="Times New Roman;serif" w:hAnsi="Times New Roman;serif"/>
          <w:b w:val="false"/>
          <w:sz w:val="20"/>
        </w:rPr>
        <w:t>for the three-months ended June 30, 2023 and 2022, respectively, and $170,000</w:t>
      </w:r>
      <w:r>
        <w:rPr>
          <w:rFonts w:ascii="Times New Roman" w:hAnsi="Times New Roman"/>
          <w:sz w:val="20"/>
        </w:rPr>
        <w:t xml:space="preserve"> </w:t>
      </w:r>
      <w:r>
        <w:rPr>
          <w:rFonts w:ascii="Times New Roman;serif" w:hAnsi="Times New Roman;serif"/>
          <w:b w:val="false"/>
          <w:sz w:val="20"/>
        </w:rPr>
        <w:t>and $169,000</w:t>
      </w:r>
      <w:r>
        <w:rPr>
          <w:rFonts w:ascii="Times New Roman" w:hAnsi="Times New Roman"/>
          <w:sz w:val="20"/>
        </w:rPr>
        <w:t xml:space="preserve"> </w:t>
      </w:r>
      <w:r>
        <w:rPr>
          <w:rFonts w:ascii="Times New Roman;serif" w:hAnsi="Times New Roman;serif"/>
          <w:b w:val="false"/>
          <w:sz w:val="20"/>
        </w:rPr>
        <w:t>for the six-months ended June 30, 2023 and 2022, respectively, and are classified as Cost of sales on the accompanying Consolidated Statements of Operations. There was no</w:t>
      </w:r>
      <w:r>
        <w:rPr>
          <w:rFonts w:ascii="Times New Roman" w:hAnsi="Times New Roman"/>
          <w:sz w:val="20"/>
        </w:rPr>
        <w:t xml:space="preserve"> </w:t>
      </w:r>
      <w:r>
        <w:rPr>
          <w:rFonts w:ascii="Times New Roman;serif" w:hAnsi="Times New Roman;serif"/>
          <w:b w:val="false"/>
          <w:sz w:val="20"/>
        </w:rPr>
        <w:t>impairment loss in relation to deferred contract costs during the three-months and six-months ended June 30, 2023, and 2022.</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Disaggregated Revenue</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Company disaggregates revenue from contracts with customers into geographical regions and by customer type. As noted in the segment footnote, the Company’s business consists of one reporting segment. A reconciliation of disaggregated revenue by geographical region and customer type is provided in Segment Note 11.</w:t>
      </w:r>
    </w:p>
    <w:p>
      <w:pPr>
        <w:pStyle w:val="TextBody"/>
        <w:bidi w:val="0"/>
        <w:spacing w:before="360" w:after="0"/>
        <w:jc w:val="left"/>
        <w:rPr>
          <w:rFonts w:ascii="Times New Roman" w:hAnsi="Times New Roman"/>
          <w:sz w:val="20"/>
        </w:rPr>
      </w:pPr>
      <w:r>
        <w:rPr>
          <w:rFonts w:ascii="Times New Roman;serif" w:hAnsi="Times New Roman;serif"/>
          <w:b/>
          <w:sz w:val="20"/>
        </w:rPr>
        <w:t>6. Leases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During February 2023, the Company remeasured the lease liability for an office lease due to a change in the lease term. As a result of the remeasurement of the lease liability, there was an increase of approximately $1.1</w:t>
      </w:r>
      <w:r>
        <w:rPr>
          <w:rFonts w:ascii="Times New Roman" w:hAnsi="Times New Roman"/>
          <w:sz w:val="20"/>
        </w:rPr>
        <w:t xml:space="preserve"> </w:t>
      </w:r>
      <w:r>
        <w:rPr>
          <w:rFonts w:ascii="Times New Roman;serif" w:hAnsi="Times New Roman;serif"/>
          <w:b w:val="false"/>
          <w:sz w:val="20"/>
        </w:rPr>
        <w:t>million to the operating lease ROU assets and operating lease liabilities. There was no impact on earnings as a result of the lease modification.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following table sets forth the Company’s operating lease expenses which are included in General and administrative expenses in the Consolidated Statements of Operations (in thousands):</w:t>
      </w:r>
      <w:r>
        <w:rPr>
          <w:rFonts w:ascii="Times New Roman" w:hAnsi="Times New Roman"/>
          <w:sz w:val="20"/>
        </w:rPr>
        <w:t xml:space="preserve"> </w:t>
      </w:r>
    </w:p>
    <w:p>
      <w:pPr>
        <w:pStyle w:val="TextBody"/>
        <w:bidi w:val="0"/>
        <w:spacing w:before="0" w:after="0"/>
        <w:jc w:val="left"/>
        <w:rPr/>
      </w:pPr>
      <w:r>
        <w:rPr/>
        <w:t> </w:t>
      </w:r>
    </w:p>
    <w:tbl>
      <w:tblPr>
        <w:tblW w:w="7904" w:type="dxa"/>
        <w:jc w:val="left"/>
        <w:tblInd w:w="0" w:type="dxa"/>
        <w:tblLayout w:type="fixed"/>
        <w:tblCellMar>
          <w:top w:w="28" w:type="dxa"/>
          <w:left w:w="28" w:type="dxa"/>
          <w:bottom w:w="28" w:type="dxa"/>
          <w:right w:w="28" w:type="dxa"/>
        </w:tblCellMar>
      </w:tblPr>
      <w:tblGrid>
        <w:gridCol w:w="1756"/>
        <w:gridCol w:w="146"/>
        <w:gridCol w:w="425"/>
        <w:gridCol w:w="850"/>
        <w:gridCol w:w="195"/>
        <w:gridCol w:w="425"/>
        <w:gridCol w:w="850"/>
        <w:gridCol w:w="146"/>
        <w:gridCol w:w="426"/>
        <w:gridCol w:w="849"/>
        <w:gridCol w:w="170"/>
        <w:gridCol w:w="426"/>
        <w:gridCol w:w="849"/>
        <w:gridCol w:w="39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745"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20"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Six-Months Ended</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cost</w:t>
            </w:r>
          </w:p>
        </w:tc>
        <w:tc>
          <w:tcPr>
            <w:tcW w:w="146" w:type="dxa"/>
            <w:tcBorders/>
            <w:vAlign w:val="center"/>
          </w:tcPr>
          <w:p>
            <w:pPr>
              <w:pStyle w:val="TableContents"/>
              <w:bidi w:val="0"/>
              <w:spacing w:before="0" w:after="0"/>
              <w:ind w:left="0" w:right="0" w:hanging="0"/>
              <w:jc w:val="left"/>
              <w:rPr/>
            </w:pPr>
            <w:r>
              <w:rPr/>
              <w:t> </w:t>
            </w:r>
          </w:p>
        </w:tc>
        <w:tc>
          <w:tcPr>
            <w:tcW w:w="4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w:t>
            </w:r>
          </w:p>
        </w:tc>
        <w:tc>
          <w:tcPr>
            <w:tcW w:w="195" w:type="dxa"/>
            <w:tcBorders/>
            <w:vAlign w:val="center"/>
          </w:tcPr>
          <w:p>
            <w:pPr>
              <w:pStyle w:val="TableContents"/>
              <w:bidi w:val="0"/>
              <w:spacing w:before="0" w:after="0"/>
              <w:ind w:left="0" w:right="0" w:hanging="0"/>
              <w:jc w:val="left"/>
              <w:rPr/>
            </w:pPr>
            <w:r>
              <w:rPr/>
              <w:t> </w:t>
            </w:r>
          </w:p>
        </w:tc>
        <w:tc>
          <w:tcPr>
            <w:tcW w:w="4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146" w:type="dxa"/>
            <w:tcBorders/>
            <w:vAlign w:val="center"/>
          </w:tcPr>
          <w:p>
            <w:pPr>
              <w:pStyle w:val="TableContents"/>
              <w:bidi w:val="0"/>
              <w:spacing w:before="0" w:after="0"/>
              <w:ind w:left="0" w:right="0" w:hanging="0"/>
              <w:jc w:val="left"/>
              <w:rPr/>
            </w:pPr>
            <w:r>
              <w:rPr/>
              <w:t> </w:t>
            </w:r>
          </w:p>
        </w:tc>
        <w:tc>
          <w:tcPr>
            <w:tcW w:w="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w:t>
            </w:r>
          </w:p>
        </w:tc>
        <w:tc>
          <w:tcPr>
            <w:tcW w:w="170" w:type="dxa"/>
            <w:tcBorders/>
            <w:vAlign w:val="center"/>
          </w:tcPr>
          <w:p>
            <w:pPr>
              <w:pStyle w:val="TableContents"/>
              <w:bidi w:val="0"/>
              <w:spacing w:before="0" w:after="0"/>
              <w:ind w:left="0" w:right="0" w:hanging="0"/>
              <w:jc w:val="left"/>
              <w:rPr/>
            </w:pPr>
            <w:r>
              <w:rPr/>
              <w:t> </w:t>
            </w:r>
          </w:p>
        </w:tc>
        <w:tc>
          <w:tcPr>
            <w:tcW w:w="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w:t>
            </w:r>
          </w:p>
        </w:tc>
        <w:tc>
          <w:tcPr>
            <w:tcW w:w="391" w:type="dxa"/>
            <w:tcBorders/>
            <w:vAlign w:val="center"/>
          </w:tcPr>
          <w:p>
            <w:pPr>
              <w:pStyle w:val="TableContents"/>
              <w:bidi w:val="0"/>
              <w:spacing w:before="0" w:after="0"/>
              <w:ind w:left="0" w:right="0" w:hanging="0"/>
              <w:jc w:val="left"/>
              <w:rPr/>
            </w:pPr>
            <w:r>
              <w:rPr/>
              <w:t> </w:t>
            </w:r>
          </w:p>
        </w:tc>
      </w:tr>
      <w:tr>
        <w:trPr/>
        <w:tc>
          <w:tcPr>
            <w:tcW w:w="17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Variable lease cost</w:t>
            </w:r>
          </w:p>
        </w:tc>
        <w:tc>
          <w:tcPr>
            <w:tcW w:w="146" w:type="dxa"/>
            <w:tcBorders/>
            <w:vAlign w:val="center"/>
          </w:tcPr>
          <w:p>
            <w:pPr>
              <w:pStyle w:val="TableContents"/>
              <w:bidi w:val="0"/>
              <w:spacing w:before="0" w:after="0"/>
              <w:ind w:left="0" w:right="0" w:hanging="0"/>
              <w:jc w:val="left"/>
              <w:rPr/>
            </w:pPr>
            <w:r>
              <w:rPr/>
              <w:t> </w:t>
            </w:r>
          </w:p>
        </w:tc>
        <w:tc>
          <w:tcPr>
            <w:tcW w:w="4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7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lease cost</w:t>
            </w:r>
          </w:p>
        </w:tc>
        <w:tc>
          <w:tcPr>
            <w:tcW w:w="146" w:type="dxa"/>
            <w:tcBorders/>
            <w:vAlign w:val="center"/>
          </w:tcPr>
          <w:p>
            <w:pPr>
              <w:pStyle w:val="TableContents"/>
              <w:bidi w:val="0"/>
              <w:spacing w:before="0" w:after="0"/>
              <w:ind w:left="0" w:right="0" w:hanging="0"/>
              <w:jc w:val="left"/>
              <w:rPr/>
            </w:pPr>
            <w:r>
              <w:rPr/>
              <w:t> </w:t>
            </w:r>
          </w:p>
        </w:tc>
        <w:tc>
          <w:tcPr>
            <w:tcW w:w="4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w:t>
            </w:r>
          </w:p>
        </w:tc>
        <w:tc>
          <w:tcPr>
            <w:tcW w:w="1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421</w:t>
            </w:r>
          </w:p>
        </w:tc>
        <w:tc>
          <w:tcPr>
            <w:tcW w:w="1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Supplemental cash flow information related to Operating leases for the three-months and six-months ended June 30, 2023 and 2022 was as follows (in thousands):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710"/>
        <w:gridCol w:w="146"/>
        <w:gridCol w:w="372"/>
        <w:gridCol w:w="744"/>
        <w:gridCol w:w="182"/>
        <w:gridCol w:w="372"/>
        <w:gridCol w:w="744"/>
        <w:gridCol w:w="146"/>
        <w:gridCol w:w="372"/>
        <w:gridCol w:w="743"/>
        <w:gridCol w:w="164"/>
        <w:gridCol w:w="372"/>
        <w:gridCol w:w="743"/>
        <w:gridCol w:w="395"/>
      </w:tblGrid>
      <w:tr>
        <w:trPr/>
        <w:tc>
          <w:tcPr>
            <w:tcW w:w="4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47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4"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394"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Six-Months Ended</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2022</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amounts included in the measurement of lease liabilities:</w:t>
            </w:r>
          </w:p>
        </w:tc>
        <w:tc>
          <w:tcPr>
            <w:tcW w:w="146" w:type="dxa"/>
            <w:tcBorders/>
            <w:vAlign w:val="center"/>
          </w:tcPr>
          <w:p>
            <w:pPr>
              <w:pStyle w:val="TableContents"/>
              <w:bidi w:val="0"/>
              <w:spacing w:before="0" w:after="0"/>
              <w:ind w:left="0" w:right="0" w:hanging="0"/>
              <w:jc w:val="left"/>
              <w:rPr/>
            </w:pPr>
            <w:r>
              <w:rPr/>
              <w:t> </w:t>
            </w:r>
          </w:p>
        </w:tc>
        <w:tc>
          <w:tcPr>
            <w:tcW w:w="1116" w:type="dxa"/>
            <w:gridSpan w:val="2"/>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right"/>
              <w:rPr/>
            </w:pPr>
            <w:r>
              <w:rPr/>
              <w:t> </w:t>
            </w:r>
          </w:p>
        </w:tc>
        <w:tc>
          <w:tcPr>
            <w:tcW w:w="111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5" w:type="dxa"/>
            <w:gridSpan w:val="2"/>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1115" w:type="dxa"/>
            <w:gridSpan w:val="2"/>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firstLine="200"/>
              <w:jc w:val="left"/>
              <w:rPr/>
            </w:pPr>
            <w:r>
              <w:rPr/>
              <w:t> </w:t>
            </w:r>
          </w:p>
        </w:tc>
      </w:tr>
      <w:tr>
        <w:trPr/>
        <w:tc>
          <w:tcPr>
            <w:tcW w:w="471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cash outflows from operating leases</w:t>
            </w:r>
          </w:p>
        </w:tc>
        <w:tc>
          <w:tcPr>
            <w:tcW w:w="146" w:type="dxa"/>
            <w:tcBorders/>
            <w:vAlign w:val="center"/>
          </w:tcPr>
          <w:p>
            <w:pPr>
              <w:pStyle w:val="TableContents"/>
              <w:bidi w:val="0"/>
              <w:spacing w:before="0" w:after="0"/>
              <w:ind w:left="0" w:right="0" w:hanging="0"/>
              <w:jc w:val="left"/>
              <w:rPr/>
            </w:pPr>
            <w:r>
              <w:rPr/>
              <w:t> </w:t>
            </w:r>
          </w:p>
        </w:tc>
        <w:tc>
          <w:tcPr>
            <w:tcW w:w="3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w:t>
            </w:r>
          </w:p>
        </w:tc>
        <w:tc>
          <w:tcPr>
            <w:tcW w:w="182" w:type="dxa"/>
            <w:tcBorders/>
            <w:vAlign w:val="center"/>
          </w:tcPr>
          <w:p>
            <w:pPr>
              <w:pStyle w:val="TableContents"/>
              <w:bidi w:val="0"/>
              <w:spacing w:before="0" w:after="0"/>
              <w:ind w:left="0" w:right="0" w:hanging="0"/>
              <w:jc w:val="left"/>
              <w:rPr/>
            </w:pPr>
            <w:r>
              <w:rPr/>
              <w:t> </w:t>
            </w:r>
          </w:p>
        </w:tc>
        <w:tc>
          <w:tcPr>
            <w:tcW w:w="3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w:t>
            </w:r>
          </w:p>
        </w:tc>
        <w:tc>
          <w:tcPr>
            <w:tcW w:w="146" w:type="dxa"/>
            <w:tcBorders/>
            <w:vAlign w:val="center"/>
          </w:tcPr>
          <w:p>
            <w:pPr>
              <w:pStyle w:val="TableContents"/>
              <w:bidi w:val="0"/>
              <w:spacing w:before="0" w:after="0"/>
              <w:ind w:left="0" w:right="0" w:hanging="0"/>
              <w:jc w:val="left"/>
              <w:rPr/>
            </w:pPr>
            <w:r>
              <w:rPr/>
              <w:t> </w:t>
            </w:r>
          </w:p>
        </w:tc>
        <w:tc>
          <w:tcPr>
            <w:tcW w:w="3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w:t>
            </w:r>
          </w:p>
        </w:tc>
        <w:tc>
          <w:tcPr>
            <w:tcW w:w="164" w:type="dxa"/>
            <w:tcBorders/>
            <w:vAlign w:val="center"/>
          </w:tcPr>
          <w:p>
            <w:pPr>
              <w:pStyle w:val="TableContents"/>
              <w:bidi w:val="0"/>
              <w:spacing w:before="0" w:after="0"/>
              <w:ind w:left="0" w:right="0" w:hanging="0"/>
              <w:jc w:val="left"/>
              <w:rPr/>
            </w:pPr>
            <w:r>
              <w:rPr/>
              <w:t> </w:t>
            </w:r>
          </w:p>
        </w:tc>
        <w:tc>
          <w:tcPr>
            <w:tcW w:w="3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w:t>
            </w:r>
          </w:p>
        </w:tc>
        <w:tc>
          <w:tcPr>
            <w:tcW w:w="395"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Supplemental balance sheet information, as of June 30, 2023 and December 31, 2022, related to operating leases was as follows (in thousands, except for Operating lease weighted average remaining lease term and operating lease weighted average discount rate):</w:t>
      </w:r>
      <w:r>
        <w:rPr>
          <w:rFonts w:ascii="Times New Roman" w:hAnsi="Times New Roman"/>
          <w:sz w:val="20"/>
        </w:rPr>
        <w:t xml:space="preserve"> </w:t>
      </w:r>
    </w:p>
    <w:p>
      <w:pPr>
        <w:pStyle w:val="TextBody"/>
        <w:bidi w:val="0"/>
        <w:spacing w:before="40" w:after="0"/>
        <w:jc w:val="left"/>
        <w:rPr/>
      </w:pPr>
      <w:r>
        <w:rPr/>
        <w:t> </w:t>
      </w:r>
    </w:p>
    <w:tbl>
      <w:tblPr>
        <w:tblW w:w="8969" w:type="dxa"/>
        <w:jc w:val="left"/>
        <w:tblInd w:w="0" w:type="dxa"/>
        <w:tblLayout w:type="fixed"/>
        <w:tblCellMar>
          <w:top w:w="28" w:type="dxa"/>
          <w:left w:w="28" w:type="dxa"/>
          <w:bottom w:w="28" w:type="dxa"/>
          <w:right w:w="28" w:type="dxa"/>
        </w:tblCellMar>
      </w:tblPr>
      <w:tblGrid>
        <w:gridCol w:w="5161"/>
        <w:gridCol w:w="146"/>
        <w:gridCol w:w="344"/>
        <w:gridCol w:w="931"/>
        <w:gridCol w:w="271"/>
        <w:gridCol w:w="537"/>
        <w:gridCol w:w="1188"/>
        <w:gridCol w:w="391"/>
      </w:tblGrid>
      <w:tr>
        <w:trPr/>
        <w:tc>
          <w:tcPr>
            <w:tcW w:w="5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71"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1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Reported as:</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72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51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146" w:type="dxa"/>
            <w:tcBorders/>
            <w:vAlign w:val="center"/>
          </w:tcPr>
          <w:p>
            <w:pPr>
              <w:pStyle w:val="TableContents"/>
              <w:bidi w:val="0"/>
              <w:spacing w:before="0" w:after="0"/>
              <w:ind w:left="0" w:right="0" w:hanging="0"/>
              <w:jc w:val="left"/>
              <w:rPr/>
            </w:pPr>
            <w:r>
              <w:rPr/>
              <w:t> </w:t>
            </w:r>
          </w:p>
        </w:tc>
        <w:tc>
          <w:tcPr>
            <w:tcW w:w="3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1,651</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1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right-of-use assets</w:t>
            </w:r>
          </w:p>
        </w:tc>
        <w:tc>
          <w:tcPr>
            <w:tcW w:w="146" w:type="dxa"/>
            <w:tcBorders/>
            <w:vAlign w:val="center"/>
          </w:tcPr>
          <w:p>
            <w:pPr>
              <w:pStyle w:val="TableContents"/>
              <w:bidi w:val="0"/>
              <w:spacing w:before="0" w:after="0"/>
              <w:ind w:left="0" w:right="0" w:hanging="0"/>
              <w:jc w:val="left"/>
              <w:rPr/>
            </w:pPr>
            <w:r>
              <w:rPr/>
              <w:t> </w:t>
            </w:r>
          </w:p>
        </w:tc>
        <w:tc>
          <w:tcPr>
            <w:tcW w:w="3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1,651</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1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current liabilities:</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72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51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 short-term</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656</w:t>
            </w:r>
          </w:p>
        </w:tc>
        <w:tc>
          <w:tcPr>
            <w:tcW w:w="271"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w:t>
            </w:r>
          </w:p>
        </w:tc>
        <w:tc>
          <w:tcPr>
            <w:tcW w:w="391" w:type="dxa"/>
            <w:tcBorders/>
            <w:vAlign w:val="center"/>
          </w:tcPr>
          <w:p>
            <w:pPr>
              <w:pStyle w:val="TableContents"/>
              <w:bidi w:val="0"/>
              <w:spacing w:before="0" w:after="0"/>
              <w:ind w:left="0" w:right="0" w:hanging="0"/>
              <w:jc w:val="left"/>
              <w:rPr/>
            </w:pPr>
            <w:r>
              <w:rPr/>
              <w:t> </w:t>
            </w:r>
          </w:p>
        </w:tc>
      </w:tr>
      <w:tr>
        <w:trPr/>
        <w:tc>
          <w:tcPr>
            <w:tcW w:w="51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long term</w:t>
            </w:r>
          </w:p>
        </w:tc>
        <w:tc>
          <w:tcPr>
            <w:tcW w:w="146" w:type="dxa"/>
            <w:tcBorders/>
            <w:vAlign w:val="center"/>
          </w:tcPr>
          <w:p>
            <w:pPr>
              <w:pStyle w:val="TableContents"/>
              <w:bidi w:val="0"/>
              <w:spacing w:before="0" w:after="0"/>
              <w:ind w:left="0" w:right="0" w:hanging="0"/>
              <w:jc w:val="left"/>
              <w:rPr/>
            </w:pPr>
            <w:r>
              <w:rPr/>
              <w:t> </w:t>
            </w:r>
          </w:p>
        </w:tc>
        <w:tc>
          <w:tcPr>
            <w:tcW w:w="3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1,047</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1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operating lease liabilities</w:t>
            </w:r>
          </w:p>
        </w:tc>
        <w:tc>
          <w:tcPr>
            <w:tcW w:w="146" w:type="dxa"/>
            <w:tcBorders/>
            <w:vAlign w:val="center"/>
          </w:tcPr>
          <w:p>
            <w:pPr>
              <w:pStyle w:val="TableContents"/>
              <w:bidi w:val="0"/>
              <w:spacing w:before="0" w:after="0"/>
              <w:ind w:left="0" w:right="0" w:hanging="0"/>
              <w:jc w:val="left"/>
              <w:rPr/>
            </w:pPr>
            <w:r>
              <w:rPr/>
              <w:t> </w:t>
            </w:r>
          </w:p>
        </w:tc>
        <w:tc>
          <w:tcPr>
            <w:tcW w:w="3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1,703</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1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weighted average remaining lease term (years)</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w:t>
            </w:r>
          </w:p>
        </w:tc>
        <w:tc>
          <w:tcPr>
            <w:tcW w:w="271"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w:t>
            </w:r>
          </w:p>
        </w:tc>
        <w:tc>
          <w:tcPr>
            <w:tcW w:w="391" w:type="dxa"/>
            <w:tcBorders/>
            <w:vAlign w:val="center"/>
          </w:tcPr>
          <w:p>
            <w:pPr>
              <w:pStyle w:val="TableContents"/>
              <w:bidi w:val="0"/>
              <w:spacing w:before="0" w:after="0"/>
              <w:ind w:left="0" w:right="0" w:hanging="0"/>
              <w:jc w:val="left"/>
              <w:rPr/>
            </w:pPr>
            <w:r>
              <w:rPr/>
              <w:t> </w:t>
            </w:r>
          </w:p>
        </w:tc>
      </w:tr>
      <w:tr>
        <w:trPr/>
        <w:tc>
          <w:tcPr>
            <w:tcW w:w="51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weighted average discount rate</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7"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6.71</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As of June 30, 2023, maturities of the Company’s operating lease liabilities are as follows (in thousands):</w:t>
      </w:r>
      <w:r>
        <w:rPr>
          <w:rFonts w:ascii="Times New Roman" w:hAnsi="Times New Roman"/>
          <w:sz w:val="20"/>
        </w:rPr>
        <w:t xml:space="preserve"> </w:t>
      </w:r>
    </w:p>
    <w:p>
      <w:pPr>
        <w:pStyle w:val="TextBody"/>
        <w:bidi w:val="0"/>
        <w:spacing w:before="40" w:after="0"/>
        <w:jc w:val="left"/>
        <w:rPr/>
      </w:pPr>
      <w:r>
        <w:rPr/>
        <w:t> </w:t>
      </w:r>
    </w:p>
    <w:tbl>
      <w:tblPr>
        <w:tblW w:w="4749" w:type="dxa"/>
        <w:jc w:val="left"/>
        <w:tblInd w:w="0" w:type="dxa"/>
        <w:tblLayout w:type="fixed"/>
        <w:tblCellMar>
          <w:top w:w="28" w:type="dxa"/>
          <w:left w:w="28" w:type="dxa"/>
          <w:bottom w:w="28" w:type="dxa"/>
          <w:right w:w="28" w:type="dxa"/>
        </w:tblCellMar>
      </w:tblPr>
      <w:tblGrid>
        <w:gridCol w:w="2656"/>
        <w:gridCol w:w="146"/>
        <w:gridCol w:w="146"/>
        <w:gridCol w:w="428"/>
        <w:gridCol w:w="1162"/>
        <w:gridCol w:w="2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Operating Leases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w:t>
            </w:r>
          </w:p>
        </w:tc>
        <w:tc>
          <w:tcPr>
            <w:tcW w:w="211"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28" w:type="dxa"/>
            <w:tcBorders/>
            <w:vAlign w:val="center"/>
          </w:tcPr>
          <w:p>
            <w:pPr>
              <w:pStyle w:val="TableContents"/>
              <w:bidi w:val="0"/>
              <w:spacing w:before="0" w:after="0"/>
              <w:ind w:left="0" w:right="0" w:hanging="0"/>
              <w:jc w:val="left"/>
              <w:rPr/>
            </w:pPr>
            <w:r>
              <w:rPr/>
              <w:t> </w:t>
            </w:r>
          </w:p>
        </w:tc>
        <w:tc>
          <w:tcPr>
            <w:tcW w:w="11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741</w:t>
            </w:r>
          </w:p>
        </w:tc>
        <w:tc>
          <w:tcPr>
            <w:tcW w:w="211"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left"/>
              <w:rPr/>
            </w:pPr>
            <w:r>
              <w:rPr/>
              <w:t> </w:t>
            </w:r>
          </w:p>
        </w:tc>
        <w:tc>
          <w:tcPr>
            <w:tcW w:w="11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441</w:t>
            </w:r>
          </w:p>
        </w:tc>
        <w:tc>
          <w:tcPr>
            <w:tcW w:w="211"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payments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28" w:type="dxa"/>
            <w:tcBorders/>
            <w:vAlign w:val="center"/>
          </w:tcPr>
          <w:p>
            <w:pPr>
              <w:pStyle w:val="TableContents"/>
              <w:bidi w:val="0"/>
              <w:spacing w:before="0" w:after="0"/>
              <w:ind w:left="0" w:right="0" w:hanging="0"/>
              <w:jc w:val="left"/>
              <w:rPr/>
            </w:pPr>
            <w:r>
              <w:rPr/>
              <w:t> </w:t>
            </w:r>
          </w:p>
        </w:tc>
        <w:tc>
          <w:tcPr>
            <w:tcW w:w="11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1,904</w:t>
            </w:r>
          </w:p>
        </w:tc>
        <w:tc>
          <w:tcPr>
            <w:tcW w:w="211"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lease liabilities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As of June 30, 2023, the Company had an office space lease that subsequently commenced July 2023</w:t>
      </w:r>
      <w:r>
        <w:rPr>
          <w:rFonts w:ascii="Times New Roman" w:hAnsi="Times New Roman"/>
          <w:sz w:val="20"/>
        </w:rPr>
        <w:t xml:space="preserve"> </w:t>
      </w:r>
      <w:r>
        <w:rPr>
          <w:rFonts w:ascii="Times New Roman;serif" w:hAnsi="Times New Roman;serif"/>
          <w:b w:val="false"/>
          <w:sz w:val="20"/>
        </w:rPr>
        <w:t>for a term of 5-years with an average monthly rent of approximately $25,000.</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 xml:space="preserve">7. Inventory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composition of inventory is as follows (in thousands):</w:t>
      </w:r>
      <w:r>
        <w:rPr>
          <w:rFonts w:ascii="Times New Roman" w:hAnsi="Times New Roman"/>
          <w:sz w:val="20"/>
        </w:rPr>
        <w:t xml:space="preserve"> </w:t>
      </w:r>
    </w:p>
    <w:p>
      <w:pPr>
        <w:pStyle w:val="TextBody"/>
        <w:bidi w:val="0"/>
        <w:spacing w:before="0" w:after="0"/>
        <w:jc w:val="left"/>
        <w:rPr/>
      </w:pPr>
      <w:r>
        <w:rPr/>
        <w:t> </w:t>
      </w:r>
    </w:p>
    <w:tbl>
      <w:tblPr>
        <w:tblW w:w="5055" w:type="dxa"/>
        <w:jc w:val="left"/>
        <w:tblInd w:w="0" w:type="dxa"/>
        <w:tblLayout w:type="fixed"/>
        <w:tblCellMar>
          <w:top w:w="28" w:type="dxa"/>
          <w:left w:w="28" w:type="dxa"/>
          <w:bottom w:w="28" w:type="dxa"/>
          <w:right w:w="28" w:type="dxa"/>
        </w:tblCellMar>
      </w:tblPr>
      <w:tblGrid>
        <w:gridCol w:w="1426"/>
        <w:gridCol w:w="146"/>
        <w:gridCol w:w="344"/>
        <w:gridCol w:w="931"/>
        <w:gridCol w:w="146"/>
        <w:gridCol w:w="146"/>
        <w:gridCol w:w="465"/>
        <w:gridCol w:w="1260"/>
        <w:gridCol w:w="19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9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Raw materials</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1,131</w:t>
            </w:r>
          </w:p>
        </w:tc>
        <w:tc>
          <w:tcPr>
            <w:tcW w:w="191" w:type="dxa"/>
            <w:tcBorders/>
            <w:vAlign w:val="center"/>
          </w:tcPr>
          <w:p>
            <w:pPr>
              <w:pStyle w:val="TableContents"/>
              <w:bidi w:val="0"/>
              <w:spacing w:before="0" w:after="0"/>
              <w:ind w:left="0" w:right="0" w:hanging="0"/>
              <w:jc w:val="left"/>
              <w:rPr/>
            </w:pPr>
            <w:r>
              <w:rPr/>
              <w:t> </w:t>
            </w:r>
          </w:p>
        </w:tc>
      </w:tr>
      <w:tr>
        <w:trPr/>
        <w:tc>
          <w:tcPr>
            <w:tcW w:w="1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Work in process</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pPr>
            <w:r>
              <w:rPr/>
              <w:t> </w:t>
            </w:r>
          </w:p>
        </w:tc>
        <w:tc>
          <w:tcPr>
            <w:tcW w:w="12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384</w:t>
            </w:r>
          </w:p>
        </w:tc>
        <w:tc>
          <w:tcPr>
            <w:tcW w:w="191" w:type="dxa"/>
            <w:tcBorders/>
            <w:vAlign w:val="center"/>
          </w:tcPr>
          <w:p>
            <w:pPr>
              <w:pStyle w:val="TableContents"/>
              <w:bidi w:val="0"/>
              <w:spacing w:before="0" w:after="0"/>
              <w:ind w:left="0" w:right="0" w:hanging="0"/>
              <w:jc w:val="left"/>
              <w:rPr/>
            </w:pPr>
            <w:r>
              <w:rPr/>
              <w:t> </w:t>
            </w:r>
          </w:p>
        </w:tc>
      </w:tr>
      <w:tr>
        <w:trPr/>
        <w:tc>
          <w:tcPr>
            <w:tcW w:w="1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Finished goods</w:t>
            </w:r>
          </w:p>
        </w:tc>
        <w:tc>
          <w:tcPr>
            <w:tcW w:w="146" w:type="dxa"/>
            <w:tcBorders/>
            <w:vAlign w:val="center"/>
          </w:tcPr>
          <w:p>
            <w:pPr>
              <w:pStyle w:val="TableContents"/>
              <w:bidi w:val="0"/>
              <w:spacing w:before="0" w:after="0"/>
              <w:ind w:left="0" w:right="0" w:hanging="0"/>
              <w:jc w:val="left"/>
              <w:rPr/>
            </w:pPr>
            <w:r>
              <w:rPr/>
              <w:t> </w:t>
            </w:r>
          </w:p>
        </w:tc>
        <w:tc>
          <w:tcPr>
            <w:tcW w:w="3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inventory</w:t>
            </w:r>
          </w:p>
        </w:tc>
        <w:tc>
          <w:tcPr>
            <w:tcW w:w="146" w:type="dxa"/>
            <w:tcBorders/>
            <w:vAlign w:val="center"/>
          </w:tcPr>
          <w:p>
            <w:pPr>
              <w:pStyle w:val="TableContents"/>
              <w:bidi w:val="0"/>
              <w:spacing w:before="0" w:after="0"/>
              <w:ind w:left="0" w:right="0" w:hanging="0"/>
              <w:jc w:val="left"/>
              <w:rPr/>
            </w:pPr>
            <w:r>
              <w:rPr/>
              <w:t> </w:t>
            </w:r>
          </w:p>
        </w:tc>
        <w:tc>
          <w:tcPr>
            <w:tcW w:w="3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 has reduced the carrying value of its inventories to reflect the lower of cost or net realizable value. Charges for estimated excess and obsolescence are recorded in Cost of sales in the Consolidated Statements of Operations and were $2,000</w:t>
      </w:r>
      <w:r>
        <w:rPr>
          <w:rFonts w:ascii="Times New Roman" w:hAnsi="Times New Roman"/>
          <w:sz w:val="20"/>
        </w:rPr>
        <w:t xml:space="preserve"> </w:t>
      </w:r>
      <w:r>
        <w:rPr>
          <w:rFonts w:ascii="Times New Roman;serif" w:hAnsi="Times New Roman;serif"/>
          <w:b w:val="false"/>
          <w:sz w:val="20"/>
        </w:rPr>
        <w:t>and $61,000</w:t>
      </w:r>
      <w:r>
        <w:rPr>
          <w:rFonts w:ascii="Times New Roman" w:hAnsi="Times New Roman"/>
          <w:sz w:val="20"/>
        </w:rPr>
        <w:t xml:space="preserve"> </w:t>
      </w:r>
      <w:r>
        <w:rPr>
          <w:rFonts w:ascii="Times New Roman;serif" w:hAnsi="Times New Roman;serif"/>
          <w:b w:val="false"/>
          <w:sz w:val="20"/>
        </w:rPr>
        <w:t>for the three-months ended June 30, 2023 and 2022, respectively, and $68,000</w:t>
      </w:r>
      <w:r>
        <w:rPr>
          <w:rFonts w:ascii="Times New Roman" w:hAnsi="Times New Roman"/>
          <w:sz w:val="20"/>
        </w:rPr>
        <w:t xml:space="preserve"> </w:t>
      </w:r>
      <w:r>
        <w:rPr>
          <w:rFonts w:ascii="Times New Roman;serif" w:hAnsi="Times New Roman;serif"/>
          <w:b w:val="false"/>
          <w:sz w:val="20"/>
        </w:rPr>
        <w:t>and $158,000</w:t>
      </w:r>
      <w:r>
        <w:rPr>
          <w:rFonts w:ascii="Times New Roman" w:hAnsi="Times New Roman"/>
          <w:sz w:val="20"/>
        </w:rPr>
        <w:t xml:space="preserve"> </w:t>
      </w:r>
      <w:r>
        <w:rPr>
          <w:rFonts w:ascii="Times New Roman;serif" w:hAnsi="Times New Roman;serif"/>
          <w:b w:val="false"/>
          <w:sz w:val="20"/>
        </w:rPr>
        <w:t>for the six-months ended June 30, 2023 and 2022, respectively.</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8. Intangible Assets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composition of intangible assets, net is as follows (in thousands):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783"/>
        <w:gridCol w:w="146"/>
        <w:gridCol w:w="336"/>
        <w:gridCol w:w="700"/>
        <w:gridCol w:w="146"/>
        <w:gridCol w:w="146"/>
        <w:gridCol w:w="250"/>
        <w:gridCol w:w="501"/>
        <w:gridCol w:w="146"/>
        <w:gridCol w:w="146"/>
        <w:gridCol w:w="343"/>
        <w:gridCol w:w="783"/>
        <w:gridCol w:w="166"/>
        <w:gridCol w:w="146"/>
        <w:gridCol w:w="250"/>
        <w:gridCol w:w="501"/>
        <w:gridCol w:w="146"/>
        <w:gridCol w:w="146"/>
        <w:gridCol w:w="250"/>
        <w:gridCol w:w="501"/>
        <w:gridCol w:w="146"/>
        <w:gridCol w:w="146"/>
        <w:gridCol w:w="404"/>
        <w:gridCol w:w="722"/>
        <w:gridCol w:w="166"/>
        <w:gridCol w:w="146"/>
        <w:gridCol w:w="250"/>
        <w:gridCol w:w="501"/>
        <w:gridCol w:w="192"/>
      </w:tblGrid>
      <w:tr>
        <w:trPr/>
        <w:tc>
          <w:tcPr>
            <w:tcW w:w="1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78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32"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As of 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232"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As of December 31, 2022</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8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Weighted</w:t>
              <w:br/>
              <w:t>Average Life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Gross</w:t>
              <w:br/>
              <w:t>Amount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Accumulated</w:t>
              <w:br/>
              <w:t>Amortization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Net</w:t>
              <w:br/>
              <w:t>Carry</w:t>
              <w:br/>
              <w:t>Amount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Gross</w:t>
              <w:br/>
              <w:t>Amount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Accumulated</w:t>
              <w:br/>
              <w:t>Amortization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Net</w:t>
              <w:br/>
              <w:t>Carry</w:t>
              <w:br/>
              <w:t>Amount</w:t>
            </w:r>
          </w:p>
        </w:tc>
        <w:tc>
          <w:tcPr>
            <w:tcW w:w="192" w:type="dxa"/>
            <w:tcBorders/>
            <w:vAlign w:val="center"/>
          </w:tcPr>
          <w:p>
            <w:pPr>
              <w:pStyle w:val="TableContents"/>
              <w:bidi w:val="0"/>
              <w:spacing w:before="0" w:after="0"/>
              <w:ind w:left="0" w:right="0" w:hanging="0"/>
              <w:jc w:val="center"/>
              <w:rPr/>
            </w:pPr>
            <w:r>
              <w:rPr/>
              <w:t> </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Patent 1</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92" w:type="dxa"/>
            <w:tcBorders/>
            <w:vAlign w:val="center"/>
          </w:tcPr>
          <w:p>
            <w:pPr>
              <w:pStyle w:val="TableContents"/>
              <w:bidi w:val="0"/>
              <w:spacing w:before="0" w:after="0"/>
              <w:ind w:left="0" w:right="0" w:hanging="0"/>
              <w:jc w:val="left"/>
              <w:rPr/>
            </w:pPr>
            <w:r>
              <w:rPr/>
              <w:t> </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Patent 2</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4"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w:t>
            </w:r>
          </w:p>
        </w:tc>
        <w:tc>
          <w:tcPr>
            <w:tcW w:w="192" w:type="dxa"/>
            <w:tcBorders/>
            <w:vAlign w:val="center"/>
          </w:tcPr>
          <w:p>
            <w:pPr>
              <w:pStyle w:val="TableContents"/>
              <w:bidi w:val="0"/>
              <w:spacing w:before="0" w:after="0"/>
              <w:ind w:left="0" w:right="0" w:hanging="0"/>
              <w:jc w:val="left"/>
              <w:rPr/>
            </w:pPr>
            <w:r>
              <w:rPr/>
              <w:t> </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Patent 3</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4"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w:t>
            </w:r>
          </w:p>
        </w:tc>
        <w:tc>
          <w:tcPr>
            <w:tcW w:w="192" w:type="dxa"/>
            <w:tcBorders/>
            <w:vAlign w:val="center"/>
          </w:tcPr>
          <w:p>
            <w:pPr>
              <w:pStyle w:val="TableContents"/>
              <w:bidi w:val="0"/>
              <w:spacing w:before="0" w:after="0"/>
              <w:ind w:left="0" w:right="0" w:hanging="0"/>
              <w:jc w:val="left"/>
              <w:rPr/>
            </w:pPr>
            <w:r>
              <w:rPr/>
              <w:t> </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Patent 5</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4"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192" w:type="dxa"/>
            <w:tcBorders/>
            <w:vAlign w:val="center"/>
          </w:tcPr>
          <w:p>
            <w:pPr>
              <w:pStyle w:val="TableContents"/>
              <w:bidi w:val="0"/>
              <w:spacing w:before="0" w:after="0"/>
              <w:ind w:left="0" w:right="0" w:hanging="0"/>
              <w:jc w:val="left"/>
              <w:rPr/>
            </w:pPr>
            <w:r>
              <w:rPr/>
              <w:t> </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Patent 6</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4"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192" w:type="dxa"/>
            <w:tcBorders/>
            <w:vAlign w:val="center"/>
          </w:tcPr>
          <w:p>
            <w:pPr>
              <w:pStyle w:val="TableContents"/>
              <w:bidi w:val="0"/>
              <w:spacing w:before="0" w:after="0"/>
              <w:ind w:left="0" w:right="0" w:hanging="0"/>
              <w:jc w:val="left"/>
              <w:rPr/>
            </w:pPr>
            <w:r>
              <w:rPr/>
              <w:t> </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Patent 7</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4"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92" w:type="dxa"/>
            <w:tcBorders/>
            <w:vAlign w:val="center"/>
          </w:tcPr>
          <w:p>
            <w:pPr>
              <w:pStyle w:val="TableContents"/>
              <w:bidi w:val="0"/>
              <w:spacing w:before="0" w:after="0"/>
              <w:ind w:left="0" w:right="0" w:hanging="0"/>
              <w:jc w:val="left"/>
              <w:rPr/>
            </w:pPr>
            <w:r>
              <w:rPr/>
              <w:t> </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Patent 8</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4"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92" w:type="dxa"/>
            <w:tcBorders/>
            <w:vAlign w:val="center"/>
          </w:tcPr>
          <w:p>
            <w:pPr>
              <w:pStyle w:val="TableContents"/>
              <w:bidi w:val="0"/>
              <w:spacing w:before="0" w:after="0"/>
              <w:ind w:left="0" w:right="0" w:hanging="0"/>
              <w:jc w:val="left"/>
              <w:rPr/>
            </w:pPr>
            <w:r>
              <w:rPr/>
              <w:t> </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Patent 10</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4"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92" w:type="dxa"/>
            <w:tcBorders/>
            <w:vAlign w:val="center"/>
          </w:tcPr>
          <w:p>
            <w:pPr>
              <w:pStyle w:val="TableContents"/>
              <w:bidi w:val="0"/>
              <w:spacing w:before="0" w:after="0"/>
              <w:ind w:left="0" w:right="0" w:hanging="0"/>
              <w:jc w:val="left"/>
              <w:rPr/>
            </w:pPr>
            <w:r>
              <w:rPr/>
              <w:t> </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Patent 11</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4"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92" w:type="dxa"/>
            <w:tcBorders/>
            <w:vAlign w:val="center"/>
          </w:tcPr>
          <w:p>
            <w:pPr>
              <w:pStyle w:val="TableContents"/>
              <w:bidi w:val="0"/>
              <w:spacing w:before="0" w:after="0"/>
              <w:ind w:left="0" w:right="0" w:hanging="0"/>
              <w:jc w:val="left"/>
              <w:rPr/>
            </w:pPr>
            <w:r>
              <w:rPr/>
              <w:t> </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Trademarks</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Indefinite</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83"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intangible assets</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w:t>
            </w:r>
          </w:p>
        </w:tc>
        <w:tc>
          <w:tcPr>
            <w:tcW w:w="1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For the three-months and six-months ended June 30, 2023 the Company recorded an impairment charge of approximately $4,000</w:t>
      </w:r>
      <w:r>
        <w:rPr>
          <w:rFonts w:ascii="Times New Roman" w:hAnsi="Times New Roman"/>
          <w:sz w:val="20"/>
        </w:rPr>
        <w:t xml:space="preserve"> </w:t>
      </w:r>
      <w:r>
        <w:rPr>
          <w:rFonts w:ascii="Times New Roman;serif" w:hAnsi="Times New Roman;serif"/>
          <w:b w:val="false"/>
          <w:sz w:val="20"/>
        </w:rPr>
        <w:t>in General and administrative expenses in the Consolidated Statement of Operations. During the three-months and six-months ended June 30, 2022, the Company did not identify any events or changes in circumstances that indicated that the carrying value of its intangibles may not be recoverable. As such, there was no</w:t>
      </w:r>
      <w:r>
        <w:rPr>
          <w:rFonts w:ascii="Times New Roman" w:hAnsi="Times New Roman"/>
          <w:sz w:val="20"/>
        </w:rPr>
        <w:t xml:space="preserve"> </w:t>
      </w:r>
      <w:r>
        <w:rPr>
          <w:rFonts w:ascii="Times New Roman;serif" w:hAnsi="Times New Roman;serif"/>
          <w:b w:val="false"/>
          <w:sz w:val="20"/>
        </w:rPr>
        <w:t>impairment of intangibles assets recognized for the three-months and six-months ended June 30, 2022. Amortization expense of intangibles included in the Consolidated Statements of Operations were $8,000</w:t>
      </w:r>
      <w:r>
        <w:rPr>
          <w:rFonts w:ascii="Times New Roman" w:hAnsi="Times New Roman"/>
          <w:sz w:val="20"/>
        </w:rPr>
        <w:t xml:space="preserve"> </w:t>
      </w:r>
      <w:r>
        <w:rPr>
          <w:rFonts w:ascii="Times New Roman;serif" w:hAnsi="Times New Roman;serif"/>
          <w:b w:val="false"/>
          <w:sz w:val="20"/>
        </w:rPr>
        <w:t>for the three-months ended June 30, 2023 and 2022, respectively, and $17,000</w:t>
      </w:r>
      <w:r>
        <w:rPr>
          <w:rFonts w:ascii="Times New Roman" w:hAnsi="Times New Roman"/>
          <w:sz w:val="20"/>
        </w:rPr>
        <w:t xml:space="preserve"> </w:t>
      </w:r>
      <w:r>
        <w:rPr>
          <w:rFonts w:ascii="Times New Roman;serif" w:hAnsi="Times New Roman;serif"/>
          <w:b w:val="false"/>
          <w:sz w:val="20"/>
        </w:rPr>
        <w:t>and $42,000</w:t>
      </w:r>
      <w:r>
        <w:rPr>
          <w:rFonts w:ascii="Times New Roman" w:hAnsi="Times New Roman"/>
          <w:sz w:val="20"/>
        </w:rPr>
        <w:t xml:space="preserve"> </w:t>
      </w:r>
      <w:r>
        <w:rPr>
          <w:rFonts w:ascii="Times New Roman;serif" w:hAnsi="Times New Roman;serif"/>
          <w:b w:val="false"/>
          <w:sz w:val="20"/>
        </w:rPr>
        <w:t>for the six-months ended June 30, 2023 and 2022, respectively.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Company expects the future amortization of amortizable intangible assets held at June 30, 2023 to be as follows (in thousands):</w:t>
      </w:r>
    </w:p>
    <w:p>
      <w:pPr>
        <w:pStyle w:val="TextBody"/>
        <w:bidi w:val="0"/>
        <w:spacing w:before="0" w:after="0"/>
        <w:jc w:val="left"/>
        <w:rPr/>
      </w:pPr>
      <w:r>
        <w:rPr/>
        <w:t> </w:t>
      </w:r>
    </w:p>
    <w:tbl>
      <w:tblPr>
        <w:tblW w:w="4724" w:type="dxa"/>
        <w:jc w:val="left"/>
        <w:tblInd w:w="0" w:type="dxa"/>
        <w:tblLayout w:type="fixed"/>
        <w:tblCellMar>
          <w:top w:w="28" w:type="dxa"/>
          <w:left w:w="28" w:type="dxa"/>
          <w:bottom w:w="28" w:type="dxa"/>
          <w:right w:w="28" w:type="dxa"/>
        </w:tblCellMar>
      </w:tblPr>
      <w:tblGrid>
        <w:gridCol w:w="1681"/>
        <w:gridCol w:w="146"/>
        <w:gridCol w:w="146"/>
        <w:gridCol w:w="146"/>
        <w:gridCol w:w="146"/>
        <w:gridCol w:w="146"/>
        <w:gridCol w:w="146"/>
        <w:gridCol w:w="146"/>
        <w:gridCol w:w="146"/>
        <w:gridCol w:w="146"/>
        <w:gridCol w:w="146"/>
        <w:gridCol w:w="146"/>
        <w:gridCol w:w="415"/>
        <w:gridCol w:w="83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xml:space="preserve">Estimated </w:t>
              <w:br/>
              <w:t>Amortization</w:t>
              <w:br/>
              <w:t>Expense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402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9. Plant and Equipment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composition of property, plant and equipment, net is as follows (in thousands):</w:t>
      </w:r>
      <w:r>
        <w:rPr>
          <w:rFonts w:ascii="Times New Roman" w:hAnsi="Times New Roman"/>
          <w:sz w:val="20"/>
        </w:rPr>
        <w:t xml:space="preserve"> </w:t>
      </w:r>
    </w:p>
    <w:p>
      <w:pPr>
        <w:pStyle w:val="TextBody"/>
        <w:bidi w:val="0"/>
        <w:spacing w:before="0" w:after="0"/>
        <w:jc w:val="left"/>
        <w:rPr/>
      </w:pPr>
      <w:r>
        <w:rPr/>
        <w:t> </w:t>
      </w:r>
    </w:p>
    <w:tbl>
      <w:tblPr>
        <w:tblW w:w="10132" w:type="dxa"/>
        <w:jc w:val="left"/>
        <w:tblInd w:w="0" w:type="dxa"/>
        <w:tblLayout w:type="fixed"/>
        <w:tblCellMar>
          <w:top w:w="28" w:type="dxa"/>
          <w:left w:w="28" w:type="dxa"/>
          <w:bottom w:w="28" w:type="dxa"/>
          <w:right w:w="28" w:type="dxa"/>
        </w:tblCellMar>
      </w:tblPr>
      <w:tblGrid>
        <w:gridCol w:w="4111"/>
        <w:gridCol w:w="146"/>
        <w:gridCol w:w="2206"/>
        <w:gridCol w:w="146"/>
        <w:gridCol w:w="319"/>
        <w:gridCol w:w="956"/>
        <w:gridCol w:w="166"/>
        <w:gridCol w:w="146"/>
        <w:gridCol w:w="431"/>
        <w:gridCol w:w="1294"/>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1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Useful Lives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w:t>
            </w:r>
          </w:p>
        </w:tc>
        <w:tc>
          <w:tcPr>
            <w:tcW w:w="146" w:type="dxa"/>
            <w:tcBorders/>
            <w:vAlign w:val="center"/>
          </w:tcPr>
          <w:p>
            <w:pPr>
              <w:pStyle w:val="TableContents"/>
              <w:bidi w:val="0"/>
              <w:spacing w:before="0" w:after="0"/>
              <w:ind w:left="0" w:right="0" w:hanging="0"/>
              <w:jc w:val="left"/>
              <w:rPr/>
            </w:pPr>
            <w:r>
              <w:rPr/>
              <w:t> </w:t>
            </w:r>
          </w:p>
        </w:tc>
        <w:tc>
          <w:tcPr>
            <w:tcW w:w="2206"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3</w:t>
            </w:r>
            <w:r>
              <w:rPr>
                <w:rFonts w:ascii="Times New Roman" w:hAnsi="Times New Roman"/>
                <w:sz w:val="20"/>
              </w:rPr>
              <w:t> </w:t>
            </w:r>
            <w:r>
              <w:rPr>
                <w:rFonts w:ascii="Times New Roman;serif" w:hAnsi="Times New Roman;serif"/>
                <w:b w:val="false"/>
                <w:sz w:val="20"/>
              </w:rPr>
              <w:t>years</w:t>
            </w:r>
          </w:p>
        </w:tc>
        <w:tc>
          <w:tcPr>
            <w:tcW w:w="1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755</w:t>
            </w:r>
          </w:p>
        </w:tc>
        <w:tc>
          <w:tcPr>
            <w:tcW w:w="21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software</w:t>
            </w:r>
          </w:p>
        </w:tc>
        <w:tc>
          <w:tcPr>
            <w:tcW w:w="146" w:type="dxa"/>
            <w:tcBorders/>
            <w:vAlign w:val="center"/>
          </w:tcPr>
          <w:p>
            <w:pPr>
              <w:pStyle w:val="TableContents"/>
              <w:bidi w:val="0"/>
              <w:spacing w:before="0" w:after="0"/>
              <w:ind w:left="0" w:right="0" w:hanging="0"/>
              <w:jc w:val="left"/>
              <w:rPr/>
            </w:pPr>
            <w:r>
              <w:rPr/>
              <w:t> </w:t>
            </w:r>
          </w:p>
        </w:tc>
        <w:tc>
          <w:tcPr>
            <w:tcW w:w="2206"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3</w:t>
            </w:r>
            <w:r>
              <w:rPr>
                <w:rFonts w:ascii="Times New Roman" w:hAnsi="Times New Roman"/>
                <w:sz w:val="20"/>
              </w:rPr>
              <w:t> </w:t>
            </w:r>
            <w:r>
              <w:rPr>
                <w:rFonts w:ascii="Times New Roman;serif" w:hAnsi="Times New Roman;serif"/>
                <w:b w:val="false"/>
                <w:sz w:val="20"/>
              </w:rPr>
              <w:t>years</w:t>
            </w:r>
          </w:p>
        </w:tc>
        <w:tc>
          <w:tcPr>
            <w:tcW w:w="1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9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1" w:type="dxa"/>
            <w:tcBorders/>
            <w:vAlign w:val="center"/>
          </w:tcPr>
          <w:p>
            <w:pPr>
              <w:pStyle w:val="TableContents"/>
              <w:bidi w:val="0"/>
              <w:spacing w:before="0" w:after="0"/>
              <w:ind w:left="0" w:right="0" w:hanging="0"/>
              <w:jc w:val="left"/>
              <w:rPr/>
            </w:pPr>
            <w:r>
              <w:rPr/>
              <w:t> </w:t>
            </w:r>
          </w:p>
        </w:tc>
        <w:tc>
          <w:tcPr>
            <w:tcW w:w="12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871</w:t>
            </w:r>
          </w:p>
        </w:tc>
        <w:tc>
          <w:tcPr>
            <w:tcW w:w="21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Construction in progress</w:t>
            </w:r>
          </w:p>
        </w:tc>
        <w:tc>
          <w:tcPr>
            <w:tcW w:w="146" w:type="dxa"/>
            <w:tcBorders/>
            <w:vAlign w:val="center"/>
          </w:tcPr>
          <w:p>
            <w:pPr>
              <w:pStyle w:val="TableContents"/>
              <w:bidi w:val="0"/>
              <w:spacing w:before="0" w:after="0"/>
              <w:ind w:left="0" w:right="0" w:hanging="0"/>
              <w:jc w:val="left"/>
              <w:rPr/>
            </w:pPr>
            <w:r>
              <w:rPr/>
              <w:t> </w:t>
            </w:r>
          </w:p>
        </w:tc>
        <w:tc>
          <w:tcPr>
            <w:tcW w:w="220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9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1" w:type="dxa"/>
            <w:tcBorders/>
            <w:vAlign w:val="center"/>
          </w:tcPr>
          <w:p>
            <w:pPr>
              <w:pStyle w:val="TableContents"/>
              <w:bidi w:val="0"/>
              <w:spacing w:before="0" w:after="0"/>
              <w:ind w:left="0" w:right="0" w:hanging="0"/>
              <w:jc w:val="left"/>
              <w:rPr/>
            </w:pPr>
            <w:r>
              <w:rPr/>
              <w:t> </w:t>
            </w:r>
          </w:p>
        </w:tc>
        <w:tc>
          <w:tcPr>
            <w:tcW w:w="12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w:t>
            </w:r>
          </w:p>
        </w:tc>
        <w:tc>
          <w:tcPr>
            <w:tcW w:w="21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fixtures</w:t>
            </w:r>
          </w:p>
        </w:tc>
        <w:tc>
          <w:tcPr>
            <w:tcW w:w="146" w:type="dxa"/>
            <w:tcBorders/>
            <w:vAlign w:val="center"/>
          </w:tcPr>
          <w:p>
            <w:pPr>
              <w:pStyle w:val="TableContents"/>
              <w:bidi w:val="0"/>
              <w:spacing w:before="0" w:after="0"/>
              <w:ind w:left="0" w:right="0" w:hanging="0"/>
              <w:jc w:val="left"/>
              <w:rPr/>
            </w:pPr>
            <w:r>
              <w:rPr/>
              <w:t> </w:t>
            </w:r>
          </w:p>
        </w:tc>
        <w:tc>
          <w:tcPr>
            <w:tcW w:w="2206"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7</w:t>
            </w:r>
            <w:r>
              <w:rPr>
                <w:rFonts w:ascii="Times New Roman" w:hAnsi="Times New Roman"/>
                <w:sz w:val="20"/>
              </w:rPr>
              <w:t> </w:t>
            </w:r>
            <w:r>
              <w:rPr>
                <w:rFonts w:ascii="Times New Roman;serif" w:hAnsi="Times New Roman;serif"/>
                <w:b w:val="false"/>
                <w:sz w:val="20"/>
              </w:rPr>
              <w:t>years</w:t>
            </w:r>
          </w:p>
        </w:tc>
        <w:tc>
          <w:tcPr>
            <w:tcW w:w="1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9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1" w:type="dxa"/>
            <w:tcBorders/>
            <w:vAlign w:val="center"/>
          </w:tcPr>
          <w:p>
            <w:pPr>
              <w:pStyle w:val="TableContents"/>
              <w:bidi w:val="0"/>
              <w:spacing w:before="0" w:after="0"/>
              <w:ind w:left="0" w:right="0" w:hanging="0"/>
              <w:jc w:val="left"/>
              <w:rPr/>
            </w:pPr>
            <w:r>
              <w:rPr/>
              <w:t> </w:t>
            </w:r>
          </w:p>
        </w:tc>
        <w:tc>
          <w:tcPr>
            <w:tcW w:w="12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439</w:t>
            </w:r>
          </w:p>
        </w:tc>
        <w:tc>
          <w:tcPr>
            <w:tcW w:w="21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Laboratory equipment</w:t>
            </w:r>
          </w:p>
        </w:tc>
        <w:tc>
          <w:tcPr>
            <w:tcW w:w="146" w:type="dxa"/>
            <w:tcBorders/>
            <w:vAlign w:val="center"/>
          </w:tcPr>
          <w:p>
            <w:pPr>
              <w:pStyle w:val="TableContents"/>
              <w:bidi w:val="0"/>
              <w:spacing w:before="0" w:after="0"/>
              <w:ind w:left="0" w:right="0" w:hanging="0"/>
              <w:jc w:val="left"/>
              <w:rPr/>
            </w:pPr>
            <w:r>
              <w:rPr/>
              <w:t> </w:t>
            </w:r>
          </w:p>
        </w:tc>
        <w:tc>
          <w:tcPr>
            <w:tcW w:w="2206"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5</w:t>
            </w:r>
            <w:r>
              <w:rPr>
                <w:rFonts w:ascii="Times New Roman" w:hAnsi="Times New Roman"/>
                <w:sz w:val="20"/>
              </w:rPr>
              <w:t> </w:t>
            </w:r>
            <w:r>
              <w:rPr>
                <w:rFonts w:ascii="Times New Roman;serif" w:hAnsi="Times New Roman;serif"/>
                <w:b w:val="false"/>
                <w:sz w:val="20"/>
              </w:rPr>
              <w:t>years</w:t>
            </w:r>
          </w:p>
        </w:tc>
        <w:tc>
          <w:tcPr>
            <w:tcW w:w="1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9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1" w:type="dxa"/>
            <w:tcBorders/>
            <w:vAlign w:val="center"/>
          </w:tcPr>
          <w:p>
            <w:pPr>
              <w:pStyle w:val="TableContents"/>
              <w:bidi w:val="0"/>
              <w:spacing w:before="0" w:after="0"/>
              <w:ind w:left="0" w:right="0" w:hanging="0"/>
              <w:jc w:val="left"/>
              <w:rPr/>
            </w:pPr>
            <w:r>
              <w:rPr/>
              <w:t> </w:t>
            </w:r>
          </w:p>
        </w:tc>
        <w:tc>
          <w:tcPr>
            <w:tcW w:w="12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643</w:t>
            </w:r>
          </w:p>
        </w:tc>
        <w:tc>
          <w:tcPr>
            <w:tcW w:w="21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vAlign w:val="center"/>
          </w:tcPr>
          <w:p>
            <w:pPr>
              <w:pStyle w:val="TableContents"/>
              <w:bidi w:val="0"/>
              <w:spacing w:before="0" w:after="0"/>
              <w:ind w:left="0" w:right="0" w:hanging="0"/>
              <w:jc w:val="left"/>
              <w:rPr/>
            </w:pPr>
            <w:r>
              <w:rPr/>
              <w:t> </w:t>
            </w:r>
          </w:p>
        </w:tc>
        <w:tc>
          <w:tcPr>
            <w:tcW w:w="22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Lesser of life or lease term</w:t>
            </w:r>
          </w:p>
        </w:tc>
        <w:tc>
          <w:tcPr>
            <w:tcW w:w="1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9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1" w:type="dxa"/>
            <w:tcBorders/>
            <w:vAlign w:val="center"/>
          </w:tcPr>
          <w:p>
            <w:pPr>
              <w:pStyle w:val="TableContents"/>
              <w:bidi w:val="0"/>
              <w:spacing w:before="0" w:after="0"/>
              <w:ind w:left="0" w:right="0" w:hanging="0"/>
              <w:jc w:val="left"/>
              <w:rPr/>
            </w:pPr>
            <w:r>
              <w:rPr/>
              <w:t> </w:t>
            </w:r>
          </w:p>
        </w:tc>
        <w:tc>
          <w:tcPr>
            <w:tcW w:w="12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w:t>
            </w:r>
          </w:p>
        </w:tc>
        <w:tc>
          <w:tcPr>
            <w:tcW w:w="21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RECELL moulds</w:t>
            </w:r>
          </w:p>
        </w:tc>
        <w:tc>
          <w:tcPr>
            <w:tcW w:w="146" w:type="dxa"/>
            <w:tcBorders/>
            <w:vAlign w:val="center"/>
          </w:tcPr>
          <w:p>
            <w:pPr>
              <w:pStyle w:val="TableContents"/>
              <w:bidi w:val="0"/>
              <w:spacing w:before="0" w:after="0"/>
              <w:ind w:left="0" w:right="0" w:hanging="0"/>
              <w:jc w:val="left"/>
              <w:rPr/>
            </w:pPr>
            <w:r>
              <w:rPr/>
              <w:t> </w:t>
            </w:r>
          </w:p>
        </w:tc>
        <w:tc>
          <w:tcPr>
            <w:tcW w:w="2206"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5</w:t>
            </w:r>
            <w:r>
              <w:rPr>
                <w:rFonts w:ascii="Times New Roman" w:hAnsi="Times New Roman"/>
                <w:sz w:val="20"/>
              </w:rPr>
              <w:t> </w:t>
            </w:r>
            <w:r>
              <w:rPr>
                <w:rFonts w:ascii="Times New Roman;serif" w:hAnsi="Times New Roman;serif"/>
                <w:b w:val="false"/>
                <w:sz w:val="20"/>
              </w:rPr>
              <w:t>years</w:t>
            </w:r>
          </w:p>
        </w:tc>
        <w:tc>
          <w:tcPr>
            <w:tcW w:w="1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9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1" w:type="dxa"/>
            <w:tcBorders/>
            <w:vAlign w:val="center"/>
          </w:tcPr>
          <w:p>
            <w:pPr>
              <w:pStyle w:val="TableContents"/>
              <w:bidi w:val="0"/>
              <w:spacing w:before="0" w:after="0"/>
              <w:ind w:left="0" w:right="0" w:hanging="0"/>
              <w:jc w:val="left"/>
              <w:rPr/>
            </w:pPr>
            <w:r>
              <w:rPr/>
              <w:t> </w:t>
            </w:r>
          </w:p>
        </w:tc>
        <w:tc>
          <w:tcPr>
            <w:tcW w:w="12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w:t>
            </w:r>
          </w:p>
        </w:tc>
        <w:tc>
          <w:tcPr>
            <w:tcW w:w="21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amortization and depreciation</w:t>
            </w:r>
          </w:p>
        </w:tc>
        <w:tc>
          <w:tcPr>
            <w:tcW w:w="146" w:type="dxa"/>
            <w:tcBorders/>
            <w:vAlign w:val="center"/>
          </w:tcPr>
          <w:p>
            <w:pPr>
              <w:pStyle w:val="TableContents"/>
              <w:bidi w:val="0"/>
              <w:spacing w:before="0" w:after="0"/>
              <w:ind w:left="0" w:right="0" w:hanging="0"/>
              <w:jc w:val="left"/>
              <w:rPr/>
            </w:pPr>
            <w:r>
              <w:rPr/>
              <w:t> </w:t>
            </w:r>
          </w:p>
        </w:tc>
        <w:tc>
          <w:tcPr>
            <w:tcW w:w="220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plant and equipment, net</w:t>
            </w:r>
          </w:p>
        </w:tc>
        <w:tc>
          <w:tcPr>
            <w:tcW w:w="146" w:type="dxa"/>
            <w:tcBorders/>
            <w:vAlign w:val="center"/>
          </w:tcPr>
          <w:p>
            <w:pPr>
              <w:pStyle w:val="TableContents"/>
              <w:bidi w:val="0"/>
              <w:spacing w:before="0" w:after="0"/>
              <w:ind w:left="0" w:right="0" w:hanging="0"/>
              <w:jc w:val="left"/>
              <w:rPr/>
            </w:pPr>
            <w:r>
              <w:rPr/>
              <w:t> </w:t>
            </w:r>
          </w:p>
        </w:tc>
        <w:tc>
          <w:tcPr>
            <w:tcW w:w="220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Depreciation expense related to plant and equipment was $137,000</w:t>
      </w:r>
      <w:r>
        <w:rPr>
          <w:rFonts w:ascii="Times New Roman" w:hAnsi="Times New Roman"/>
          <w:sz w:val="20"/>
        </w:rPr>
        <w:t xml:space="preserve"> </w:t>
      </w:r>
      <w:r>
        <w:rPr>
          <w:rFonts w:ascii="Times New Roman;serif" w:hAnsi="Times New Roman;serif"/>
          <w:b w:val="false"/>
          <w:sz w:val="20"/>
        </w:rPr>
        <w:t>and $129,000</w:t>
      </w:r>
      <w:r>
        <w:rPr>
          <w:rFonts w:ascii="Times New Roman" w:hAnsi="Times New Roman"/>
          <w:sz w:val="20"/>
        </w:rPr>
        <w:t xml:space="preserve"> </w:t>
      </w:r>
      <w:r>
        <w:rPr>
          <w:rFonts w:ascii="Times New Roman;serif" w:hAnsi="Times New Roman;serif"/>
          <w:b w:val="false"/>
          <w:sz w:val="20"/>
        </w:rPr>
        <w:t>for the three-months ended June 30, 2023 and 2022 respectively, and $264,000</w:t>
      </w:r>
      <w:r>
        <w:rPr>
          <w:rFonts w:ascii="Times New Roman" w:hAnsi="Times New Roman"/>
          <w:sz w:val="20"/>
        </w:rPr>
        <w:t xml:space="preserve"> </w:t>
      </w:r>
      <w:r>
        <w:rPr>
          <w:rFonts w:ascii="Times New Roman;serif" w:hAnsi="Times New Roman;serif"/>
          <w:b w:val="false"/>
          <w:sz w:val="20"/>
        </w:rPr>
        <w:t>and $258,000</w:t>
      </w:r>
      <w:r>
        <w:rPr>
          <w:rFonts w:ascii="Times New Roman" w:hAnsi="Times New Roman"/>
          <w:sz w:val="20"/>
        </w:rPr>
        <w:t xml:space="preserve"> </w:t>
      </w:r>
      <w:r>
        <w:rPr>
          <w:rFonts w:ascii="Times New Roman;serif" w:hAnsi="Times New Roman;serif"/>
          <w:b w:val="false"/>
          <w:sz w:val="20"/>
        </w:rPr>
        <w:t>for the six-months ended June 30, 2023 and 2022, respectively. For the three-months and six-months ended June 30, 2023, the Company recorded an impairment charge of approximately $3,000</w:t>
      </w:r>
      <w:r>
        <w:rPr>
          <w:rFonts w:ascii="Times New Roman" w:hAnsi="Times New Roman"/>
          <w:sz w:val="20"/>
        </w:rPr>
        <w:t xml:space="preserve"> </w:t>
      </w:r>
      <w:r>
        <w:rPr>
          <w:rFonts w:ascii="Times New Roman;serif" w:hAnsi="Times New Roman;serif"/>
          <w:b w:val="false"/>
          <w:sz w:val="20"/>
        </w:rPr>
        <w:t>in General and administrative expenses</w:t>
      </w:r>
      <w:r>
        <w:rPr>
          <w:rFonts w:ascii="Times New Roman" w:hAnsi="Times New Roman"/>
          <w:sz w:val="20"/>
        </w:rPr>
        <w:t xml:space="preserve"> </w:t>
      </w:r>
      <w:r>
        <w:rPr>
          <w:rFonts w:ascii="Times New Roman;serif" w:hAnsi="Times New Roman;serif"/>
          <w:b w:val="false"/>
          <w:sz w:val="20"/>
        </w:rPr>
        <w:t>in the Consolidated Statement of Operations. During the three-months and six-months ended June 30, 2022, the Company did not identify any events or changes in circumstances that indicated that the carrying value of its plant and equipment may not be recoverable. As such, there was no impairment of plant and equipment recognized for the three-months and six-months ended June 30, 2022.</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10. Other Current and Long-Term Assets and Liabilities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Prepaids and other current assets consisted of the following (in thousands):</w:t>
      </w:r>
      <w:r>
        <w:rPr>
          <w:rFonts w:ascii="Times New Roman" w:hAnsi="Times New Roman"/>
          <w:sz w:val="20"/>
        </w:rPr>
        <w:t xml:space="preserve"> </w:t>
      </w:r>
    </w:p>
    <w:p>
      <w:pPr>
        <w:pStyle w:val="TextBody"/>
        <w:bidi w:val="0"/>
        <w:spacing w:before="0" w:after="0"/>
        <w:jc w:val="left"/>
        <w:rPr/>
      </w:pPr>
      <w:r>
        <w:rPr/>
        <w:t> </w:t>
      </w:r>
    </w:p>
    <w:tbl>
      <w:tblPr>
        <w:tblW w:w="6855" w:type="dxa"/>
        <w:jc w:val="left"/>
        <w:tblInd w:w="0" w:type="dxa"/>
        <w:tblLayout w:type="fixed"/>
        <w:tblCellMar>
          <w:top w:w="28" w:type="dxa"/>
          <w:left w:w="28" w:type="dxa"/>
          <w:bottom w:w="28" w:type="dxa"/>
          <w:right w:w="28" w:type="dxa"/>
        </w:tblCellMar>
      </w:tblPr>
      <w:tblGrid>
        <w:gridCol w:w="3226"/>
        <w:gridCol w:w="146"/>
        <w:gridCol w:w="344"/>
        <w:gridCol w:w="931"/>
        <w:gridCol w:w="146"/>
        <w:gridCol w:w="146"/>
        <w:gridCol w:w="465"/>
        <w:gridCol w:w="1260"/>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9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expenses</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921</w:t>
            </w:r>
          </w:p>
        </w:tc>
        <w:tc>
          <w:tcPr>
            <w:tcW w:w="191" w:type="dxa"/>
            <w:tcBorders/>
            <w:vAlign w:val="center"/>
          </w:tcPr>
          <w:p>
            <w:pPr>
              <w:pStyle w:val="TableContents"/>
              <w:bidi w:val="0"/>
              <w:spacing w:before="0" w:after="0"/>
              <w:ind w:left="0" w:right="0" w:hanging="0"/>
              <w:jc w:val="left"/>
              <w:rPr/>
            </w:pPr>
            <w:r>
              <w:rPr/>
              <w:t> </w:t>
            </w:r>
          </w:p>
        </w:tc>
      </w:tr>
      <w:tr>
        <w:trPr/>
        <w:tc>
          <w:tcPr>
            <w:tcW w:w="3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 deposits</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pPr>
            <w:r>
              <w:rPr/>
              <w:t> </w:t>
            </w:r>
          </w:p>
        </w:tc>
        <w:tc>
          <w:tcPr>
            <w:tcW w:w="12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191" w:type="dxa"/>
            <w:tcBorders/>
            <w:vAlign w:val="center"/>
          </w:tcPr>
          <w:p>
            <w:pPr>
              <w:pStyle w:val="TableContents"/>
              <w:bidi w:val="0"/>
              <w:spacing w:before="0" w:after="0"/>
              <w:ind w:left="0" w:right="0" w:hanging="0"/>
              <w:jc w:val="left"/>
              <w:rPr/>
            </w:pPr>
            <w:r>
              <w:rPr/>
              <w:t> </w:t>
            </w:r>
          </w:p>
        </w:tc>
      </w:tr>
      <w:tr>
        <w:trPr/>
        <w:tc>
          <w:tcPr>
            <w:tcW w:w="3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investment income</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pPr>
            <w:r>
              <w:rPr/>
              <w:t> </w:t>
            </w:r>
          </w:p>
        </w:tc>
        <w:tc>
          <w:tcPr>
            <w:tcW w:w="12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191" w:type="dxa"/>
            <w:tcBorders/>
            <w:vAlign w:val="center"/>
          </w:tcPr>
          <w:p>
            <w:pPr>
              <w:pStyle w:val="TableContents"/>
              <w:bidi w:val="0"/>
              <w:spacing w:before="0" w:after="0"/>
              <w:ind w:left="0" w:right="0" w:hanging="0"/>
              <w:jc w:val="left"/>
              <w:rPr/>
            </w:pPr>
            <w:r>
              <w:rPr/>
              <w:t> </w:t>
            </w:r>
          </w:p>
        </w:tc>
      </w:tr>
      <w:tr>
        <w:trPr/>
        <w:tc>
          <w:tcPr>
            <w:tcW w:w="3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BARDA contract costs</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pPr>
            <w:r>
              <w:rPr/>
              <w:t> </w:t>
            </w:r>
          </w:p>
        </w:tc>
        <w:tc>
          <w:tcPr>
            <w:tcW w:w="12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w:t>
            </w:r>
          </w:p>
        </w:tc>
        <w:tc>
          <w:tcPr>
            <w:tcW w:w="191" w:type="dxa"/>
            <w:tcBorders/>
            <w:vAlign w:val="center"/>
          </w:tcPr>
          <w:p>
            <w:pPr>
              <w:pStyle w:val="TableContents"/>
              <w:bidi w:val="0"/>
              <w:spacing w:before="0" w:after="0"/>
              <w:ind w:left="0" w:right="0" w:hanging="0"/>
              <w:jc w:val="left"/>
              <w:rPr/>
            </w:pPr>
            <w:r>
              <w:rPr/>
              <w:t> </w:t>
            </w:r>
          </w:p>
        </w:tc>
      </w:tr>
      <w:tr>
        <w:trPr/>
        <w:tc>
          <w:tcPr>
            <w:tcW w:w="3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receivables</w:t>
            </w:r>
          </w:p>
        </w:tc>
        <w:tc>
          <w:tcPr>
            <w:tcW w:w="146" w:type="dxa"/>
            <w:tcBorders/>
            <w:vAlign w:val="center"/>
          </w:tcPr>
          <w:p>
            <w:pPr>
              <w:pStyle w:val="TableContents"/>
              <w:bidi w:val="0"/>
              <w:spacing w:before="0" w:after="0"/>
              <w:ind w:left="0" w:right="0" w:hanging="0"/>
              <w:jc w:val="left"/>
              <w:rPr/>
            </w:pPr>
            <w:r>
              <w:rPr/>
              <w:t> </w:t>
            </w:r>
          </w:p>
        </w:tc>
        <w:tc>
          <w:tcPr>
            <w:tcW w:w="3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prepaids and other current assets</w:t>
            </w:r>
          </w:p>
        </w:tc>
        <w:tc>
          <w:tcPr>
            <w:tcW w:w="146" w:type="dxa"/>
            <w:tcBorders/>
            <w:vAlign w:val="center"/>
          </w:tcPr>
          <w:p>
            <w:pPr>
              <w:pStyle w:val="TableContents"/>
              <w:bidi w:val="0"/>
              <w:spacing w:before="0" w:after="0"/>
              <w:ind w:left="0" w:right="0" w:hanging="0"/>
              <w:jc w:val="left"/>
              <w:rPr/>
            </w:pPr>
            <w:r>
              <w:rPr/>
              <w:t> </w:t>
            </w:r>
          </w:p>
        </w:tc>
        <w:tc>
          <w:tcPr>
            <w:tcW w:w="3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Prepaid expenses primarily consist of prepaid benefits and insurance.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Other long-term assets consisted of the following (in thousands):</w:t>
      </w:r>
    </w:p>
    <w:p>
      <w:pPr>
        <w:pStyle w:val="TextBody"/>
        <w:bidi w:val="0"/>
        <w:spacing w:before="0" w:after="0"/>
        <w:jc w:val="left"/>
        <w:rPr/>
      </w:pPr>
      <w:r>
        <w:rPr/>
        <w:t> </w:t>
      </w:r>
    </w:p>
    <w:tbl>
      <w:tblPr>
        <w:tblW w:w="6000" w:type="dxa"/>
        <w:jc w:val="left"/>
        <w:tblInd w:w="0" w:type="dxa"/>
        <w:tblLayout w:type="fixed"/>
        <w:tblCellMar>
          <w:top w:w="28" w:type="dxa"/>
          <w:left w:w="28" w:type="dxa"/>
          <w:bottom w:w="28" w:type="dxa"/>
          <w:right w:w="28" w:type="dxa"/>
        </w:tblCellMar>
      </w:tblPr>
      <w:tblGrid>
        <w:gridCol w:w="2371"/>
        <w:gridCol w:w="146"/>
        <w:gridCol w:w="426"/>
        <w:gridCol w:w="849"/>
        <w:gridCol w:w="146"/>
        <w:gridCol w:w="146"/>
        <w:gridCol w:w="574"/>
        <w:gridCol w:w="1151"/>
        <w:gridCol w:w="1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9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7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Long-term lease deposits</w:t>
            </w:r>
          </w:p>
        </w:tc>
        <w:tc>
          <w:tcPr>
            <w:tcW w:w="146" w:type="dxa"/>
            <w:tcBorders/>
            <w:vAlign w:val="center"/>
          </w:tcPr>
          <w:p>
            <w:pPr>
              <w:pStyle w:val="TableContents"/>
              <w:bidi w:val="0"/>
              <w:spacing w:before="0" w:after="0"/>
              <w:ind w:left="0" w:right="0" w:hanging="0"/>
              <w:jc w:val="left"/>
              <w:rPr/>
            </w:pPr>
            <w:r>
              <w:rPr/>
              <w:t> </w:t>
            </w:r>
          </w:p>
        </w:tc>
        <w:tc>
          <w:tcPr>
            <w:tcW w:w="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91" w:type="dxa"/>
            <w:tcBorders/>
            <w:vAlign w:val="center"/>
          </w:tcPr>
          <w:p>
            <w:pPr>
              <w:pStyle w:val="TableContents"/>
              <w:bidi w:val="0"/>
              <w:spacing w:before="0" w:after="0"/>
              <w:ind w:left="0" w:right="0" w:hanging="0"/>
              <w:jc w:val="left"/>
              <w:rPr/>
            </w:pPr>
            <w:r>
              <w:rPr/>
              <w:t> </w:t>
            </w:r>
          </w:p>
        </w:tc>
      </w:tr>
      <w:tr>
        <w:trPr/>
        <w:tc>
          <w:tcPr>
            <w:tcW w:w="237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Long-term prepaids</w:t>
            </w:r>
          </w:p>
        </w:tc>
        <w:tc>
          <w:tcPr>
            <w:tcW w:w="146" w:type="dxa"/>
            <w:tcBorders/>
            <w:vAlign w:val="center"/>
          </w:tcPr>
          <w:p>
            <w:pPr>
              <w:pStyle w:val="TableContents"/>
              <w:bidi w:val="0"/>
              <w:spacing w:before="0" w:after="0"/>
              <w:ind w:left="0" w:right="0" w:hanging="0"/>
              <w:jc w:val="left"/>
              <w:rPr/>
            </w:pPr>
            <w:r>
              <w:rPr/>
              <w:t> </w:t>
            </w:r>
          </w:p>
        </w:tc>
        <w:tc>
          <w:tcPr>
            <w:tcW w:w="4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long-term assets</w:t>
            </w:r>
          </w:p>
        </w:tc>
        <w:tc>
          <w:tcPr>
            <w:tcW w:w="146" w:type="dxa"/>
            <w:tcBorders/>
            <w:vAlign w:val="center"/>
          </w:tcPr>
          <w:p>
            <w:pPr>
              <w:pStyle w:val="TableContents"/>
              <w:bidi w:val="0"/>
              <w:spacing w:before="0" w:after="0"/>
              <w:ind w:left="0" w:right="0" w:hanging="0"/>
              <w:jc w:val="left"/>
              <w:rPr/>
            </w:pPr>
            <w:r>
              <w:rPr/>
              <w:t> </w:t>
            </w:r>
          </w:p>
        </w:tc>
        <w:tc>
          <w:tcPr>
            <w:tcW w:w="4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Other current liabilities consisted of the following (in thousands):</w:t>
      </w:r>
    </w:p>
    <w:p>
      <w:pPr>
        <w:pStyle w:val="TextBody"/>
        <w:bidi w:val="0"/>
        <w:spacing w:before="0" w:after="0"/>
        <w:jc w:val="left"/>
        <w:rPr/>
      </w:pPr>
      <w:r>
        <w:rPr/>
        <w:t> </w:t>
      </w:r>
    </w:p>
    <w:tbl>
      <w:tblPr>
        <w:tblW w:w="6150" w:type="dxa"/>
        <w:jc w:val="left"/>
        <w:tblInd w:w="0" w:type="dxa"/>
        <w:tblLayout w:type="fixed"/>
        <w:tblCellMar>
          <w:top w:w="28" w:type="dxa"/>
          <w:left w:w="28" w:type="dxa"/>
          <w:bottom w:w="28" w:type="dxa"/>
          <w:right w:w="28" w:type="dxa"/>
        </w:tblCellMar>
      </w:tblPr>
      <w:tblGrid>
        <w:gridCol w:w="2521"/>
        <w:gridCol w:w="146"/>
        <w:gridCol w:w="344"/>
        <w:gridCol w:w="931"/>
        <w:gridCol w:w="146"/>
        <w:gridCol w:w="146"/>
        <w:gridCol w:w="574"/>
        <w:gridCol w:w="1151"/>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9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Operating lease liability</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w:t>
            </w:r>
          </w:p>
        </w:tc>
        <w:tc>
          <w:tcPr>
            <w:tcW w:w="191" w:type="dxa"/>
            <w:tcBorders/>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BARDA deferred costs</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191" w:type="dxa"/>
            <w:tcBorders/>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BARDA deferred revenue</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Other current liabilities</w:t>
            </w:r>
          </w:p>
        </w:tc>
        <w:tc>
          <w:tcPr>
            <w:tcW w:w="146" w:type="dxa"/>
            <w:tcBorders/>
            <w:vAlign w:val="center"/>
          </w:tcPr>
          <w:p>
            <w:pPr>
              <w:pStyle w:val="TableContents"/>
              <w:bidi w:val="0"/>
              <w:spacing w:before="0" w:after="0"/>
              <w:ind w:left="0" w:right="0" w:hanging="0"/>
              <w:jc w:val="left"/>
              <w:rPr/>
            </w:pPr>
            <w:r>
              <w:rPr/>
              <w:t> </w:t>
            </w:r>
          </w:p>
        </w:tc>
        <w:tc>
          <w:tcPr>
            <w:tcW w:w="3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other current liabilities</w:t>
            </w:r>
          </w:p>
        </w:tc>
        <w:tc>
          <w:tcPr>
            <w:tcW w:w="146" w:type="dxa"/>
            <w:tcBorders/>
            <w:vAlign w:val="center"/>
          </w:tcPr>
          <w:p>
            <w:pPr>
              <w:pStyle w:val="TableContents"/>
              <w:bidi w:val="0"/>
              <w:spacing w:before="0" w:after="0"/>
              <w:ind w:left="0" w:right="0" w:hanging="0"/>
              <w:jc w:val="left"/>
              <w:rPr/>
            </w:pPr>
            <w:r>
              <w:rPr/>
              <w:t> </w:t>
            </w:r>
          </w:p>
        </w:tc>
        <w:tc>
          <w:tcPr>
            <w:tcW w:w="3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11. Reporting Segment and Geographic Information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 views its operations and manages its business in one</w:t>
      </w:r>
      <w:r>
        <w:rPr>
          <w:rFonts w:ascii="Times New Roman" w:hAnsi="Times New Roman"/>
          <w:sz w:val="20"/>
        </w:rPr>
        <w:t xml:space="preserve"> </w:t>
      </w:r>
      <w:r>
        <w:rPr>
          <w:rFonts w:ascii="Times New Roman;serif" w:hAnsi="Times New Roman;serif"/>
          <w:b w:val="false"/>
          <w:sz w:val="20"/>
        </w:rPr>
        <w:t>reporting segment. Long-lived assets are primarily located in the United States as of June 30, 2023, and December 31, 2022, with an insignificant amount located in Australia and the United Kingdom.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Revenue by region for the three-months and six-months ended June 30, 2023 and 2022 were as follows (in thousands):</w:t>
      </w:r>
      <w:r>
        <w:rPr>
          <w:rFonts w:ascii="Times New Roman" w:hAnsi="Times New Roman"/>
          <w:sz w:val="20"/>
        </w:rPr>
        <w:t xml:space="preserve"> </w:t>
      </w:r>
    </w:p>
    <w:p>
      <w:pPr>
        <w:pStyle w:val="TextBody"/>
        <w:bidi w:val="0"/>
        <w:spacing w:before="0" w:after="0"/>
        <w:jc w:val="left"/>
        <w:rPr/>
      </w:pPr>
      <w:r>
        <w:rPr/>
        <w:t> </w:t>
      </w:r>
    </w:p>
    <w:tbl>
      <w:tblPr>
        <w:tblW w:w="7799" w:type="dxa"/>
        <w:jc w:val="left"/>
        <w:tblInd w:w="0" w:type="dxa"/>
        <w:tblLayout w:type="fixed"/>
        <w:tblCellMar>
          <w:top w:w="28" w:type="dxa"/>
          <w:left w:w="28" w:type="dxa"/>
          <w:bottom w:w="28" w:type="dxa"/>
          <w:right w:w="28" w:type="dxa"/>
        </w:tblCellMar>
      </w:tblPr>
      <w:tblGrid>
        <w:gridCol w:w="1486"/>
        <w:gridCol w:w="146"/>
        <w:gridCol w:w="303"/>
        <w:gridCol w:w="972"/>
        <w:gridCol w:w="146"/>
        <w:gridCol w:w="146"/>
        <w:gridCol w:w="344"/>
        <w:gridCol w:w="931"/>
        <w:gridCol w:w="146"/>
        <w:gridCol w:w="146"/>
        <w:gridCol w:w="303"/>
        <w:gridCol w:w="972"/>
        <w:gridCol w:w="146"/>
        <w:gridCol w:w="146"/>
        <w:gridCol w:w="303"/>
        <w:gridCol w:w="972"/>
        <w:gridCol w:w="19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4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Six-Months Ended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8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Revenue:</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1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United States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15,676</w:t>
            </w:r>
          </w:p>
        </w:tc>
        <w:tc>
          <w:tcPr>
            <w:tcW w:w="191" w:type="dxa"/>
            <w:tcBorders/>
            <w:vAlign w:val="center"/>
          </w:tcPr>
          <w:p>
            <w:pPr>
              <w:pStyle w:val="TableContents"/>
              <w:bidi w:val="0"/>
              <w:spacing w:before="0" w:after="0"/>
              <w:ind w:left="0" w:right="0" w:hanging="0"/>
              <w:jc w:val="left"/>
              <w:rPr/>
            </w:pPr>
            <w:r>
              <w:rPr/>
              <w:t> </w:t>
            </w:r>
          </w:p>
        </w:tc>
      </w:tr>
      <w:tr>
        <w:trPr/>
        <w:tc>
          <w:tcPr>
            <w:tcW w:w="1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Foreign:</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Japan</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vAlign w:val="center"/>
          </w:tcPr>
          <w:p>
            <w:pPr>
              <w:pStyle w:val="TableContents"/>
              <w:bidi w:val="0"/>
              <w:spacing w:before="0" w:after="0"/>
              <w:ind w:left="0" w:right="0" w:hanging="0"/>
              <w:jc w:val="left"/>
              <w:rPr/>
            </w:pPr>
            <w:r>
              <w:rPr/>
              <w:t> </w:t>
            </w:r>
          </w:p>
        </w:tc>
      </w:tr>
      <w:tr>
        <w:trPr/>
        <w:tc>
          <w:tcPr>
            <w:tcW w:w="1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Australia</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191" w:type="dxa"/>
            <w:tcBorders/>
            <w:vAlign w:val="center"/>
          </w:tcPr>
          <w:p>
            <w:pPr>
              <w:pStyle w:val="TableContents"/>
              <w:bidi w:val="0"/>
              <w:spacing w:before="0" w:after="0"/>
              <w:ind w:left="0" w:right="0" w:hanging="0"/>
              <w:jc w:val="left"/>
              <w:rPr/>
            </w:pPr>
            <w:r>
              <w:rPr/>
              <w:t> </w:t>
            </w:r>
          </w:p>
        </w:tc>
      </w:tr>
      <w:tr>
        <w:trPr/>
        <w:tc>
          <w:tcPr>
            <w:tcW w:w="1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United Kingdom</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11,753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8,335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22,303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15,874</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Revenue and cost of sales by customer type for the three-months and six-months ended June 30, 2023 and 2022 were as follows (in thousands):</w:t>
      </w:r>
    </w:p>
    <w:p>
      <w:pPr>
        <w:pStyle w:val="TextBody"/>
        <w:bidi w:val="0"/>
        <w:spacing w:before="40" w:after="0"/>
        <w:jc w:val="left"/>
        <w:rPr/>
      </w:pPr>
      <w:r>
        <w:rPr/>
        <w:t> </w:t>
      </w:r>
    </w:p>
    <w:p>
      <w:pPr>
        <w:pStyle w:val="TextBody"/>
        <w:bidi w:val="0"/>
        <w:spacing w:before="0" w:after="0"/>
        <w:jc w:val="left"/>
        <w:rPr/>
      </w:pPr>
      <w:r>
        <w:rPr/>
        <w:t> </w:t>
      </w:r>
    </w:p>
    <w:tbl>
      <w:tblPr>
        <w:tblW w:w="9404" w:type="dxa"/>
        <w:jc w:val="left"/>
        <w:tblInd w:w="0" w:type="dxa"/>
        <w:tblLayout w:type="fixed"/>
        <w:tblCellMar>
          <w:top w:w="28" w:type="dxa"/>
          <w:left w:w="28" w:type="dxa"/>
          <w:bottom w:w="28" w:type="dxa"/>
          <w:right w:w="28" w:type="dxa"/>
        </w:tblCellMar>
      </w:tblPr>
      <w:tblGrid>
        <w:gridCol w:w="3091"/>
        <w:gridCol w:w="146"/>
        <w:gridCol w:w="303"/>
        <w:gridCol w:w="972"/>
        <w:gridCol w:w="146"/>
        <w:gridCol w:w="146"/>
        <w:gridCol w:w="344"/>
        <w:gridCol w:w="931"/>
        <w:gridCol w:w="146"/>
        <w:gridCol w:w="146"/>
        <w:gridCol w:w="303"/>
        <w:gridCol w:w="972"/>
        <w:gridCol w:w="146"/>
        <w:gridCol w:w="146"/>
        <w:gridCol w:w="303"/>
        <w:gridCol w:w="972"/>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4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Six-Months Ended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Revenue:</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sales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15,688</w:t>
            </w:r>
          </w:p>
        </w:tc>
        <w:tc>
          <w:tcPr>
            <w:tcW w:w="19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BARDA:</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Services for emergency preparedness</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11,753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8,335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22,303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15,874</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tbl>
      <w:tblPr>
        <w:tblW w:w="9478" w:type="dxa"/>
        <w:jc w:val="left"/>
        <w:tblInd w:w="0" w:type="dxa"/>
        <w:tblLayout w:type="fixed"/>
        <w:tblCellMar>
          <w:top w:w="28" w:type="dxa"/>
          <w:left w:w="28" w:type="dxa"/>
          <w:bottom w:w="28" w:type="dxa"/>
          <w:right w:w="28" w:type="dxa"/>
        </w:tblCellMar>
      </w:tblPr>
      <w:tblGrid>
        <w:gridCol w:w="3121"/>
        <w:gridCol w:w="146"/>
        <w:gridCol w:w="343"/>
        <w:gridCol w:w="932"/>
        <w:gridCol w:w="148"/>
        <w:gridCol w:w="148"/>
        <w:gridCol w:w="343"/>
        <w:gridCol w:w="932"/>
        <w:gridCol w:w="146"/>
        <w:gridCol w:w="146"/>
        <w:gridCol w:w="344"/>
        <w:gridCol w:w="931"/>
        <w:gridCol w:w="166"/>
        <w:gridCol w:w="146"/>
        <w:gridCol w:w="344"/>
        <w:gridCol w:w="931"/>
        <w:gridCol w:w="21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6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Six-Months Ended</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8"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Cost of sales:</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cost</w:t>
            </w:r>
          </w:p>
        </w:tc>
        <w:tc>
          <w:tcPr>
            <w:tcW w:w="146"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2,108</w:t>
            </w:r>
          </w:p>
        </w:tc>
        <w:tc>
          <w:tcPr>
            <w:tcW w:w="148"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3,007</w:t>
            </w:r>
          </w:p>
        </w:tc>
        <w:tc>
          <w:tcPr>
            <w:tcW w:w="21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BARDA:</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right"/>
              <w:rPr/>
            </w:pPr>
            <w:r>
              <w:rPr/>
              <w:t> </w:t>
            </w:r>
          </w:p>
        </w:tc>
        <w:tc>
          <w:tcPr>
            <w:tcW w:w="148" w:type="dxa"/>
            <w:tcBorders/>
            <w:vAlign w:val="center"/>
          </w:tcPr>
          <w:p>
            <w:pPr>
              <w:pStyle w:val="TableContents"/>
              <w:bidi w:val="0"/>
              <w:spacing w:before="0" w:after="0"/>
              <w:ind w:left="0" w:right="0" w:hanging="0"/>
              <w:jc w:val="right"/>
              <w:rPr/>
            </w:pPr>
            <w:r>
              <w:rPr/>
              <w:t> </w:t>
            </w:r>
          </w:p>
        </w:tc>
        <w:tc>
          <w:tcPr>
            <w:tcW w:w="148"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Product cost</w:t>
            </w:r>
          </w:p>
        </w:tc>
        <w:tc>
          <w:tcPr>
            <w:tcW w:w="146"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48"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Emergency preparedness service cost</w:t>
            </w:r>
          </w:p>
        </w:tc>
        <w:tc>
          <w:tcPr>
            <w:tcW w:w="146" w:type="dxa"/>
            <w:tcBorders/>
            <w:vAlign w:val="center"/>
          </w:tcPr>
          <w:p>
            <w:pPr>
              <w:pStyle w:val="TableContents"/>
              <w:bidi w:val="0"/>
              <w:spacing w:before="0" w:after="0"/>
              <w:ind w:left="0" w:right="0" w:hanging="0"/>
              <w:jc w:val="left"/>
              <w:rPr/>
            </w:pPr>
            <w:r>
              <w:rPr/>
              <w:t> </w:t>
            </w:r>
          </w:p>
        </w:tc>
        <w:tc>
          <w:tcPr>
            <w:tcW w:w="3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3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3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2,204</w:t>
            </w:r>
          </w:p>
        </w:tc>
        <w:tc>
          <w:tcPr>
            <w:tcW w:w="1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3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3,164</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12. Contingencies</w:t>
      </w:r>
      <w:r>
        <w:rPr>
          <w:rFonts w:ascii="Times New Roman" w:hAnsi="Times New Roman"/>
          <w:sz w:val="20"/>
        </w:rPr>
        <w:t xml:space="preserve">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Company is subject to certain contingencies arising in the ordinary course of business. The Company records accruals for these contingencies to the extent that a loss is both probable and reasonably estimable. If some amount within a range of loss appears to be a better estimate than any other amount within the range, that amount is accrued. Alternatively, when no amount within a range of loss appears to be a better estimate than any other amount, the lowest amount in the range is accrued. The Company expenses legal costs associated with loss contingencies as incurred. As of June 30, 2023 and December 31, 2022, the Company did not have any outstanding or threatened litigation that would have a material impact on the financial statements.</w:t>
      </w:r>
    </w:p>
    <w:p>
      <w:pPr>
        <w:pStyle w:val="TextBody"/>
        <w:bidi w:val="0"/>
        <w:spacing w:before="360" w:after="0"/>
        <w:jc w:val="left"/>
        <w:rPr>
          <w:rFonts w:ascii="Times New Roman" w:hAnsi="Times New Roman"/>
          <w:sz w:val="20"/>
        </w:rPr>
      </w:pPr>
      <w:r>
        <w:rPr>
          <w:rFonts w:ascii="Times New Roman;serif" w:hAnsi="Times New Roman;serif"/>
          <w:b/>
          <w:sz w:val="20"/>
        </w:rPr>
        <w:t>13. Common and Preferred Stock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Company’s CHESS Depositary Interests (“</w:t>
      </w:r>
      <w:r>
        <w:rPr>
          <w:rFonts w:ascii="Times New Roman;serif" w:hAnsi="Times New Roman;serif"/>
          <w:b/>
          <w:sz w:val="20"/>
        </w:rPr>
        <w:t>CDIs</w:t>
      </w:r>
      <w:r>
        <w:rPr>
          <w:rFonts w:ascii="Times New Roman" w:hAnsi="Times New Roman"/>
          <w:sz w:val="20"/>
        </w:rPr>
        <w:t>”</w:t>
      </w:r>
      <w:r>
        <w:rPr>
          <w:rFonts w:ascii="Times New Roman;serif" w:hAnsi="Times New Roman;serif"/>
          <w:b w:val="false"/>
          <w:sz w:val="20"/>
        </w:rPr>
        <w:t>) are quoted on the ASX under the ticker code, “AVH”. The Company’s shares of common stock are quoted on the Nasdaq Capital Market (“</w:t>
      </w:r>
      <w:r>
        <w:rPr>
          <w:rFonts w:ascii="Times New Roman;serif" w:hAnsi="Times New Roman;serif"/>
          <w:b/>
          <w:sz w:val="20"/>
        </w:rPr>
        <w:t>Nasdaq</w:t>
      </w:r>
      <w:r>
        <w:rPr>
          <w:rFonts w:ascii="Times New Roman" w:hAnsi="Times New Roman"/>
          <w:sz w:val="20"/>
        </w:rPr>
        <w:t>”</w:t>
      </w:r>
      <w:r>
        <w:rPr>
          <w:rFonts w:ascii="Times New Roman;serif" w:hAnsi="Times New Roman;serif"/>
          <w:b w:val="false"/>
          <w:sz w:val="20"/>
        </w:rPr>
        <w:t>) under the ticker code, “RCEL”. One share of common stock on Nasdaq is equivalent to five CDIs on the ASX.</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 is authorized to issue 200,000,000</w:t>
      </w:r>
      <w:r>
        <w:rPr>
          <w:rFonts w:ascii="Times New Roman" w:hAnsi="Times New Roman"/>
          <w:sz w:val="20"/>
        </w:rPr>
        <w:t xml:space="preserve"> </w:t>
      </w:r>
      <w:r>
        <w:rPr>
          <w:rFonts w:ascii="Times New Roman;serif" w:hAnsi="Times New Roman;serif"/>
          <w:b w:val="false"/>
          <w:sz w:val="20"/>
        </w:rPr>
        <w:t>shares of common stock, par value $0.0001</w:t>
      </w:r>
      <w:r>
        <w:rPr>
          <w:rFonts w:ascii="Times New Roman" w:hAnsi="Times New Roman"/>
          <w:sz w:val="20"/>
        </w:rPr>
        <w:t xml:space="preserve"> </w:t>
      </w:r>
      <w:r>
        <w:rPr>
          <w:rFonts w:ascii="Times New Roman;serif" w:hAnsi="Times New Roman;serif"/>
          <w:b w:val="false"/>
          <w:sz w:val="20"/>
        </w:rPr>
        <w:t>per share, and 10,000,000</w:t>
      </w:r>
      <w:r>
        <w:rPr>
          <w:rFonts w:ascii="Times New Roman" w:hAnsi="Times New Roman"/>
          <w:sz w:val="20"/>
        </w:rPr>
        <w:t xml:space="preserve"> </w:t>
      </w:r>
      <w:r>
        <w:rPr>
          <w:rFonts w:ascii="Times New Roman;serif" w:hAnsi="Times New Roman;serif"/>
          <w:b w:val="false"/>
          <w:sz w:val="20"/>
        </w:rPr>
        <w:t>shares of preferred stock, par value $0.0001</w:t>
      </w:r>
      <w:r>
        <w:rPr>
          <w:rFonts w:ascii="Times New Roman" w:hAnsi="Times New Roman"/>
          <w:sz w:val="20"/>
        </w:rPr>
        <w:t xml:space="preserve"> </w:t>
      </w:r>
      <w:r>
        <w:rPr>
          <w:rFonts w:ascii="Times New Roman;serif" w:hAnsi="Times New Roman;serif"/>
          <w:b w:val="false"/>
          <w:sz w:val="20"/>
        </w:rPr>
        <w:t>per share, issuable in one or more series as designated by the Company’s board of directors. No other class of capital stock is authorized. As of June 30, 2023, and December 31, 2022, 25,447,615</w:t>
      </w:r>
      <w:r>
        <w:rPr>
          <w:rFonts w:ascii="Times New Roman" w:hAnsi="Times New Roman"/>
          <w:sz w:val="20"/>
        </w:rPr>
        <w:t xml:space="preserve"> </w:t>
      </w:r>
      <w:r>
        <w:rPr>
          <w:rFonts w:ascii="Times New Roman;serif" w:hAnsi="Times New Roman;serif"/>
          <w:b w:val="false"/>
          <w:sz w:val="20"/>
        </w:rPr>
        <w:t>and 25,208,436</w:t>
      </w:r>
      <w:r>
        <w:rPr>
          <w:rFonts w:ascii="Times New Roman" w:hAnsi="Times New Roman"/>
          <w:sz w:val="20"/>
        </w:rPr>
        <w:t xml:space="preserve"> </w:t>
      </w:r>
      <w:r>
        <w:rPr>
          <w:rFonts w:ascii="Times New Roman;serif" w:hAnsi="Times New Roman;serif"/>
          <w:b w:val="false"/>
          <w:sz w:val="20"/>
        </w:rPr>
        <w:t>shares of common stock, respectively, were issued and outstanding and no</w:t>
      </w:r>
      <w:r>
        <w:rPr>
          <w:rFonts w:ascii="Times New Roman" w:hAnsi="Times New Roman"/>
          <w:sz w:val="20"/>
        </w:rPr>
        <w:t xml:space="preserve"> </w:t>
      </w:r>
      <w:r>
        <w:rPr>
          <w:rFonts w:ascii="Times New Roman;serif" w:hAnsi="Times New Roman;serif"/>
          <w:b w:val="false"/>
          <w:sz w:val="20"/>
        </w:rPr>
        <w:t>shares of preferred stock were outstanding during any period.</w:t>
      </w:r>
    </w:p>
    <w:p>
      <w:pPr>
        <w:pStyle w:val="TextBody"/>
        <w:bidi w:val="0"/>
        <w:spacing w:before="360" w:after="0"/>
        <w:jc w:val="left"/>
        <w:rPr>
          <w:rFonts w:ascii="Times New Roman" w:hAnsi="Times New Roman"/>
          <w:sz w:val="20"/>
        </w:rPr>
      </w:pPr>
      <w:r>
        <w:rPr>
          <w:rFonts w:ascii="Times New Roman;serif" w:hAnsi="Times New Roman;serif"/>
          <w:b/>
          <w:sz w:val="20"/>
        </w:rPr>
        <w:t>14. Stock-Based Payment Plans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Overview of Employee Stock-Based Compensation Plans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Our former parent company, AVITA Medical Pty Limited, adopted the Employee Share Plan and the Incentive Option Plan (collectively, the “</w:t>
      </w:r>
      <w:r>
        <w:rPr>
          <w:rFonts w:ascii="Times New Roman;serif" w:hAnsi="Times New Roman;serif"/>
          <w:b/>
          <w:sz w:val="20"/>
        </w:rPr>
        <w:t>2016 Plans</w:t>
      </w:r>
      <w:r>
        <w:rPr>
          <w:rFonts w:ascii="Times New Roman" w:hAnsi="Times New Roman"/>
          <w:sz w:val="20"/>
        </w:rPr>
        <w:t>”</w:t>
      </w:r>
      <w:r>
        <w:rPr>
          <w:rFonts w:ascii="Times New Roman;serif" w:hAnsi="Times New Roman;serif"/>
          <w:b w:val="false"/>
          <w:sz w:val="20"/>
        </w:rPr>
        <w:t>). Upon completion of the redomiciliation of the Company from Australia to the United States in June 2020 (“</w:t>
      </w:r>
      <w:r>
        <w:rPr>
          <w:rFonts w:ascii="Times New Roman;serif" w:hAnsi="Times New Roman;serif"/>
          <w:b/>
          <w:sz w:val="20"/>
        </w:rPr>
        <w:t>Redomiciliation</w:t>
      </w:r>
      <w:r>
        <w:rPr>
          <w:rFonts w:ascii="Times New Roman" w:hAnsi="Times New Roman"/>
          <w:sz w:val="20"/>
        </w:rPr>
        <w:t>”</w:t>
      </w:r>
      <w:r>
        <w:rPr>
          <w:rFonts w:ascii="Times New Roman;serif" w:hAnsi="Times New Roman;serif"/>
          <w:b w:val="false"/>
          <w:sz w:val="20"/>
        </w:rPr>
        <w:t>), the 2016 Plans were terminated with respect to future grants and accordingly, there are no more shares available to be issued under the 2016 Plans. In addition, upon completion of the Redomiciliation, the Company had an implicit consolidation or reverse stock split of 100:1</w:t>
      </w:r>
      <w:r>
        <w:rPr>
          <w:rFonts w:ascii="Times New Roman" w:hAnsi="Times New Roman"/>
          <w:sz w:val="20"/>
        </w:rPr>
        <w:t xml:space="preserve"> </w:t>
      </w:r>
      <w:r>
        <w:rPr>
          <w:rFonts w:ascii="Times New Roman;serif" w:hAnsi="Times New Roman;serif"/>
          <w:b w:val="false"/>
          <w:sz w:val="20"/>
        </w:rPr>
        <w:t>and all share information presented below in relation to the 2016 Plans has been presented on a reverse stock split basis. During November 2020, the Company filed a registration statement on Form S-8 to register a total of 1,750,000</w:t>
      </w:r>
      <w:r>
        <w:rPr>
          <w:rFonts w:ascii="Times New Roman" w:hAnsi="Times New Roman"/>
          <w:sz w:val="20"/>
        </w:rPr>
        <w:t xml:space="preserve"> </w:t>
      </w:r>
      <w:r>
        <w:rPr>
          <w:rFonts w:ascii="Times New Roman;serif" w:hAnsi="Times New Roman;serif"/>
          <w:b w:val="false"/>
          <w:sz w:val="20"/>
        </w:rPr>
        <w:t>shares of common stock which may be issued pursuant to the terms of the 2020 Plan.</w:t>
      </w:r>
      <w:r>
        <w:rPr>
          <w:rFonts w:ascii="Times New Roman" w:hAnsi="Times New Roman"/>
          <w:sz w:val="20"/>
        </w:rPr>
        <w:t xml:space="preserve"> </w:t>
      </w:r>
      <w:r>
        <w:rPr>
          <w:rFonts w:ascii="Times New Roman;serif" w:hAnsi="Times New Roman;serif"/>
          <w:b w:val="false"/>
          <w:sz w:val="20"/>
        </w:rPr>
        <w:t>During June 2023, the Company filed a registration statement on Form S-8 to register an additional 2,500,000</w:t>
      </w:r>
      <w:r>
        <w:rPr>
          <w:rFonts w:ascii="Times New Roman" w:hAnsi="Times New Roman"/>
          <w:sz w:val="20"/>
        </w:rPr>
        <w:t xml:space="preserve"> </w:t>
      </w:r>
      <w:r>
        <w:rPr>
          <w:rFonts w:ascii="Times New Roman;serif" w:hAnsi="Times New Roman;serif"/>
          <w:b w:val="false"/>
          <w:sz w:val="20"/>
        </w:rPr>
        <w:t xml:space="preserve">shares of common stock under the 2020 Plan. The increase in shares available for issuance was a result of the stockholders of AVITA Medical, Inc. approving an amendment to the 2020 Plan on June 6, 2023 at the Company’s 2023 Annual Meeting of Stockholders (the </w:t>
      </w:r>
      <w:r>
        <w:rPr>
          <w:rFonts w:ascii="Times New Roman" w:hAnsi="Times New Roman"/>
          <w:sz w:val="20"/>
        </w:rPr>
        <w:t>“</w:t>
      </w:r>
      <w:r>
        <w:rPr>
          <w:rFonts w:ascii="Times New Roman;serif" w:hAnsi="Times New Roman;serif"/>
          <w:b/>
          <w:sz w:val="20"/>
        </w:rPr>
        <w:t>2023 Annual Meeting”</w:t>
      </w:r>
      <w:r>
        <w:rPr>
          <w:rFonts w:ascii="Times New Roman;serif" w:hAnsi="Times New Roman;serif"/>
          <w:b w:val="false"/>
          <w:sz w:val="20"/>
        </w:rPr>
        <w:t>).</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On December 22, 2021, the Company’s stockholders approved the issuance of options and RSUs to the Board of Directors in accordance with ASX rules. These awards are subject to the vesting and performance conditions as denoted in the individual agreements (collectively, the "</w:t>
      </w:r>
      <w:r>
        <w:rPr>
          <w:rFonts w:ascii="Times New Roman;serif" w:hAnsi="Times New Roman;serif"/>
          <w:b/>
          <w:sz w:val="20"/>
        </w:rPr>
        <w:t>2021 Annual Meeting Awards</w:t>
      </w:r>
      <w:r>
        <w:rPr>
          <w:rFonts w:ascii="Times New Roman;serif" w:hAnsi="Times New Roman;serif"/>
          <w:b w:val="false"/>
          <w:sz w:val="20"/>
        </w:rPr>
        <w:t>"). On December 12, 2022, the Company's stockholders approved the issuance of options and RSUs to the Board of Directors and the CEO in accordance with ASX rules. These awards are subject to vesting conditions as denoted in the individual agreements (collectively, the "</w:t>
      </w:r>
      <w:r>
        <w:rPr>
          <w:rFonts w:ascii="Times New Roman;serif" w:hAnsi="Times New Roman;serif"/>
          <w:b/>
          <w:sz w:val="20"/>
        </w:rPr>
        <w:t>2022 Annual Meeting Awards</w:t>
      </w:r>
      <w:r>
        <w:rPr>
          <w:rFonts w:ascii="Times New Roman;serif" w:hAnsi="Times New Roman;serif"/>
          <w:b w:val="false"/>
          <w:sz w:val="20"/>
        </w:rPr>
        <w:t>"). On June 6, 2023, the Company's stockholders approved the issuance of options and RSUs to the Board of Directors and the CEO in accordance with ASX rules. These awards are subject to vesting conditions as denoted in the individual agreements (collectively, the "</w:t>
      </w:r>
      <w:r>
        <w:rPr>
          <w:rFonts w:ascii="Times New Roman;serif" w:hAnsi="Times New Roman;serif"/>
          <w:b/>
          <w:sz w:val="20"/>
        </w:rPr>
        <w:t>2023 Annual Meeting Awards</w:t>
      </w:r>
      <w:r>
        <w:rPr>
          <w:rFonts w:ascii="Times New Roman;serif" w:hAnsi="Times New Roman;serif"/>
          <w:b w:val="false"/>
          <w:sz w:val="20"/>
        </w:rPr>
        <w:t>").</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2020 Plan provides for the grant of the following Grants: (a) Incentive Stock Options, (b) Nonstatutory Stock Options, (c) Stock Appreciation Rights, (d) Restricted Stock Grants, (e) Restricted Stock Unit Grants, (f) Performance Grants, and (g) Other Grants. The 2020 Plan will be administered by the Compensation Committee or by the Board acting as the Compensation Committee. Subject to the general purposes, terms and conditions of the 2020 Plan, applicable law and any charter adopted by the Board governing the actions of the Compensation Committee, the Compensation Committee will have full power to implement and carry out the 2020 Plan. Without limitation, the Compensation Committee will have the authority to interpret the plan, approve persons to receive grants, determine the terms and number of shares of the grants, determine vesting and exercisability of grants, and make all other determinations necessary or advisable in connection with the administration of this Plan.</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contractual term of stock option awards granted under the 2020 Plan is ten years</w:t>
      </w:r>
      <w:r>
        <w:rPr>
          <w:rFonts w:ascii="Times New Roman" w:hAnsi="Times New Roman"/>
          <w:sz w:val="20"/>
        </w:rPr>
        <w:t xml:space="preserve"> </w:t>
      </w:r>
      <w:r>
        <w:rPr>
          <w:rFonts w:ascii="Times New Roman;serif" w:hAnsi="Times New Roman;serif"/>
          <w:b w:val="false"/>
          <w:sz w:val="20"/>
        </w:rPr>
        <w:t>from the grant date. Unless otherwise specified, the vesting periods of options and RSUs granted under the 2020 Plan are: (i) vest over a three-year</w:t>
      </w:r>
      <w:r>
        <w:rPr>
          <w:rFonts w:ascii="Times New Roman" w:hAnsi="Times New Roman"/>
          <w:sz w:val="20"/>
        </w:rPr>
        <w:t xml:space="preserve"> </w:t>
      </w:r>
      <w:r>
        <w:rPr>
          <w:rFonts w:ascii="Times New Roman;serif" w:hAnsi="Times New Roman;serif"/>
          <w:b w:val="false"/>
          <w:sz w:val="20"/>
        </w:rPr>
        <w:t>or four-year</w:t>
      </w:r>
      <w:r>
        <w:rPr>
          <w:rFonts w:ascii="Times New Roman" w:hAnsi="Times New Roman"/>
          <w:sz w:val="20"/>
        </w:rPr>
        <w:t xml:space="preserve"> </w:t>
      </w:r>
      <w:r>
        <w:rPr>
          <w:rFonts w:ascii="Times New Roman;serif" w:hAnsi="Times New Roman;serif"/>
          <w:b w:val="false"/>
          <w:sz w:val="20"/>
        </w:rPr>
        <w:t>period in equal installments at the end of each year from the date of grant, and /or (ii) subject to other performance criteria and hurdles, as determined by the Compensation Committee.</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Stock-Based Payment Expenses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Stock-based payment transactions are recognized as compensation expense based on the fair value of the instrument on the date of grant. The Company uses the graded-vesting method to recognize compensation expense. Compensation cost is reduced for forfeitures as they occur in accordance with</w:t>
      </w:r>
      <w:r>
        <w:rPr>
          <w:rFonts w:ascii="Times New Roman" w:hAnsi="Times New Roman"/>
          <w:sz w:val="20"/>
        </w:rPr>
        <w:t xml:space="preserve"> </w:t>
      </w:r>
      <w:r>
        <w:rPr>
          <w:rFonts w:ascii="Times New Roman;serif" w:hAnsi="Times New Roman;serif"/>
          <w:b w:val="false"/>
          <w:i/>
          <w:sz w:val="20"/>
        </w:rPr>
        <w:t>ASU 2016-09</w:t>
      </w:r>
      <w:r>
        <w:rPr>
          <w:rFonts w:ascii="Times New Roman;serif" w:hAnsi="Times New Roman;serif"/>
          <w:b w:val="false"/>
          <w:sz w:val="20"/>
        </w:rPr>
        <w:t>,</w:t>
      </w:r>
      <w:r>
        <w:rPr>
          <w:rFonts w:ascii="Times New Roman" w:hAnsi="Times New Roman"/>
          <w:sz w:val="20"/>
        </w:rPr>
        <w:t xml:space="preserve"> </w:t>
      </w:r>
      <w:r>
        <w:rPr>
          <w:rFonts w:ascii="Times New Roman;serif" w:hAnsi="Times New Roman;serif"/>
          <w:b w:val="false"/>
          <w:i/>
          <w:sz w:val="20"/>
        </w:rPr>
        <w:t>Simplifying the Accounting for Share-Based Payment.</w:t>
      </w:r>
      <w:r>
        <w:rPr>
          <w:rFonts w:ascii="Times New Roman" w:hAnsi="Times New Roman"/>
          <w:sz w:val="20"/>
        </w:rPr>
        <w:t xml:space="preserve"> </w:t>
      </w:r>
      <w:r>
        <w:rPr>
          <w:rFonts w:ascii="Times New Roman;serif" w:hAnsi="Times New Roman;serif"/>
          <w:b w:val="false"/>
          <w:sz w:val="20"/>
        </w:rPr>
        <w:t>The Company recorded stock-based compensation expense of $1.1</w:t>
      </w:r>
      <w:r>
        <w:rPr>
          <w:rFonts w:ascii="Times New Roman" w:hAnsi="Times New Roman"/>
          <w:sz w:val="20"/>
        </w:rPr>
        <w:t xml:space="preserve"> </w:t>
      </w:r>
      <w:r>
        <w:rPr>
          <w:rFonts w:ascii="Times New Roman;serif" w:hAnsi="Times New Roman;serif"/>
          <w:b w:val="false"/>
          <w:sz w:val="20"/>
        </w:rPr>
        <w:t>million and $1.4</w:t>
      </w:r>
      <w:r>
        <w:rPr>
          <w:rFonts w:ascii="Times New Roman" w:hAnsi="Times New Roman"/>
          <w:sz w:val="20"/>
        </w:rPr>
        <w:t xml:space="preserve"> </w:t>
      </w:r>
      <w:r>
        <w:rPr>
          <w:rFonts w:ascii="Times New Roman;serif" w:hAnsi="Times New Roman;serif"/>
          <w:b w:val="false"/>
          <w:sz w:val="20"/>
        </w:rPr>
        <w:t>million for the three-months ended June 30, 2023 and 2022, respectively, and $3.8</w:t>
      </w:r>
      <w:r>
        <w:rPr>
          <w:rFonts w:ascii="Times New Roman" w:hAnsi="Times New Roman"/>
          <w:sz w:val="20"/>
        </w:rPr>
        <w:t xml:space="preserve"> </w:t>
      </w:r>
      <w:r>
        <w:rPr>
          <w:rFonts w:ascii="Times New Roman;serif" w:hAnsi="Times New Roman;serif"/>
          <w:b w:val="false"/>
          <w:sz w:val="20"/>
        </w:rPr>
        <w:t>million and $4.3</w:t>
      </w:r>
      <w:r>
        <w:rPr>
          <w:rFonts w:ascii="Times New Roman" w:hAnsi="Times New Roman"/>
          <w:sz w:val="20"/>
        </w:rPr>
        <w:t xml:space="preserve"> </w:t>
      </w:r>
      <w:r>
        <w:rPr>
          <w:rFonts w:ascii="Times New Roman;serif" w:hAnsi="Times New Roman;serif"/>
          <w:b w:val="false"/>
          <w:sz w:val="20"/>
        </w:rPr>
        <w:t>million for the six-months ended June 30, 2023 and 2022, respectively. No</w:t>
      </w:r>
      <w:r>
        <w:rPr>
          <w:rFonts w:ascii="Times New Roman" w:hAnsi="Times New Roman"/>
          <w:sz w:val="20"/>
        </w:rPr>
        <w:t xml:space="preserve"> </w:t>
      </w:r>
      <w:r>
        <w:rPr>
          <w:rFonts w:ascii="Times New Roman;serif" w:hAnsi="Times New Roman;serif"/>
          <w:b w:val="false"/>
          <w:sz w:val="20"/>
        </w:rPr>
        <w:t>income tax benefit was recognized in the Consolidated Statements of Operations for stock-based payment arrangements for the three-months and six-months ended June 30, 2023, and 2022.</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Company has included stock-based compensation expense as part of operating expenses in the accompanying Consolidated Statements of Operations as follows:</w:t>
      </w:r>
    </w:p>
    <w:p>
      <w:pPr>
        <w:pStyle w:val="TextBody"/>
        <w:bidi w:val="0"/>
        <w:spacing w:before="0" w:after="0"/>
        <w:jc w:val="left"/>
        <w:rPr/>
      </w:pPr>
      <w:r>
        <w:rPr/>
        <w:t> </w:t>
      </w:r>
    </w:p>
    <w:tbl>
      <w:tblPr>
        <w:tblW w:w="9408" w:type="dxa"/>
        <w:jc w:val="left"/>
        <w:tblInd w:w="0" w:type="dxa"/>
        <w:tblLayout w:type="fixed"/>
        <w:tblCellMar>
          <w:top w:w="28" w:type="dxa"/>
          <w:left w:w="28" w:type="dxa"/>
          <w:bottom w:w="28" w:type="dxa"/>
          <w:right w:w="28" w:type="dxa"/>
        </w:tblCellMar>
      </w:tblPr>
      <w:tblGrid>
        <w:gridCol w:w="3091"/>
        <w:gridCol w:w="146"/>
        <w:gridCol w:w="343"/>
        <w:gridCol w:w="932"/>
        <w:gridCol w:w="148"/>
        <w:gridCol w:w="148"/>
        <w:gridCol w:w="343"/>
        <w:gridCol w:w="932"/>
        <w:gridCol w:w="146"/>
        <w:gridCol w:w="146"/>
        <w:gridCol w:w="344"/>
        <w:gridCol w:w="931"/>
        <w:gridCol w:w="146"/>
        <w:gridCol w:w="146"/>
        <w:gridCol w:w="344"/>
        <w:gridCol w:w="931"/>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4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Six-Months Ended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 thousands)</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8" w:type="dxa"/>
            <w:tcBorders/>
            <w:vAlign w:val="center"/>
          </w:tcPr>
          <w:p>
            <w:pPr>
              <w:pStyle w:val="TableContents"/>
              <w:bidi w:val="0"/>
              <w:spacing w:before="0" w:after="0"/>
              <w:ind w:left="0" w:right="0" w:hanging="0"/>
              <w:jc w:val="center"/>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 expenses</w:t>
            </w:r>
          </w:p>
        </w:tc>
        <w:tc>
          <w:tcPr>
            <w:tcW w:w="146"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148"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right"/>
              <w:rPr/>
            </w:pPr>
            <w:r>
              <w:rPr/>
              <w:t> </w:t>
            </w:r>
          </w:p>
        </w:tc>
        <w:tc>
          <w:tcPr>
            <w:tcW w:w="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614</w:t>
            </w:r>
          </w:p>
        </w:tc>
        <w:tc>
          <w:tcPr>
            <w:tcW w:w="19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818</w:t>
            </w:r>
          </w:p>
        </w:tc>
        <w:tc>
          <w:tcPr>
            <w:tcW w:w="148"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3,310</w:t>
            </w:r>
          </w:p>
        </w:tc>
        <w:tc>
          <w:tcPr>
            <w:tcW w:w="19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expenses</w:t>
            </w:r>
          </w:p>
        </w:tc>
        <w:tc>
          <w:tcPr>
            <w:tcW w:w="146" w:type="dxa"/>
            <w:tcBorders/>
            <w:vAlign w:val="center"/>
          </w:tcPr>
          <w:p>
            <w:pPr>
              <w:pStyle w:val="TableContents"/>
              <w:bidi w:val="0"/>
              <w:spacing w:before="0" w:after="0"/>
              <w:ind w:left="0" w:right="0" w:hanging="0"/>
              <w:jc w:val="left"/>
              <w:rPr/>
            </w:pPr>
            <w:r>
              <w:rPr/>
              <w:t> </w:t>
            </w:r>
          </w:p>
        </w:tc>
        <w:tc>
          <w:tcPr>
            <w:tcW w:w="3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3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3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1,143</w:t>
            </w:r>
          </w:p>
        </w:tc>
        <w:tc>
          <w:tcPr>
            <w:tcW w:w="1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3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3,783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4,346</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 summary of share option activity as of June 30, 2023, and changes during the period ended is presented below:</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959"/>
        <w:gridCol w:w="290"/>
        <w:gridCol w:w="1852"/>
        <w:gridCol w:w="166"/>
        <w:gridCol w:w="146"/>
        <w:gridCol w:w="384"/>
        <w:gridCol w:w="2232"/>
        <w:gridCol w:w="166"/>
        <w:gridCol w:w="146"/>
        <w:gridCol w:w="223"/>
        <w:gridCol w:w="1427"/>
        <w:gridCol w:w="214"/>
      </w:tblGrid>
      <w:tr>
        <w:trPr/>
        <w:tc>
          <w:tcPr>
            <w:tcW w:w="295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959" w:type="dxa"/>
            <w:tcBorders/>
            <w:vAlign w:val="center"/>
          </w:tcPr>
          <w:p>
            <w:pPr>
              <w:pStyle w:val="TableContents"/>
              <w:bidi w:val="0"/>
              <w:spacing w:before="0" w:after="0"/>
              <w:ind w:left="0" w:right="0" w:hanging="0"/>
              <w:jc w:val="left"/>
              <w:rPr/>
            </w:pPr>
            <w:r>
              <w:rPr/>
              <w:t> </w:t>
            </w:r>
          </w:p>
        </w:tc>
        <w:tc>
          <w:tcPr>
            <w:tcW w:w="2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Service Only Share Options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Performance Based Share Options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 Share Options</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shares at December 31, 2022</w:t>
            </w:r>
          </w:p>
        </w:tc>
        <w:tc>
          <w:tcPr>
            <w:tcW w:w="290" w:type="dxa"/>
            <w:tcBorders/>
            <w:vAlign w:val="center"/>
          </w:tcPr>
          <w:p>
            <w:pPr>
              <w:pStyle w:val="TableContents"/>
              <w:bidi w:val="0"/>
              <w:spacing w:before="0" w:after="0"/>
              <w:ind w:left="0" w:right="0" w:hanging="0"/>
              <w:jc w:val="left"/>
              <w:rPr/>
            </w:pPr>
            <w:r>
              <w:rPr/>
              <w:t> </w:t>
            </w:r>
          </w:p>
        </w:tc>
        <w:tc>
          <w:tcPr>
            <w:tcW w:w="1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1,724,252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4" w:type="dxa"/>
            <w:tcBorders/>
            <w:vAlign w:val="center"/>
          </w:tcPr>
          <w:p>
            <w:pPr>
              <w:pStyle w:val="TableContents"/>
              <w:bidi w:val="0"/>
              <w:spacing w:before="0" w:after="0"/>
              <w:ind w:left="0" w:right="0" w:hanging="0"/>
              <w:jc w:val="left"/>
              <w:rPr/>
            </w:pPr>
            <w:r>
              <w:rPr/>
              <w:t> </w:t>
            </w:r>
          </w:p>
        </w:tc>
        <w:tc>
          <w:tcPr>
            <w:tcW w:w="22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511,194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14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2,235,446</w:t>
            </w:r>
          </w:p>
        </w:tc>
        <w:tc>
          <w:tcPr>
            <w:tcW w:w="214" w:type="dxa"/>
            <w:tcBorders/>
            <w:vAlign w:val="center"/>
          </w:tcPr>
          <w:p>
            <w:pPr>
              <w:pStyle w:val="TableContents"/>
              <w:bidi w:val="0"/>
              <w:spacing w:before="0" w:after="0"/>
              <w:ind w:left="0" w:right="0" w:hanging="0"/>
              <w:jc w:val="left"/>
              <w:rPr/>
            </w:pPr>
            <w:r>
              <w:rPr/>
              <w:t> </w:t>
            </w:r>
          </w:p>
        </w:tc>
      </w:tr>
      <w:tr>
        <w:trPr/>
        <w:tc>
          <w:tcPr>
            <w:tcW w:w="29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290" w:type="dxa"/>
            <w:tcBorders/>
            <w:vAlign w:val="center"/>
          </w:tcPr>
          <w:p>
            <w:pPr>
              <w:pStyle w:val="TableContents"/>
              <w:bidi w:val="0"/>
              <w:spacing w:before="0" w:after="0"/>
              <w:ind w:left="0" w:right="0" w:hanging="0"/>
              <w:jc w:val="left"/>
              <w:rPr/>
            </w:pPr>
            <w:r>
              <w:rPr/>
              <w:t> </w:t>
            </w:r>
          </w:p>
        </w:tc>
        <w:tc>
          <w:tcPr>
            <w:tcW w:w="1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889,193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4" w:type="dxa"/>
            <w:tcBorders/>
            <w:vAlign w:val="center"/>
          </w:tcPr>
          <w:p>
            <w:pPr>
              <w:pStyle w:val="TableContents"/>
              <w:bidi w:val="0"/>
              <w:spacing w:before="0" w:after="0"/>
              <w:ind w:left="0" w:right="0" w:hanging="0"/>
              <w:jc w:val="left"/>
              <w:rPr/>
            </w:pPr>
            <w:r>
              <w:rPr/>
              <w:t> </w:t>
            </w:r>
          </w:p>
        </w:tc>
        <w:tc>
          <w:tcPr>
            <w:tcW w:w="22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14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889,193</w:t>
            </w:r>
          </w:p>
        </w:tc>
        <w:tc>
          <w:tcPr>
            <w:tcW w:w="214" w:type="dxa"/>
            <w:tcBorders/>
            <w:vAlign w:val="center"/>
          </w:tcPr>
          <w:p>
            <w:pPr>
              <w:pStyle w:val="TableContents"/>
              <w:bidi w:val="0"/>
              <w:spacing w:before="0" w:after="0"/>
              <w:ind w:left="0" w:right="0" w:hanging="0"/>
              <w:jc w:val="left"/>
              <w:rPr/>
            </w:pPr>
            <w:r>
              <w:rPr/>
              <w:t> </w:t>
            </w:r>
          </w:p>
        </w:tc>
      </w:tr>
      <w:tr>
        <w:trPr/>
        <w:tc>
          <w:tcPr>
            <w:tcW w:w="29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Exercised</w:t>
            </w:r>
          </w:p>
        </w:tc>
        <w:tc>
          <w:tcPr>
            <w:tcW w:w="290" w:type="dxa"/>
            <w:tcBorders/>
            <w:vAlign w:val="center"/>
          </w:tcPr>
          <w:p>
            <w:pPr>
              <w:pStyle w:val="TableContents"/>
              <w:bidi w:val="0"/>
              <w:spacing w:before="0" w:after="0"/>
              <w:ind w:left="0" w:right="0" w:hanging="0"/>
              <w:jc w:val="left"/>
              <w:rPr/>
            </w:pPr>
            <w:r>
              <w:rPr/>
              <w:t> </w:t>
            </w:r>
          </w:p>
        </w:tc>
        <w:tc>
          <w:tcPr>
            <w:tcW w:w="1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(116,529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84" w:type="dxa"/>
            <w:tcBorders/>
            <w:vAlign w:val="center"/>
          </w:tcPr>
          <w:p>
            <w:pPr>
              <w:pStyle w:val="TableContents"/>
              <w:bidi w:val="0"/>
              <w:spacing w:before="0" w:after="0"/>
              <w:ind w:left="0" w:right="0" w:hanging="0"/>
              <w:jc w:val="left"/>
              <w:rPr/>
            </w:pPr>
            <w:r>
              <w:rPr/>
              <w:t> </w:t>
            </w:r>
          </w:p>
        </w:tc>
        <w:tc>
          <w:tcPr>
            <w:tcW w:w="22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14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(146,529</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Expired</w:t>
            </w:r>
          </w:p>
        </w:tc>
        <w:tc>
          <w:tcPr>
            <w:tcW w:w="290" w:type="dxa"/>
            <w:tcBorders/>
            <w:vAlign w:val="center"/>
          </w:tcPr>
          <w:p>
            <w:pPr>
              <w:pStyle w:val="TableContents"/>
              <w:bidi w:val="0"/>
              <w:spacing w:before="0" w:after="0"/>
              <w:ind w:left="0" w:right="0" w:hanging="0"/>
              <w:jc w:val="left"/>
              <w:rPr/>
            </w:pPr>
            <w:r>
              <w:rPr/>
              <w:t> </w:t>
            </w:r>
          </w:p>
        </w:tc>
        <w:tc>
          <w:tcPr>
            <w:tcW w:w="1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(59,125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84" w:type="dxa"/>
            <w:tcBorders/>
            <w:vAlign w:val="center"/>
          </w:tcPr>
          <w:p>
            <w:pPr>
              <w:pStyle w:val="TableContents"/>
              <w:bidi w:val="0"/>
              <w:spacing w:before="0" w:after="0"/>
              <w:ind w:left="0" w:right="0" w:hanging="0"/>
              <w:jc w:val="left"/>
              <w:rPr/>
            </w:pPr>
            <w:r>
              <w:rPr/>
              <w:t> </w:t>
            </w:r>
          </w:p>
        </w:tc>
        <w:tc>
          <w:tcPr>
            <w:tcW w:w="22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(178,156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14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(237,281</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w:t>
            </w:r>
          </w:p>
        </w:tc>
        <w:tc>
          <w:tcPr>
            <w:tcW w:w="2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(58,413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(65,371</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shares at June 30, 2023</w:t>
            </w:r>
          </w:p>
        </w:tc>
        <w:tc>
          <w:tcPr>
            <w:tcW w:w="2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2,379,378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296,080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2,675,458</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Exercisable at June 30, 2023</w:t>
            </w:r>
          </w:p>
        </w:tc>
        <w:tc>
          <w:tcPr>
            <w:tcW w:w="290" w:type="dxa"/>
            <w:tcBorders/>
            <w:vAlign w:val="center"/>
          </w:tcPr>
          <w:p>
            <w:pPr>
              <w:pStyle w:val="TableContents"/>
              <w:bidi w:val="0"/>
              <w:spacing w:before="0" w:after="0"/>
              <w:ind w:left="0" w:right="0" w:hanging="0"/>
              <w:jc w:val="left"/>
              <w:rPr/>
            </w:pPr>
            <w:r>
              <w:rPr/>
              <w:t> </w:t>
            </w:r>
          </w:p>
        </w:tc>
        <w:tc>
          <w:tcPr>
            <w:tcW w:w="1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720,303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4" w:type="dxa"/>
            <w:tcBorders/>
            <w:vAlign w:val="center"/>
          </w:tcPr>
          <w:p>
            <w:pPr>
              <w:pStyle w:val="TableContents"/>
              <w:bidi w:val="0"/>
              <w:spacing w:before="0" w:after="0"/>
              <w:ind w:left="0" w:right="0" w:hanging="0"/>
              <w:jc w:val="left"/>
              <w:rPr/>
            </w:pPr>
            <w:r>
              <w:rPr/>
              <w:t> </w:t>
            </w:r>
          </w:p>
        </w:tc>
        <w:tc>
          <w:tcPr>
            <w:tcW w:w="22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235,896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14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956,199</w:t>
            </w:r>
          </w:p>
        </w:tc>
        <w:tc>
          <w:tcPr>
            <w:tcW w:w="214"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Restricted Stock Units</w:t>
      </w:r>
    </w:p>
    <w:p>
      <w:pPr>
        <w:pStyle w:val="TextBody"/>
        <w:bidi w:val="0"/>
        <w:spacing w:before="0" w:after="0"/>
        <w:jc w:val="left"/>
        <w:rPr>
          <w:rFonts w:ascii="Times New Roman" w:hAnsi="Times New Roman"/>
          <w:sz w:val="20"/>
        </w:rPr>
      </w:pPr>
      <w:r>
        <w:rPr>
          <w:rFonts w:ascii="Times New Roman;serif" w:hAnsi="Times New Roman;serif"/>
          <w:b w:val="false"/>
          <w:sz w:val="20"/>
        </w:rPr>
        <w:t>Restricted stock units are granted to executives as part of their long-term incentive compensation. RSUs granted to directors as a result of stockholder approval 2021 Annual Meeting, 2022 Annual Meeting and 2023 Annual Meeting are issued pursuant to award agreements between the Company and the holders of such securities. These RSU awards were approved by the Compensation Committee. All RSU awards vest in accordance with the tenure or performance conditions as determined by the Compensation Committee and set out in the contracts between the Company and the holders of such securities. The grant date fair value is determined based on the price of the Company stock price on the date of grant (stock price determined on Nasdaq).</w:t>
      </w:r>
      <w:r>
        <w:rPr>
          <w:rFonts w:ascii="Times New Roman" w:hAnsi="Times New Roman"/>
          <w:sz w:val="20"/>
        </w:rPr>
        <w:t xml:space="preserve">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 summary of the status of the Company’s unvested RSUs as of June 30, 2023, and changes that occurred during the period is presented below:</w:t>
      </w:r>
      <w:r>
        <w:rPr>
          <w:rFonts w:ascii="Times New Roman" w:hAnsi="Times New Roman"/>
          <w:sz w:val="20"/>
        </w:rPr>
        <w:t xml:space="preserve"> </w:t>
      </w:r>
    </w:p>
    <w:p>
      <w:pPr>
        <w:pStyle w:val="TextBody"/>
        <w:bidi w:val="0"/>
        <w:spacing w:before="0" w:after="0"/>
        <w:jc w:val="left"/>
        <w:rPr/>
      </w:pPr>
      <w:r>
        <w:rPr/>
        <w:t> </w:t>
      </w:r>
    </w:p>
    <w:tbl>
      <w:tblPr>
        <w:tblW w:w="9341" w:type="dxa"/>
        <w:jc w:val="left"/>
        <w:tblInd w:w="0" w:type="dxa"/>
        <w:tblLayout w:type="fixed"/>
        <w:tblCellMar>
          <w:top w:w="28" w:type="dxa"/>
          <w:left w:w="28" w:type="dxa"/>
          <w:bottom w:w="28" w:type="dxa"/>
          <w:right w:w="28" w:type="dxa"/>
        </w:tblCellMar>
      </w:tblPr>
      <w:tblGrid>
        <w:gridCol w:w="4216"/>
        <w:gridCol w:w="280"/>
        <w:gridCol w:w="1505"/>
        <w:gridCol w:w="166"/>
        <w:gridCol w:w="146"/>
        <w:gridCol w:w="238"/>
        <w:gridCol w:w="1202"/>
        <w:gridCol w:w="166"/>
        <w:gridCol w:w="146"/>
        <w:gridCol w:w="167"/>
        <w:gridCol w:w="898"/>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Unvested Shares</w:t>
            </w:r>
          </w:p>
        </w:tc>
        <w:tc>
          <w:tcPr>
            <w:tcW w:w="17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Tenure-Based RSUs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Performance</w:t>
              <w:br/>
              <w:t>Condition RSUs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 RSUs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RSUs outstanding at December 31, 2022</w:t>
            </w:r>
          </w:p>
        </w:tc>
        <w:tc>
          <w:tcPr>
            <w:tcW w:w="280" w:type="dxa"/>
            <w:tcBorders/>
            <w:vAlign w:val="center"/>
          </w:tcPr>
          <w:p>
            <w:pPr>
              <w:pStyle w:val="TableContents"/>
              <w:bidi w:val="0"/>
              <w:spacing w:before="0" w:after="0"/>
              <w:ind w:left="0" w:right="0" w:hanging="0"/>
              <w:jc w:val="left"/>
              <w:rPr/>
            </w:pPr>
            <w:r>
              <w:rPr/>
              <w:t> </w:t>
            </w:r>
          </w:p>
        </w:tc>
        <w:tc>
          <w:tcPr>
            <w:tcW w:w="15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394,872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8"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65,646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67"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460,518</w:t>
            </w:r>
          </w:p>
        </w:tc>
        <w:tc>
          <w:tcPr>
            <w:tcW w:w="211" w:type="dxa"/>
            <w:tcBorders/>
            <w:vAlign w:val="center"/>
          </w:tcPr>
          <w:p>
            <w:pPr>
              <w:pStyle w:val="TableContents"/>
              <w:bidi w:val="0"/>
              <w:spacing w:before="0" w:after="0"/>
              <w:ind w:left="0" w:right="0" w:hanging="0"/>
              <w:jc w:val="left"/>
              <w:rPr/>
            </w:pPr>
            <w:r>
              <w:rPr/>
              <w:t> </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280" w:type="dxa"/>
            <w:tcBorders/>
            <w:vAlign w:val="center"/>
          </w:tcPr>
          <w:p>
            <w:pPr>
              <w:pStyle w:val="TableContents"/>
              <w:bidi w:val="0"/>
              <w:spacing w:before="0" w:after="0"/>
              <w:ind w:left="0" w:right="0" w:hanging="0"/>
              <w:jc w:val="left"/>
              <w:rPr/>
            </w:pPr>
            <w:r>
              <w:rPr/>
              <w:t> </w:t>
            </w:r>
          </w:p>
        </w:tc>
        <w:tc>
          <w:tcPr>
            <w:tcW w:w="15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57,798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8"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67"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57,798</w:t>
            </w:r>
          </w:p>
        </w:tc>
        <w:tc>
          <w:tcPr>
            <w:tcW w:w="211" w:type="dxa"/>
            <w:tcBorders/>
            <w:vAlign w:val="center"/>
          </w:tcPr>
          <w:p>
            <w:pPr>
              <w:pStyle w:val="TableContents"/>
              <w:bidi w:val="0"/>
              <w:spacing w:before="0" w:after="0"/>
              <w:ind w:left="0" w:right="0" w:hanging="0"/>
              <w:jc w:val="left"/>
              <w:rPr/>
            </w:pPr>
            <w:r>
              <w:rPr/>
              <w:t> </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Vested</w:t>
            </w:r>
          </w:p>
        </w:tc>
        <w:tc>
          <w:tcPr>
            <w:tcW w:w="280" w:type="dxa"/>
            <w:tcBorders/>
            <w:vAlign w:val="center"/>
          </w:tcPr>
          <w:p>
            <w:pPr>
              <w:pStyle w:val="TableContents"/>
              <w:bidi w:val="0"/>
              <w:spacing w:before="0" w:after="0"/>
              <w:ind w:left="0" w:right="0" w:hanging="0"/>
              <w:jc w:val="left"/>
              <w:rPr/>
            </w:pPr>
            <w:r>
              <w:rPr/>
              <w:t> </w:t>
            </w:r>
          </w:p>
        </w:tc>
        <w:tc>
          <w:tcPr>
            <w:tcW w:w="15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(76,900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8"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(92,650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w:t>
            </w:r>
          </w:p>
        </w:tc>
        <w:tc>
          <w:tcPr>
            <w:tcW w:w="2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(39,250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(7,875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(47,125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RSUs outstanding at June 30, 2023</w:t>
            </w:r>
          </w:p>
        </w:tc>
        <w:tc>
          <w:tcPr>
            <w:tcW w:w="2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336,520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42,021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378,541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360" w:after="0"/>
        <w:jc w:val="left"/>
        <w:rPr>
          <w:rFonts w:ascii="Times New Roman;serif" w:hAnsi="Times New Roman;serif"/>
          <w:b/>
          <w:i/>
          <w:sz w:val="20"/>
        </w:rPr>
      </w:pPr>
      <w:r>
        <w:rPr>
          <w:rFonts w:ascii="Times New Roman;serif" w:hAnsi="Times New Roman;serif"/>
          <w:b/>
          <w:i/>
          <w:sz w:val="20"/>
        </w:rPr>
        <w:t>2021 Annual Meeting Awards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Awards to non-executive members of the Board of Directors ("Director awards") under the 2021 Annual Meeting Awards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Director awards that were granted in 2021 consist of an aggregate 68,600</w:t>
      </w:r>
      <w:r>
        <w:rPr>
          <w:rFonts w:ascii="Times New Roman" w:hAnsi="Times New Roman"/>
          <w:sz w:val="20"/>
        </w:rPr>
        <w:t xml:space="preserve"> </w:t>
      </w:r>
      <w:r>
        <w:rPr>
          <w:rFonts w:ascii="Times New Roman;serif" w:hAnsi="Times New Roman;serif"/>
          <w:b w:val="false"/>
          <w:sz w:val="20"/>
        </w:rPr>
        <w:t>options and RSUs as follows:</w:t>
      </w:r>
    </w:p>
    <w:p>
      <w:pPr>
        <w:pStyle w:val="TextBody"/>
        <w:bidi w:val="0"/>
        <w:spacing w:before="0" w:after="0"/>
        <w:jc w:val="left"/>
        <w:rPr/>
      </w:pPr>
      <w:r>
        <w:rPr/>
        <w:t> </w:t>
      </w:r>
    </w:p>
    <w:p>
      <w:pPr>
        <w:pStyle w:val="TextBody"/>
        <w:bidi w:val="0"/>
        <w:spacing w:before="0" w:after="0"/>
        <w:jc w:val="left"/>
        <w:rPr/>
      </w:pPr>
      <w:r>
        <w:rPr/>
        <w:t>•</w:t>
      </w:r>
    </w:p>
    <w:p>
      <w:pPr>
        <w:pStyle w:val="TextBody"/>
        <w:bidi w:val="0"/>
        <w:spacing w:before="0" w:after="0"/>
        <w:jc w:val="left"/>
        <w:rPr>
          <w:rFonts w:ascii="Times New Roman;serif" w:hAnsi="Times New Roman;serif"/>
          <w:sz w:val="24"/>
        </w:rPr>
      </w:pPr>
      <w:r>
        <w:rPr>
          <w:rFonts w:ascii="Times New Roman;serif" w:hAnsi="Times New Roman;serif"/>
          <w:b w:val="false"/>
          <w:sz w:val="20"/>
        </w:rPr>
        <w:t>41,400</w:t>
      </w:r>
      <w:r>
        <w:rPr>
          <w:rFonts w:ascii="Times New Roman;serif" w:hAnsi="Times New Roman;serif"/>
          <w:sz w:val="24"/>
        </w:rPr>
        <w:t xml:space="preserve"> </w:t>
      </w:r>
      <w:r>
        <w:rPr>
          <w:rFonts w:ascii="Times New Roman;serif" w:hAnsi="Times New Roman;serif"/>
          <w:b w:val="false"/>
          <w:sz w:val="20"/>
        </w:rPr>
        <w:t>tenure-based options and RSUs (15,300</w:t>
      </w:r>
      <w:r>
        <w:rPr>
          <w:rFonts w:ascii="Times New Roman;serif" w:hAnsi="Times New Roman;serif"/>
          <w:sz w:val="24"/>
        </w:rPr>
        <w:t xml:space="preserve"> </w:t>
      </w:r>
      <w:r>
        <w:rPr>
          <w:rFonts w:ascii="Times New Roman;serif" w:hAnsi="Times New Roman;serif"/>
          <w:b w:val="false"/>
          <w:sz w:val="20"/>
        </w:rPr>
        <w:t>options and 26,100</w:t>
      </w:r>
      <w:r>
        <w:rPr>
          <w:rFonts w:ascii="Times New Roman;serif" w:hAnsi="Times New Roman;serif"/>
          <w:sz w:val="24"/>
        </w:rPr>
        <w:t xml:space="preserve"> </w:t>
      </w:r>
      <w:r>
        <w:rPr>
          <w:rFonts w:ascii="Times New Roman;serif" w:hAnsi="Times New Roman;serif"/>
          <w:b w:val="false"/>
          <w:sz w:val="20"/>
        </w:rPr>
        <w:t>RSUs) vesting 12</w:t>
      </w:r>
      <w:r>
        <w:rPr>
          <w:rFonts w:ascii="Times New Roman;serif" w:hAnsi="Times New Roman;serif"/>
          <w:sz w:val="24"/>
        </w:rPr>
        <w:t xml:space="preserve"> </w:t>
      </w:r>
      <w:r>
        <w:rPr>
          <w:rFonts w:ascii="Times New Roman;serif" w:hAnsi="Times New Roman;serif"/>
          <w:b w:val="false"/>
          <w:sz w:val="20"/>
        </w:rPr>
        <w:t>months from the grant date.</w:t>
      </w:r>
    </w:p>
    <w:p>
      <w:pPr>
        <w:pStyle w:val="TextBody"/>
        <w:bidi w:val="0"/>
        <w:spacing w:before="0" w:after="0"/>
        <w:jc w:val="left"/>
        <w:rPr>
          <w:rFonts w:ascii="Times New Roman" w:hAnsi="Times New Roman"/>
          <w:b w:val="false"/>
          <w:sz w:val="20"/>
        </w:rPr>
      </w:pPr>
      <w:r>
        <w:rPr>
          <w:rFonts w:ascii="Times New Roman" w:hAnsi="Times New Roman"/>
          <w:b w:val="false"/>
          <w:sz w:val="20"/>
        </w:rPr>
        <w:t>o</w:t>
      </w:r>
    </w:p>
    <w:p>
      <w:pPr>
        <w:pStyle w:val="TextBody"/>
        <w:bidi w:val="0"/>
        <w:spacing w:before="0" w:after="0"/>
        <w:jc w:val="left"/>
        <w:rPr>
          <w:rFonts w:ascii="Times New Roman;serif" w:hAnsi="Times New Roman;serif"/>
          <w:sz w:val="24"/>
        </w:rPr>
      </w:pPr>
      <w:r>
        <w:rPr>
          <w:rFonts w:ascii="Times New Roman;serif" w:hAnsi="Times New Roman;serif"/>
          <w:b w:val="false"/>
          <w:sz w:val="20"/>
        </w:rPr>
        <w:t>Includes 6,900</w:t>
      </w:r>
      <w:r>
        <w:rPr>
          <w:rFonts w:ascii="Times New Roman;serif" w:hAnsi="Times New Roman;serif"/>
          <w:sz w:val="24"/>
        </w:rPr>
        <w:t xml:space="preserve"> </w:t>
      </w:r>
      <w:r>
        <w:rPr>
          <w:rFonts w:ascii="Times New Roman;serif" w:hAnsi="Times New Roman;serif"/>
          <w:b w:val="false"/>
          <w:sz w:val="20"/>
        </w:rPr>
        <w:t>tenure-based options and RSUs (4,350</w:t>
      </w:r>
      <w:r>
        <w:rPr>
          <w:rFonts w:ascii="Times New Roman;serif" w:hAnsi="Times New Roman;serif"/>
          <w:sz w:val="24"/>
        </w:rPr>
        <w:t xml:space="preserve"> </w:t>
      </w:r>
      <w:r>
        <w:rPr>
          <w:rFonts w:ascii="Times New Roman;serif" w:hAnsi="Times New Roman;serif"/>
          <w:b w:val="false"/>
          <w:sz w:val="20"/>
        </w:rPr>
        <w:t>RSUs and 2,550</w:t>
      </w:r>
      <w:r>
        <w:rPr>
          <w:rFonts w:ascii="Times New Roman;serif" w:hAnsi="Times New Roman;serif"/>
          <w:sz w:val="24"/>
        </w:rPr>
        <w:t xml:space="preserve"> </w:t>
      </w:r>
      <w:r>
        <w:rPr>
          <w:rFonts w:ascii="Times New Roman;serif" w:hAnsi="Times New Roman;serif"/>
          <w:b w:val="false"/>
          <w:sz w:val="20"/>
        </w:rPr>
        <w:t xml:space="preserve">options) were granted to each of the six non-executive board members based on the vesting terms detailed above. </w:t>
      </w:r>
    </w:p>
    <w:p>
      <w:pPr>
        <w:pStyle w:val="TextBody"/>
        <w:bidi w:val="0"/>
        <w:spacing w:before="120" w:after="0"/>
        <w:jc w:val="left"/>
        <w:rPr/>
      </w:pPr>
      <w:r>
        <w:rPr/>
        <w:t>•</w:t>
      </w:r>
    </w:p>
    <w:p>
      <w:pPr>
        <w:pStyle w:val="TextBody"/>
        <w:bidi w:val="0"/>
        <w:spacing w:before="120" w:after="0"/>
        <w:jc w:val="left"/>
        <w:rPr>
          <w:rFonts w:ascii="Times New Roman;serif" w:hAnsi="Times New Roman;serif"/>
          <w:sz w:val="24"/>
        </w:rPr>
      </w:pPr>
      <w:r>
        <w:rPr>
          <w:rFonts w:ascii="Times New Roman;serif" w:hAnsi="Times New Roman;serif"/>
          <w:b w:val="false"/>
          <w:sz w:val="20"/>
        </w:rPr>
        <w:t>27,200</w:t>
      </w:r>
      <w:r>
        <w:rPr>
          <w:rFonts w:ascii="Times New Roman;serif" w:hAnsi="Times New Roman;serif"/>
          <w:sz w:val="24"/>
        </w:rPr>
        <w:t xml:space="preserve"> </w:t>
      </w:r>
      <w:r>
        <w:rPr>
          <w:rFonts w:ascii="Times New Roman;serif" w:hAnsi="Times New Roman;serif"/>
          <w:b w:val="false"/>
          <w:sz w:val="20"/>
        </w:rPr>
        <w:t>tenure-based options and RSUs (9,850</w:t>
      </w:r>
      <w:r>
        <w:rPr>
          <w:rFonts w:ascii="Times New Roman;serif" w:hAnsi="Times New Roman;serif"/>
          <w:sz w:val="24"/>
        </w:rPr>
        <w:t xml:space="preserve"> </w:t>
      </w:r>
      <w:r>
        <w:rPr>
          <w:rFonts w:ascii="Times New Roman;serif" w:hAnsi="Times New Roman;serif"/>
          <w:b w:val="false"/>
          <w:sz w:val="20"/>
        </w:rPr>
        <w:t>options and 17,350</w:t>
      </w:r>
      <w:r>
        <w:rPr>
          <w:rFonts w:ascii="Times New Roman;serif" w:hAnsi="Times New Roman;serif"/>
          <w:sz w:val="24"/>
        </w:rPr>
        <w:t xml:space="preserve"> </w:t>
      </w:r>
      <w:r>
        <w:rPr>
          <w:rFonts w:ascii="Times New Roman;serif" w:hAnsi="Times New Roman;serif"/>
          <w:b w:val="false"/>
          <w:sz w:val="20"/>
        </w:rPr>
        <w:t>RSUs) vesting on the first, second and third anniversary of the grant date in equal amounts (i.e., 1/3</w:t>
      </w:r>
      <w:r>
        <w:rPr>
          <w:rFonts w:ascii="Times New Roman;serif" w:hAnsi="Times New Roman;serif"/>
          <w:sz w:val="24"/>
        </w:rPr>
        <w:t xml:space="preserve"> </w:t>
      </w:r>
      <w:r>
        <w:rPr>
          <w:rFonts w:ascii="Times New Roman;serif" w:hAnsi="Times New Roman;serif"/>
          <w:b w:val="false"/>
          <w:sz w:val="20"/>
        </w:rPr>
        <w:t>of the RSUs and options will vest on each anniversary of the grant date, being on December 22 of each relevant year).</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283"/>
        <w:jc w:val="left"/>
        <w:rPr>
          <w:rFonts w:ascii="Times New Roman;serif" w:hAnsi="Times New Roman;serif"/>
          <w:sz w:val="24"/>
        </w:rPr>
      </w:pPr>
      <w:r>
        <w:rPr>
          <w:rFonts w:ascii="Times New Roman;serif" w:hAnsi="Times New Roman;serif"/>
          <w:b w:val="false"/>
          <w:sz w:val="20"/>
        </w:rPr>
        <w:t>Includes 13,600</w:t>
      </w:r>
      <w:r>
        <w:rPr>
          <w:rFonts w:ascii="Times New Roman;serif" w:hAnsi="Times New Roman;serif"/>
          <w:sz w:val="24"/>
        </w:rPr>
        <w:t xml:space="preserve"> </w:t>
      </w:r>
      <w:r>
        <w:rPr>
          <w:rFonts w:ascii="Times New Roman;serif" w:hAnsi="Times New Roman;serif"/>
          <w:b w:val="false"/>
          <w:sz w:val="20"/>
        </w:rPr>
        <w:t>tenure-based options and RSUs (8,675</w:t>
      </w:r>
      <w:r>
        <w:rPr>
          <w:rFonts w:ascii="Times New Roman;serif" w:hAnsi="Times New Roman;serif"/>
          <w:sz w:val="24"/>
        </w:rPr>
        <w:t xml:space="preserve"> </w:t>
      </w:r>
      <w:r>
        <w:rPr>
          <w:rFonts w:ascii="Times New Roman;serif" w:hAnsi="Times New Roman;serif"/>
          <w:b w:val="false"/>
          <w:sz w:val="20"/>
        </w:rPr>
        <w:t>RSUs and 4,925</w:t>
      </w:r>
      <w:r>
        <w:rPr>
          <w:rFonts w:ascii="Times New Roman;serif" w:hAnsi="Times New Roman;serif"/>
          <w:sz w:val="24"/>
        </w:rPr>
        <w:t xml:space="preserve"> </w:t>
      </w:r>
      <w:r>
        <w:rPr>
          <w:rFonts w:ascii="Times New Roman;serif" w:hAnsi="Times New Roman;serif"/>
          <w:b w:val="false"/>
          <w:sz w:val="20"/>
        </w:rPr>
        <w:t>options) were granted to Jan Stern Reed and James Corbett as an initial grant in connection with their appointment to the Board of Directors.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2022 Annual Meeting Awards</w:t>
      </w:r>
    </w:p>
    <w:p>
      <w:pPr>
        <w:pStyle w:val="TextBody"/>
        <w:bidi w:val="0"/>
        <w:spacing w:before="0" w:after="0"/>
        <w:jc w:val="left"/>
        <w:rPr>
          <w:rFonts w:ascii="Times New Roman;serif" w:hAnsi="Times New Roman;serif"/>
          <w:b/>
          <w:i/>
          <w:sz w:val="20"/>
        </w:rPr>
      </w:pPr>
      <w:r>
        <w:rPr>
          <w:rFonts w:ascii="Times New Roman;serif" w:hAnsi="Times New Roman;serif"/>
          <w:b/>
          <w:i/>
          <w:sz w:val="20"/>
        </w:rPr>
        <w:t>Awards to the CEO under the 2022 Annual Meeting Awards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On December 12, 2022, the CEO was issued an aggregate 226,296</w:t>
      </w:r>
      <w:r>
        <w:rPr>
          <w:rFonts w:ascii="Times New Roman" w:hAnsi="Times New Roman"/>
          <w:sz w:val="20"/>
        </w:rPr>
        <w:t xml:space="preserve"> </w:t>
      </w:r>
      <w:r>
        <w:rPr>
          <w:rFonts w:ascii="Times New Roman;serif" w:hAnsi="Times New Roman;serif"/>
          <w:b w:val="false"/>
          <w:sz w:val="20"/>
        </w:rPr>
        <w:t>options with 25% of those options vesting annually commencing on September 28, 2023.</w:t>
      </w:r>
      <w:r>
        <w:rPr>
          <w:rFonts w:ascii="Times New Roman" w:hAnsi="Times New Roman"/>
          <w:sz w:val="20"/>
        </w:rPr>
        <w:t xml:space="preserve"> </w:t>
      </w:r>
    </w:p>
    <w:p>
      <w:pPr>
        <w:pStyle w:val="TextBody"/>
        <w:bidi w:val="0"/>
        <w:spacing w:before="0" w:after="0"/>
        <w:jc w:val="left"/>
        <w:rPr>
          <w:rFonts w:ascii="Times New Roman;serif" w:hAnsi="Times New Roman;serif"/>
          <w:b/>
          <w:i/>
          <w:sz w:val="20"/>
        </w:rPr>
      </w:pPr>
      <w:r>
        <w:rPr>
          <w:rFonts w:ascii="Times New Roman;serif" w:hAnsi="Times New Roman;serif"/>
          <w:b/>
          <w:i/>
          <w:sz w:val="20"/>
        </w:rPr>
        <w:t>Non-Executive Director awards under the 2022 Annual Meeting Awards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Director awards consist of an aggregate 71,936</w:t>
      </w:r>
      <w:r>
        <w:rPr>
          <w:rFonts w:ascii="Times New Roman" w:hAnsi="Times New Roman"/>
          <w:sz w:val="20"/>
        </w:rPr>
        <w:t xml:space="preserve"> </w:t>
      </w:r>
      <w:r>
        <w:rPr>
          <w:rFonts w:ascii="Times New Roman;serif" w:hAnsi="Times New Roman;serif"/>
          <w:b w:val="false"/>
          <w:sz w:val="20"/>
        </w:rPr>
        <w:t>options and RSUs (21,580</w:t>
      </w:r>
      <w:r>
        <w:rPr>
          <w:rFonts w:ascii="Times New Roman" w:hAnsi="Times New Roman"/>
          <w:sz w:val="20"/>
        </w:rPr>
        <w:t xml:space="preserve"> </w:t>
      </w:r>
      <w:r>
        <w:rPr>
          <w:rFonts w:ascii="Times New Roman;serif" w:hAnsi="Times New Roman;serif"/>
          <w:b w:val="false"/>
          <w:sz w:val="20"/>
        </w:rPr>
        <w:t>options and 50,356</w:t>
      </w:r>
      <w:r>
        <w:rPr>
          <w:rFonts w:ascii="Times New Roman" w:hAnsi="Times New Roman"/>
          <w:sz w:val="20"/>
        </w:rPr>
        <w:t xml:space="preserve"> </w:t>
      </w:r>
      <w:r>
        <w:rPr>
          <w:rFonts w:ascii="Times New Roman;serif" w:hAnsi="Times New Roman;serif"/>
          <w:b w:val="false"/>
          <w:sz w:val="20"/>
        </w:rPr>
        <w:t>RSUs) vesting 12</w:t>
      </w:r>
      <w:r>
        <w:rPr>
          <w:rFonts w:ascii="Times New Roman" w:hAnsi="Times New Roman"/>
          <w:sz w:val="20"/>
        </w:rPr>
        <w:t xml:space="preserve"> </w:t>
      </w:r>
      <w:r>
        <w:rPr>
          <w:rFonts w:ascii="Times New Roman;serif" w:hAnsi="Times New Roman;serif"/>
          <w:b w:val="false"/>
          <w:sz w:val="20"/>
        </w:rPr>
        <w:t>months from the grant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w:t>
      </w:r>
    </w:p>
    <w:p>
      <w:pPr>
        <w:pStyle w:val="TextBody"/>
        <w:bidi w:val="0"/>
        <w:jc w:val="left"/>
        <w:rPr>
          <w:rFonts w:ascii="Times New Roman;serif" w:hAnsi="Times New Roman;serif"/>
          <w:sz w:val="24"/>
        </w:rPr>
      </w:pPr>
      <w:r>
        <w:rPr>
          <w:rFonts w:ascii="Times New Roman;serif" w:hAnsi="Times New Roman;serif"/>
          <w:b w:val="false"/>
          <w:sz w:val="20"/>
        </w:rPr>
        <w:t>17,984</w:t>
      </w:r>
      <w:r>
        <w:rPr>
          <w:rFonts w:ascii="Times New Roman;serif" w:hAnsi="Times New Roman;serif"/>
          <w:sz w:val="24"/>
        </w:rPr>
        <w:t xml:space="preserve"> </w:t>
      </w:r>
      <w:r>
        <w:rPr>
          <w:rFonts w:ascii="Times New Roman;serif" w:hAnsi="Times New Roman;serif"/>
          <w:b w:val="false"/>
          <w:sz w:val="20"/>
        </w:rPr>
        <w:t>tenure-based options and RSUs (12,589</w:t>
      </w:r>
      <w:r>
        <w:rPr>
          <w:rFonts w:ascii="Times New Roman;serif" w:hAnsi="Times New Roman;serif"/>
          <w:sz w:val="24"/>
        </w:rPr>
        <w:t xml:space="preserve"> </w:t>
      </w:r>
      <w:r>
        <w:rPr>
          <w:rFonts w:ascii="Times New Roman;serif" w:hAnsi="Times New Roman;serif"/>
          <w:b w:val="false"/>
          <w:sz w:val="20"/>
        </w:rPr>
        <w:t>RSUs and 5,359</w:t>
      </w:r>
      <w:r>
        <w:rPr>
          <w:rFonts w:ascii="Times New Roman;serif" w:hAnsi="Times New Roman;serif"/>
          <w:sz w:val="24"/>
        </w:rPr>
        <w:t xml:space="preserve"> </w:t>
      </w:r>
      <w:r>
        <w:rPr>
          <w:rFonts w:ascii="Times New Roman;serif" w:hAnsi="Times New Roman;serif"/>
          <w:b w:val="false"/>
          <w:sz w:val="20"/>
        </w:rPr>
        <w:t xml:space="preserve">options) granted to each of the four non-executive board members based on the vesting terms detailed above. </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2023 Annual Meeting Awards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Awards to the CEO under the 2023 Annual Meeting Awards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On June 6, 2023, the CEO was issued an aggregate 100,000</w:t>
      </w:r>
      <w:r>
        <w:rPr>
          <w:rFonts w:ascii="Times New Roman" w:hAnsi="Times New Roman"/>
          <w:sz w:val="20"/>
        </w:rPr>
        <w:t xml:space="preserve"> </w:t>
      </w:r>
      <w:r>
        <w:rPr>
          <w:rFonts w:ascii="Times New Roman;serif" w:hAnsi="Times New Roman;serif"/>
          <w:b w:val="false"/>
          <w:sz w:val="20"/>
        </w:rPr>
        <w:t>options with 33.3% of those options vesting annually commencing on June 6, 2024.</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Non-Executive Director awards under the 2023 Annual Meeting Awards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Director awards consist of an aggregate 82,566</w:t>
      </w:r>
      <w:r>
        <w:rPr>
          <w:rFonts w:ascii="Times New Roman" w:hAnsi="Times New Roman"/>
          <w:sz w:val="20"/>
        </w:rPr>
        <w:t xml:space="preserve"> </w:t>
      </w:r>
      <w:r>
        <w:rPr>
          <w:rFonts w:ascii="Times New Roman;serif" w:hAnsi="Times New Roman;serif"/>
          <w:b w:val="false"/>
          <w:sz w:val="20"/>
        </w:rPr>
        <w:t>options and RSUs as follows:</w:t>
      </w:r>
    </w:p>
    <w:p>
      <w:pPr>
        <w:pStyle w:val="TextBody"/>
        <w:bidi w:val="0"/>
        <w:spacing w:before="120" w:after="0"/>
        <w:jc w:val="left"/>
        <w:rPr/>
      </w:pPr>
      <w:r>
        <w:rPr/>
        <w:t>•</w:t>
      </w:r>
    </w:p>
    <w:p>
      <w:pPr>
        <w:pStyle w:val="TextBody"/>
        <w:bidi w:val="0"/>
        <w:spacing w:before="120" w:after="0"/>
        <w:jc w:val="left"/>
        <w:rPr>
          <w:rFonts w:ascii="Times New Roman;serif" w:hAnsi="Times New Roman;serif"/>
          <w:sz w:val="24"/>
        </w:rPr>
      </w:pPr>
      <w:r>
        <w:rPr>
          <w:rFonts w:ascii="Times New Roman;serif" w:hAnsi="Times New Roman;serif"/>
          <w:b w:val="false"/>
          <w:sz w:val="20"/>
        </w:rPr>
        <w:t>52,926</w:t>
      </w:r>
      <w:r>
        <w:rPr>
          <w:rFonts w:ascii="Times New Roman;serif" w:hAnsi="Times New Roman;serif"/>
          <w:sz w:val="24"/>
        </w:rPr>
        <w:t xml:space="preserve"> </w:t>
      </w:r>
      <w:r>
        <w:rPr>
          <w:rFonts w:ascii="Times New Roman;serif" w:hAnsi="Times New Roman;serif"/>
          <w:b w:val="false"/>
          <w:sz w:val="20"/>
        </w:rPr>
        <w:t>tenure-based options and RSUs (15,876</w:t>
      </w:r>
      <w:r>
        <w:rPr>
          <w:rFonts w:ascii="Times New Roman;serif" w:hAnsi="Times New Roman;serif"/>
          <w:sz w:val="24"/>
        </w:rPr>
        <w:t xml:space="preserve"> </w:t>
      </w:r>
      <w:r>
        <w:rPr>
          <w:rFonts w:ascii="Times New Roman;serif" w:hAnsi="Times New Roman;serif"/>
          <w:b w:val="false"/>
          <w:sz w:val="20"/>
        </w:rPr>
        <w:t>options and 37,050</w:t>
      </w:r>
      <w:r>
        <w:rPr>
          <w:rFonts w:ascii="Times New Roman;serif" w:hAnsi="Times New Roman;serif"/>
          <w:sz w:val="24"/>
        </w:rPr>
        <w:t xml:space="preserve"> </w:t>
      </w:r>
      <w:r>
        <w:rPr>
          <w:rFonts w:ascii="Times New Roman;serif" w:hAnsi="Times New Roman;serif"/>
          <w:b w:val="false"/>
          <w:sz w:val="20"/>
        </w:rPr>
        <w:t>RSUs) vesting 12</w:t>
      </w:r>
      <w:r>
        <w:rPr>
          <w:rFonts w:ascii="Times New Roman;serif" w:hAnsi="Times New Roman;serif"/>
          <w:sz w:val="24"/>
        </w:rPr>
        <w:t xml:space="preserve"> </w:t>
      </w:r>
      <w:r>
        <w:rPr>
          <w:rFonts w:ascii="Times New Roman;serif" w:hAnsi="Times New Roman;serif"/>
          <w:b w:val="false"/>
          <w:sz w:val="20"/>
        </w:rPr>
        <w:t xml:space="preserve">months from the grant date. </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283"/>
        <w:jc w:val="left"/>
        <w:rPr>
          <w:rFonts w:ascii="Times New Roman;serif" w:hAnsi="Times New Roman;serif"/>
          <w:sz w:val="24"/>
        </w:rPr>
      </w:pPr>
      <w:r>
        <w:rPr>
          <w:rFonts w:ascii="Times New Roman;serif" w:hAnsi="Times New Roman;serif"/>
          <w:b w:val="false"/>
          <w:sz w:val="20"/>
        </w:rPr>
        <w:t>8,821</w:t>
      </w:r>
      <w:r>
        <w:rPr>
          <w:rFonts w:ascii="Times New Roman;serif" w:hAnsi="Times New Roman;serif"/>
          <w:sz w:val="24"/>
        </w:rPr>
        <w:t xml:space="preserve"> </w:t>
      </w:r>
      <w:r>
        <w:rPr>
          <w:rFonts w:ascii="Times New Roman;serif" w:hAnsi="Times New Roman;serif"/>
          <w:b w:val="false"/>
          <w:sz w:val="20"/>
        </w:rPr>
        <w:t>tenure-based options and RSUs (2,646</w:t>
      </w:r>
      <w:r>
        <w:rPr>
          <w:rFonts w:ascii="Times New Roman;serif" w:hAnsi="Times New Roman;serif"/>
          <w:sz w:val="24"/>
        </w:rPr>
        <w:t xml:space="preserve"> </w:t>
      </w:r>
      <w:r>
        <w:rPr>
          <w:rFonts w:ascii="Times New Roman;serif" w:hAnsi="Times New Roman;serif"/>
          <w:b w:val="false"/>
          <w:sz w:val="20"/>
        </w:rPr>
        <w:t>options and 6,175</w:t>
      </w:r>
      <w:r>
        <w:rPr>
          <w:rFonts w:ascii="Times New Roman;serif" w:hAnsi="Times New Roman;serif"/>
          <w:sz w:val="24"/>
        </w:rPr>
        <w:t xml:space="preserve"> </w:t>
      </w:r>
      <w:r>
        <w:rPr>
          <w:rFonts w:ascii="Times New Roman;serif" w:hAnsi="Times New Roman;serif"/>
          <w:b w:val="false"/>
          <w:sz w:val="20"/>
        </w:rPr>
        <w:t xml:space="preserve">RSUs) granted to each of the six non-executive board members based on the vesting terms detailed above.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sz w:val="24"/>
        </w:rPr>
      </w:pPr>
      <w:r>
        <w:rPr>
          <w:rFonts w:ascii="Times New Roman;serif" w:hAnsi="Times New Roman;serif"/>
          <w:b w:val="false"/>
          <w:sz w:val="20"/>
        </w:rPr>
        <w:t>29,640</w:t>
      </w:r>
      <w:r>
        <w:rPr>
          <w:rFonts w:ascii="Times New Roman;serif" w:hAnsi="Times New Roman;serif"/>
          <w:sz w:val="24"/>
        </w:rPr>
        <w:t xml:space="preserve"> </w:t>
      </w:r>
      <w:r>
        <w:rPr>
          <w:rFonts w:ascii="Times New Roman;serif" w:hAnsi="Times New Roman;serif"/>
          <w:b w:val="false"/>
          <w:sz w:val="20"/>
        </w:rPr>
        <w:t>tenure-based options and RSUs (8,892</w:t>
      </w:r>
      <w:r>
        <w:rPr>
          <w:rFonts w:ascii="Times New Roman;serif" w:hAnsi="Times New Roman;serif"/>
          <w:sz w:val="24"/>
        </w:rPr>
        <w:t xml:space="preserve"> </w:t>
      </w:r>
      <w:r>
        <w:rPr>
          <w:rFonts w:ascii="Times New Roman;serif" w:hAnsi="Times New Roman;serif"/>
          <w:b w:val="false"/>
          <w:sz w:val="20"/>
        </w:rPr>
        <w:t>options and 20,748</w:t>
      </w:r>
      <w:r>
        <w:rPr>
          <w:rFonts w:ascii="Times New Roman;serif" w:hAnsi="Times New Roman;serif"/>
          <w:sz w:val="24"/>
        </w:rPr>
        <w:t xml:space="preserve"> </w:t>
      </w:r>
      <w:r>
        <w:rPr>
          <w:rFonts w:ascii="Times New Roman;serif" w:hAnsi="Times New Roman;serif"/>
          <w:b w:val="false"/>
          <w:sz w:val="20"/>
        </w:rPr>
        <w:t>RSUs) vesting on the first, second, and third anniversary of the grant date in equal amounts (i.e 1/3 of the options and RSUs will vest on each anniversary of the grant date, being June 6 of each relevant year)</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283"/>
        <w:jc w:val="left"/>
        <w:rPr>
          <w:rFonts w:ascii="Times New Roman;serif" w:hAnsi="Times New Roman;serif"/>
          <w:sz w:val="24"/>
        </w:rPr>
      </w:pPr>
      <w:r>
        <w:rPr>
          <w:rFonts w:ascii="Times New Roman;serif" w:hAnsi="Times New Roman;serif"/>
          <w:b w:val="false"/>
          <w:sz w:val="20"/>
        </w:rPr>
        <w:t>14,820</w:t>
      </w:r>
      <w:r>
        <w:rPr>
          <w:rFonts w:ascii="Times New Roman;serif" w:hAnsi="Times New Roman;serif"/>
          <w:sz w:val="24"/>
        </w:rPr>
        <w:t xml:space="preserve"> </w:t>
      </w:r>
      <w:r>
        <w:rPr>
          <w:rFonts w:ascii="Times New Roman;serif" w:hAnsi="Times New Roman;serif"/>
          <w:b w:val="false"/>
          <w:sz w:val="20"/>
        </w:rPr>
        <w:t>tenure-based options and RSUs (4,446</w:t>
      </w:r>
      <w:r>
        <w:rPr>
          <w:rFonts w:ascii="Times New Roman;serif" w:hAnsi="Times New Roman;serif"/>
          <w:sz w:val="24"/>
        </w:rPr>
        <w:t xml:space="preserve"> </w:t>
      </w:r>
      <w:r>
        <w:rPr>
          <w:rFonts w:ascii="Times New Roman;serif" w:hAnsi="Times New Roman;serif"/>
          <w:b w:val="false"/>
          <w:sz w:val="20"/>
        </w:rPr>
        <w:t>options and 10,374</w:t>
      </w:r>
      <w:r>
        <w:rPr>
          <w:rFonts w:ascii="Times New Roman;serif" w:hAnsi="Times New Roman;serif"/>
          <w:sz w:val="24"/>
        </w:rPr>
        <w:t xml:space="preserve"> </w:t>
      </w:r>
      <w:r>
        <w:rPr>
          <w:rFonts w:ascii="Times New Roman;serif" w:hAnsi="Times New Roman;serif"/>
          <w:b w:val="false"/>
          <w:sz w:val="20"/>
        </w:rPr>
        <w:t xml:space="preserve">RSUs) granted to Cary Vance and Robert McNamara as an initial grant in connection with their appointment to the Board of Directors. </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Employee Stock Purchase Plan</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In June 2023, the stockholders approved the AVITA Medical, Inc. Employee Stock Purchase Plan (the “</w:t>
      </w:r>
      <w:r>
        <w:rPr>
          <w:rFonts w:ascii="Times New Roman;serif" w:hAnsi="Times New Roman;serif"/>
          <w:b/>
          <w:sz w:val="20"/>
        </w:rPr>
        <w:t>ESPP</w:t>
      </w:r>
      <w:r>
        <w:rPr>
          <w:rFonts w:ascii="Times New Roman" w:hAnsi="Times New Roman"/>
          <w:sz w:val="20"/>
        </w:rPr>
        <w:t>”</w:t>
      </w:r>
      <w:r>
        <w:rPr>
          <w:rFonts w:ascii="Times New Roman;serif" w:hAnsi="Times New Roman;serif"/>
          <w:b w:val="false"/>
          <w:sz w:val="20"/>
        </w:rPr>
        <w:t>). The ESPP became effective on July 1, 2023. On June 30, 2023, the Company filed Registration Statement on Form S-8 to register 1,000,000</w:t>
      </w:r>
      <w:r>
        <w:rPr>
          <w:rFonts w:ascii="Times New Roman" w:hAnsi="Times New Roman"/>
          <w:sz w:val="20"/>
        </w:rPr>
        <w:t xml:space="preserve"> </w:t>
      </w:r>
      <w:r>
        <w:rPr>
          <w:rFonts w:ascii="Times New Roman;serif" w:hAnsi="Times New Roman;serif"/>
          <w:b w:val="false"/>
          <w:sz w:val="20"/>
        </w:rPr>
        <w:t>shares of common stock under the ESPP, as a result of the Company’s stockholders approving the ESPP at the 2023 Annual Meeting. The ESPP is implemented by a series of offering periods, each of which is six months in duration, with new offering periods commencing on the first trading date of June and December of each year. The first offering period for the ESPP is July 3 – November 30, 2023. Subsequent offering periods will be the first trading day of November to the last trading day of May and the first trading date of June to the last trading day of December.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ESPP provides eligible employees with an opportunity to purchase shares of the Company’s common stock through payroll deductions of up to 15% of their eligible compensation. A participant may purchase a maximum of 5,000</w:t>
      </w:r>
      <w:r>
        <w:rPr>
          <w:rFonts w:ascii="Times New Roman" w:hAnsi="Times New Roman"/>
          <w:sz w:val="20"/>
        </w:rPr>
        <w:t xml:space="preserve"> </w:t>
      </w:r>
      <w:r>
        <w:rPr>
          <w:rFonts w:ascii="Times New Roman;serif" w:hAnsi="Times New Roman;serif"/>
          <w:b w:val="false"/>
          <w:sz w:val="20"/>
        </w:rPr>
        <w:t>shares of common stock during an offering period. Amounts deducted and accumulated by the participant are used to purchase shares of common stock at the end of each six-month purchase period. The purchase price of the shares is 85% of the lower of the fair market value of the common stock on (i) the first trading day of the applicable offering period and (ii) the last trading day of each purchase period in the related offering period.</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Participants may withdraw from the offering at least 21 days before the purchase date. Accrued contributions that have not yet been used to purchase shares of common stock will be repaid to the participant. Termination of employment at least 30 days prior to the purchase date results in withdrawal from the offering and contributions are returned to the participant. If termination of employment occurs within 30 days of the purchase date, contributions are used to purchase shares on the purchase date.</w:t>
      </w:r>
      <w:r>
        <w:rPr>
          <w:rFonts w:ascii="Times New Roman" w:hAnsi="Times New Roman"/>
          <w:sz w:val="20"/>
        </w:rPr>
        <w:t xml:space="preserve">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Employee payroll contributions ultimately used to purchase shares are reclassified to stockholders’ equity on the purchase date. As of June 30, 2023 and December 31, 2022, the Company does not have any accrued payroll contributions.</w:t>
      </w:r>
    </w:p>
    <w:p>
      <w:pPr>
        <w:pStyle w:val="TextBody"/>
        <w:bidi w:val="0"/>
        <w:spacing w:before="360" w:after="0"/>
        <w:jc w:val="left"/>
        <w:rPr>
          <w:rFonts w:ascii="Times New Roman" w:hAnsi="Times New Roman"/>
          <w:sz w:val="20"/>
        </w:rPr>
      </w:pPr>
      <w:r>
        <w:rPr>
          <w:rFonts w:ascii="Times New Roman;serif" w:hAnsi="Times New Roman;serif"/>
          <w:b/>
          <w:sz w:val="20"/>
        </w:rPr>
        <w:t>15. Income Taxes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Tax expense for the three-months ended June 30, 2023 and 2022 was $13,000</w:t>
      </w:r>
      <w:r>
        <w:rPr>
          <w:rFonts w:ascii="Times New Roman" w:hAnsi="Times New Roman"/>
          <w:sz w:val="20"/>
        </w:rPr>
        <w:t xml:space="preserve"> </w:t>
      </w:r>
      <w:r>
        <w:rPr>
          <w:rFonts w:ascii="Times New Roman;serif" w:hAnsi="Times New Roman;serif"/>
          <w:b w:val="false"/>
          <w:sz w:val="20"/>
        </w:rPr>
        <w:t>and $4,000, respectively, and $43,000</w:t>
      </w:r>
      <w:r>
        <w:rPr>
          <w:rFonts w:ascii="Times New Roman" w:hAnsi="Times New Roman"/>
          <w:sz w:val="20"/>
        </w:rPr>
        <w:t xml:space="preserve"> </w:t>
      </w:r>
      <w:r>
        <w:rPr>
          <w:rFonts w:ascii="Times New Roman;serif" w:hAnsi="Times New Roman;serif"/>
          <w:b w:val="false"/>
          <w:sz w:val="20"/>
        </w:rPr>
        <w:t>and $8,000</w:t>
      </w:r>
      <w:r>
        <w:rPr>
          <w:rFonts w:ascii="Times New Roman" w:hAnsi="Times New Roman"/>
          <w:sz w:val="20"/>
        </w:rPr>
        <w:t xml:space="preserve"> </w:t>
      </w:r>
      <w:r>
        <w:rPr>
          <w:rFonts w:ascii="Times New Roman;serif" w:hAnsi="Times New Roman;serif"/>
          <w:b w:val="false"/>
          <w:sz w:val="20"/>
        </w:rPr>
        <w:t>for the six-months ended June 30, 2023 and 2022, respectively. These amounts are related to state minimum taxes.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16. Net Loss per Share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is a reconciliation of the basic and diluted loss per share computations:</w:t>
      </w:r>
      <w:r>
        <w:rPr>
          <w:rFonts w:ascii="Times New Roman" w:hAnsi="Times New Roman"/>
          <w:sz w:val="20"/>
        </w:rPr>
        <w:t xml:space="preserve"> </w:t>
      </w:r>
    </w:p>
    <w:p>
      <w:pPr>
        <w:pStyle w:val="TextBody"/>
        <w:bidi w:val="0"/>
        <w:spacing w:before="120" w:after="0"/>
        <w:jc w:val="left"/>
        <w:rPr/>
      </w:pPr>
      <w:r>
        <w:rPr/>
        <w:t> </w:t>
      </w:r>
    </w:p>
    <w:tbl>
      <w:tblPr>
        <w:tblW w:w="10205" w:type="dxa"/>
        <w:jc w:val="left"/>
        <w:tblInd w:w="0" w:type="dxa"/>
        <w:tblLayout w:type="fixed"/>
        <w:tblCellMar>
          <w:top w:w="28" w:type="dxa"/>
          <w:left w:w="28" w:type="dxa"/>
          <w:bottom w:w="28" w:type="dxa"/>
          <w:right w:w="28" w:type="dxa"/>
        </w:tblCellMar>
      </w:tblPr>
      <w:tblGrid>
        <w:gridCol w:w="4388"/>
        <w:gridCol w:w="146"/>
        <w:gridCol w:w="273"/>
        <w:gridCol w:w="877"/>
        <w:gridCol w:w="146"/>
        <w:gridCol w:w="146"/>
        <w:gridCol w:w="273"/>
        <w:gridCol w:w="877"/>
        <w:gridCol w:w="146"/>
        <w:gridCol w:w="146"/>
        <w:gridCol w:w="273"/>
        <w:gridCol w:w="877"/>
        <w:gridCol w:w="146"/>
        <w:gridCol w:w="146"/>
        <w:gridCol w:w="273"/>
        <w:gridCol w:w="877"/>
        <w:gridCol w:w="195"/>
      </w:tblGrid>
      <w:tr>
        <w:trPr/>
        <w:tc>
          <w:tcPr>
            <w:tcW w:w="43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3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9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Six-Months Ended</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2022</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8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 thousands, except per share amounts)</w:t>
            </w:r>
          </w:p>
        </w:tc>
        <w:tc>
          <w:tcPr>
            <w:tcW w:w="146" w:type="dxa"/>
            <w:tcBorders/>
            <w:vAlign w:val="center"/>
          </w:tcPr>
          <w:p>
            <w:pPr>
              <w:pStyle w:val="TableContents"/>
              <w:bidi w:val="0"/>
              <w:spacing w:before="0" w:after="0"/>
              <w:ind w:left="0" w:right="0" w:hanging="0"/>
              <w:jc w:val="left"/>
              <w:rPr/>
            </w:pPr>
            <w:r>
              <w:rPr/>
              <w:t> </w:t>
            </w:r>
          </w:p>
        </w:tc>
        <w:tc>
          <w:tcPr>
            <w:tcW w:w="115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0" w:type="dxa"/>
            <w:gridSpan w:val="2"/>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left"/>
              <w:rPr/>
            </w:pPr>
            <w:r>
              <w:rPr/>
              <w:t> </w:t>
            </w:r>
          </w:p>
        </w:tc>
      </w:tr>
      <w:tr>
        <w:trPr/>
        <w:tc>
          <w:tcPr>
            <w:tcW w:w="4388"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100" w:right="0" w:hanging="0"/>
              <w:jc w:val="left"/>
              <w:rPr/>
            </w:pPr>
            <w:r>
              <w:rPr/>
              <w:t> </w:t>
            </w:r>
          </w:p>
        </w:tc>
        <w:tc>
          <w:tcPr>
            <w:tcW w:w="2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15,724</w:t>
            </w:r>
          </w:p>
        </w:tc>
        <w:tc>
          <w:tcPr>
            <w:tcW w:w="195" w:type="dxa"/>
            <w:tcBorders/>
            <w:vAlign w:val="center"/>
          </w:tcPr>
          <w:p>
            <w:pPr>
              <w:pStyle w:val="TableContents"/>
              <w:bidi w:val="0"/>
              <w:spacing w:before="0" w:after="0"/>
              <w:ind w:left="0" w:right="0" w:hanging="0"/>
              <w:jc w:val="left"/>
              <w:rPr/>
            </w:pPr>
            <w:r>
              <w:rPr/>
              <w:t> </w:t>
            </w:r>
          </w:p>
        </w:tc>
      </w:tr>
      <w:tr>
        <w:trPr/>
        <w:tc>
          <w:tcPr>
            <w:tcW w:w="4388"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Weighted-average common shares—outstanding, basic and diluted</w:t>
            </w:r>
          </w:p>
        </w:tc>
        <w:tc>
          <w:tcPr>
            <w:tcW w:w="146" w:type="dxa"/>
            <w:tcBorders/>
            <w:vAlign w:val="center"/>
          </w:tcPr>
          <w:p>
            <w:pPr>
              <w:pStyle w:val="TableContents"/>
              <w:bidi w:val="0"/>
              <w:spacing w:before="0" w:after="0"/>
              <w:ind w:left="10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24,955</w:t>
            </w:r>
          </w:p>
        </w:tc>
        <w:tc>
          <w:tcPr>
            <w:tcW w:w="195" w:type="dxa"/>
            <w:tcBorders/>
            <w:vAlign w:val="center"/>
          </w:tcPr>
          <w:p>
            <w:pPr>
              <w:pStyle w:val="TableContents"/>
              <w:bidi w:val="0"/>
              <w:spacing w:before="0" w:after="0"/>
              <w:ind w:left="0" w:right="0" w:hanging="0"/>
              <w:jc w:val="left"/>
              <w:rPr/>
            </w:pPr>
            <w:r>
              <w:rPr/>
              <w:t> </w:t>
            </w:r>
          </w:p>
        </w:tc>
      </w:tr>
      <w:tr>
        <w:trPr/>
        <w:tc>
          <w:tcPr>
            <w:tcW w:w="4388"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 per common share, basic and diluted</w:t>
            </w:r>
          </w:p>
        </w:tc>
        <w:tc>
          <w:tcPr>
            <w:tcW w:w="146" w:type="dxa"/>
            <w:tcBorders/>
            <w:vAlign w:val="center"/>
          </w:tcPr>
          <w:p>
            <w:pPr>
              <w:pStyle w:val="TableContents"/>
              <w:bidi w:val="0"/>
              <w:spacing w:before="0" w:after="0"/>
              <w:ind w:left="100" w:right="0" w:hanging="0"/>
              <w:jc w:val="left"/>
              <w:rPr/>
            </w:pPr>
            <w:r>
              <w:rPr/>
              <w:t> </w:t>
            </w:r>
          </w:p>
        </w:tc>
        <w:tc>
          <w:tcPr>
            <w:tcW w:w="2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0.63</w:t>
            </w:r>
          </w:p>
        </w:tc>
        <w:tc>
          <w:tcPr>
            <w:tcW w:w="195" w:type="dxa"/>
            <w:tcBorders/>
            <w:vAlign w:val="center"/>
          </w:tcPr>
          <w:p>
            <w:pPr>
              <w:pStyle w:val="TableContents"/>
              <w:bidi w:val="0"/>
              <w:spacing w:before="0" w:after="0"/>
              <w:ind w:left="0" w:right="0" w:hanging="0"/>
              <w:jc w:val="left"/>
              <w:rPr/>
            </w:pPr>
            <w:r>
              <w:rPr/>
              <w:t> </w:t>
            </w:r>
          </w:p>
        </w:tc>
      </w:tr>
      <w:tr>
        <w:trPr/>
        <w:tc>
          <w:tcPr>
            <w:tcW w:w="43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0" w:type="dxa"/>
            <w:gridSpan w:val="2"/>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8043" w:type="dxa"/>
        <w:jc w:val="left"/>
        <w:tblInd w:w="0" w:type="dxa"/>
        <w:tblLayout w:type="fixed"/>
        <w:tblCellMar>
          <w:top w:w="28" w:type="dxa"/>
          <w:left w:w="28" w:type="dxa"/>
          <w:bottom w:w="28" w:type="dxa"/>
          <w:right w:w="28" w:type="dxa"/>
        </w:tblCellMar>
      </w:tblPr>
      <w:tblGrid>
        <w:gridCol w:w="1876"/>
        <w:gridCol w:w="172"/>
        <w:gridCol w:w="1103"/>
        <w:gridCol w:w="146"/>
        <w:gridCol w:w="146"/>
        <w:gridCol w:w="172"/>
        <w:gridCol w:w="1103"/>
        <w:gridCol w:w="146"/>
        <w:gridCol w:w="146"/>
        <w:gridCol w:w="172"/>
        <w:gridCol w:w="1103"/>
        <w:gridCol w:w="146"/>
        <w:gridCol w:w="146"/>
        <w:gridCol w:w="172"/>
        <w:gridCol w:w="1103"/>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vAlign w:val="center"/>
          </w:tcPr>
          <w:p>
            <w:pPr>
              <w:pStyle w:val="TableContents"/>
              <w:bidi w:val="0"/>
              <w:spacing w:before="0" w:after="0"/>
              <w:ind w:left="0" w:right="0" w:hanging="0"/>
              <w:jc w:val="center"/>
              <w:rPr/>
            </w:pPr>
            <w:r>
              <w:rPr/>
              <w:t> </w:t>
            </w:r>
          </w:p>
        </w:tc>
        <w:tc>
          <w:tcPr>
            <w:tcW w:w="284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4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Six-Months Ended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76" w:type="dxa"/>
            <w:tcBorders/>
            <w:vAlign w:val="center"/>
          </w:tcPr>
          <w:p>
            <w:pPr>
              <w:pStyle w:val="TableContents"/>
              <w:bidi w:val="0"/>
              <w:spacing w:before="0" w:after="0"/>
              <w:ind w:left="0" w:right="0" w:hanging="0"/>
              <w:jc w:val="righ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852" w:type="dxa"/>
            <w:gridSpan w:val="15"/>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Anti-dilutive shares excluded from diluted net loss per common share:</w:t>
            </w:r>
          </w:p>
        </w:tc>
        <w:tc>
          <w:tcPr>
            <w:tcW w:w="191" w:type="dxa"/>
            <w:tcBorders/>
            <w:vAlign w:val="center"/>
          </w:tcPr>
          <w:p>
            <w:pPr>
              <w:pStyle w:val="TableContents"/>
              <w:bidi w:val="0"/>
              <w:spacing w:before="0" w:after="0"/>
              <w:ind w:left="0" w:right="0" w:hanging="0"/>
              <w:jc w:val="left"/>
              <w:rPr/>
            </w:pPr>
            <w:r>
              <w:rPr/>
              <w:t> </w:t>
            </w:r>
          </w:p>
        </w:tc>
      </w:tr>
      <w:tr>
        <w:trPr/>
        <w:tc>
          <w:tcPr>
            <w:tcW w:w="18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w:t>
            </w:r>
          </w:p>
        </w:tc>
        <w:tc>
          <w:tcPr>
            <w:tcW w:w="172" w:type="dxa"/>
            <w:tcBorders/>
            <w:vAlign w:val="center"/>
          </w:tcPr>
          <w:p>
            <w:pPr>
              <w:pStyle w:val="TableContents"/>
              <w:bidi w:val="0"/>
              <w:spacing w:before="0" w:after="0"/>
              <w:ind w:left="0" w:right="0" w:hanging="0"/>
              <w:jc w:val="left"/>
              <w:rPr/>
            </w:pPr>
            <w:r>
              <w:rPr/>
              <w:t> </w:t>
            </w:r>
          </w:p>
        </w:tc>
        <w:tc>
          <w:tcPr>
            <w:tcW w:w="11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2,675,458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11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1,774,070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11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2,675,458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11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1,774,070</w:t>
            </w:r>
          </w:p>
        </w:tc>
        <w:tc>
          <w:tcPr>
            <w:tcW w:w="191" w:type="dxa"/>
            <w:tcBorders/>
            <w:vAlign w:val="center"/>
          </w:tcPr>
          <w:p>
            <w:pPr>
              <w:pStyle w:val="TableContents"/>
              <w:bidi w:val="0"/>
              <w:spacing w:before="0" w:after="0"/>
              <w:ind w:left="0" w:right="0" w:hanging="0"/>
              <w:jc w:val="left"/>
              <w:rPr/>
            </w:pPr>
            <w:r>
              <w:rPr/>
              <w:t> </w:t>
            </w:r>
          </w:p>
        </w:tc>
      </w:tr>
      <w:tr>
        <w:trPr/>
        <w:tc>
          <w:tcPr>
            <w:tcW w:w="18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units</w:t>
            </w:r>
          </w:p>
        </w:tc>
        <w:tc>
          <w:tcPr>
            <w:tcW w:w="172" w:type="dxa"/>
            <w:tcBorders/>
            <w:vAlign w:val="center"/>
          </w:tcPr>
          <w:p>
            <w:pPr>
              <w:pStyle w:val="TableContents"/>
              <w:bidi w:val="0"/>
              <w:spacing w:before="0" w:after="0"/>
              <w:ind w:left="0" w:right="0" w:hanging="0"/>
              <w:jc w:val="left"/>
              <w:rPr/>
            </w:pPr>
            <w:r>
              <w:rPr/>
              <w:t> </w:t>
            </w:r>
          </w:p>
        </w:tc>
        <w:tc>
          <w:tcPr>
            <w:tcW w:w="11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378,541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11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220,920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11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378,541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11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220,920</w:t>
            </w:r>
          </w:p>
        </w:tc>
        <w:tc>
          <w:tcPr>
            <w:tcW w:w="191" w:type="dxa"/>
            <w:tcBorders/>
            <w:vAlign w:val="center"/>
          </w:tcPr>
          <w:p>
            <w:pPr>
              <w:pStyle w:val="TableContents"/>
              <w:bidi w:val="0"/>
              <w:spacing w:before="0" w:after="0"/>
              <w:ind w:left="0" w:right="0" w:hanging="0"/>
              <w:jc w:val="left"/>
              <w:rPr/>
            </w:pPr>
            <w:r>
              <w:rPr/>
              <w:t> </w:t>
            </w:r>
          </w:p>
        </w:tc>
      </w:tr>
      <w:tr>
        <w:trPr/>
        <w:tc>
          <w:tcPr>
            <w:tcW w:w="187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The Company’s basic net loss per share is calculated by dividing the net loss by the weighted-average number of shares of common stock outstanding for the relevant period. In accordance with </w:t>
      </w:r>
      <w:r>
        <w:rPr>
          <w:rFonts w:ascii="Times New Roman;serif" w:hAnsi="Times New Roman;serif"/>
          <w:b w:val="false"/>
          <w:i/>
          <w:sz w:val="20"/>
        </w:rPr>
        <w:t>ASC 710-10</w:t>
      </w:r>
      <w:r>
        <w:rPr>
          <w:rFonts w:ascii="Times New Roman;serif" w:hAnsi="Times New Roman;serif"/>
          <w:b w:val="false"/>
          <w:sz w:val="20"/>
        </w:rPr>
        <w:t>, 105,577</w:t>
      </w:r>
      <w:r>
        <w:rPr>
          <w:rFonts w:ascii="Times New Roman" w:hAnsi="Times New Roman"/>
          <w:sz w:val="20"/>
        </w:rPr>
        <w:t xml:space="preserve"> </w:t>
      </w:r>
      <w:r>
        <w:rPr>
          <w:rFonts w:ascii="Times New Roman;serif" w:hAnsi="Times New Roman;serif"/>
          <w:b w:val="false"/>
          <w:sz w:val="20"/>
        </w:rPr>
        <w:t>shares of common stock held by the rabbi trust are excluded from the denominator in the basic and diluted net loss per common share calculations. For details on shares of common stock held by the rabbi trust refer to Note 17. For the purposes of the calculation of diluted net loss per share, options to purchase common stock, restricted stock units and unvested shares of common stock issued upon the early exercise of stock options have been excluded from the calculation of diluted net loss per share as their effect is anti-dilutive. Because the Company has reported a net loss for the three-months and six-months ended June 30, 2023, and 2022, diluted net loss per common share is the same as the basic net loss per share for those periods.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17. Retirement Plans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The Company offers a 401(k) retirement savings plan (the </w:t>
      </w:r>
      <w:r>
        <w:rPr>
          <w:rFonts w:ascii="Times New Roman" w:hAnsi="Times New Roman"/>
          <w:sz w:val="20"/>
        </w:rPr>
        <w:t>“</w:t>
      </w:r>
      <w:r>
        <w:rPr>
          <w:rFonts w:ascii="Times New Roman;serif" w:hAnsi="Times New Roman;serif"/>
          <w:b/>
          <w:sz w:val="20"/>
        </w:rPr>
        <w:t>401(k) Plan”</w:t>
      </w:r>
      <w:r>
        <w:rPr>
          <w:rFonts w:ascii="Times New Roman;serif" w:hAnsi="Times New Roman;serif"/>
          <w:b w:val="false"/>
          <w:sz w:val="20"/>
        </w:rPr>
        <w:t>) for its employees, including its executive officers, who satisfy certain eligibility requirements. The Internal Revenue Code of 1986, as amended, allows eligible employees to defer a portion of their compensation, within prescribed limits, on a pre-tax basis through contributions to the 401(k) Plan. The Company matches contributions to the 401(k) Plan based on the amount of salary deferral contributions the participant makes to the 401(k) Plan. The Company will match up to 6% of an employee’s compensation that the employee contributes to his or her 401(k) Plan account up to the maximum allowable. Total Company's matching contributions to the 401(k) Plan were $249,000</w:t>
      </w:r>
      <w:r>
        <w:rPr>
          <w:rFonts w:ascii="Times New Roman" w:hAnsi="Times New Roman"/>
          <w:sz w:val="20"/>
        </w:rPr>
        <w:t xml:space="preserve"> </w:t>
      </w:r>
      <w:r>
        <w:rPr>
          <w:rFonts w:ascii="Times New Roman;serif" w:hAnsi="Times New Roman;serif"/>
          <w:b w:val="false"/>
          <w:sz w:val="20"/>
        </w:rPr>
        <w:t>and $239,000</w:t>
      </w:r>
      <w:r>
        <w:rPr>
          <w:rFonts w:ascii="Times New Roman" w:hAnsi="Times New Roman"/>
          <w:sz w:val="20"/>
        </w:rPr>
        <w:t xml:space="preserve"> </w:t>
      </w:r>
      <w:r>
        <w:rPr>
          <w:rFonts w:ascii="Times New Roman;serif" w:hAnsi="Times New Roman;serif"/>
          <w:b w:val="false"/>
          <w:sz w:val="20"/>
        </w:rPr>
        <w:t>for the three-months ended June 30, 2023 and 2022, respectively, and $671,000</w:t>
      </w:r>
      <w:r>
        <w:rPr>
          <w:rFonts w:ascii="Times New Roman" w:hAnsi="Times New Roman"/>
          <w:sz w:val="20"/>
        </w:rPr>
        <w:t xml:space="preserve"> </w:t>
      </w:r>
      <w:r>
        <w:rPr>
          <w:rFonts w:ascii="Times New Roman;serif" w:hAnsi="Times New Roman;serif"/>
          <w:b w:val="false"/>
          <w:sz w:val="20"/>
        </w:rPr>
        <w:t>and $471,000</w:t>
      </w:r>
      <w:r>
        <w:rPr>
          <w:rFonts w:ascii="Times New Roman" w:hAnsi="Times New Roman"/>
          <w:sz w:val="20"/>
        </w:rPr>
        <w:t xml:space="preserve"> </w:t>
      </w:r>
      <w:r>
        <w:rPr>
          <w:rFonts w:ascii="Times New Roman;serif" w:hAnsi="Times New Roman;serif"/>
          <w:b w:val="false"/>
          <w:sz w:val="20"/>
        </w:rPr>
        <w:t>for the six-months ended June 30, 2023 and 2022, respectively.</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Non-Qualified Deferred Compensation Plan</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Company’s NQDC plan, which became effective on October 2021, allows for eligible management and highly compensated key employees to elect to defer a portion of their salary, bonus and RSU awards to later years. Cash deferrals are immediately vested and are subject to investment risk, and a risk of forfeiture under certain circumstances. RSU deferrals are subject to the vesting conditions of the award. Once RSUs vest, subject to a six-month and one day holding period, employees are allowed to diversify the common stock into other investment options offered by the plan. For cash deferrals, the Company matches 4% to 6% (depending on level) of employee contributions. These matching employer contributions are vested over a two-year</w:t>
      </w:r>
      <w:r>
        <w:rPr>
          <w:rFonts w:ascii="Times New Roman" w:hAnsi="Times New Roman"/>
          <w:sz w:val="20"/>
        </w:rPr>
        <w:t xml:space="preserve"> </w:t>
      </w:r>
      <w:r>
        <w:rPr>
          <w:rFonts w:ascii="Times New Roman;serif" w:hAnsi="Times New Roman;serif"/>
          <w:b w:val="false"/>
          <w:sz w:val="20"/>
        </w:rPr>
        <w:t>period with 25% vesting on year one and 75% vesting on year two for employees under 55 years of age. Employer contributions for employees over 55 years of age are immediately vested. Employer contributions to the NQDC plan were $39,000</w:t>
      </w:r>
      <w:r>
        <w:rPr>
          <w:rFonts w:ascii="Times New Roman" w:hAnsi="Times New Roman"/>
          <w:sz w:val="20"/>
        </w:rPr>
        <w:t xml:space="preserve"> </w:t>
      </w:r>
      <w:r>
        <w:rPr>
          <w:rFonts w:ascii="Times New Roman;serif" w:hAnsi="Times New Roman;serif"/>
          <w:b w:val="false"/>
          <w:sz w:val="20"/>
        </w:rPr>
        <w:t>and $38,000</w:t>
      </w:r>
      <w:r>
        <w:rPr>
          <w:rFonts w:ascii="Times New Roman" w:hAnsi="Times New Roman"/>
          <w:sz w:val="20"/>
        </w:rPr>
        <w:t xml:space="preserve"> </w:t>
      </w:r>
      <w:r>
        <w:rPr>
          <w:rFonts w:ascii="Times New Roman;serif" w:hAnsi="Times New Roman;serif"/>
          <w:b w:val="false"/>
          <w:sz w:val="20"/>
        </w:rPr>
        <w:t>for the three-months ended June 30, 2023 and 2022, respectively, and $80,000</w:t>
      </w:r>
      <w:r>
        <w:rPr>
          <w:rFonts w:ascii="Times New Roman" w:hAnsi="Times New Roman"/>
          <w:sz w:val="20"/>
        </w:rPr>
        <w:t xml:space="preserve"> </w:t>
      </w:r>
      <w:r>
        <w:rPr>
          <w:rFonts w:ascii="Times New Roman;serif" w:hAnsi="Times New Roman;serif"/>
          <w:b w:val="false"/>
          <w:sz w:val="20"/>
        </w:rPr>
        <w:t>and $122,000</w:t>
      </w:r>
      <w:r>
        <w:rPr>
          <w:rFonts w:ascii="Times New Roman" w:hAnsi="Times New Roman"/>
          <w:sz w:val="20"/>
        </w:rPr>
        <w:t xml:space="preserve"> </w:t>
      </w:r>
      <w:r>
        <w:rPr>
          <w:rFonts w:ascii="Times New Roman;serif" w:hAnsi="Times New Roman;serif"/>
          <w:b w:val="false"/>
          <w:sz w:val="20"/>
        </w:rPr>
        <w:t>for the six-months ended June 30, 2023 and 2022, respectively. The Company’s deferred compensation plan liability was $3.8</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as of June 30, 2023 and December 31, 2022, respectively. These amounts are split between current and long term on the Consolidated Balance Sheets. As of June 30, 2023, $2.6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is included in Current non-qualified deferred compensation liability and $1.2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in Non-qualified deferred compensation liability. As of December 31, 2022, $78,000</w:t>
      </w:r>
      <w:r>
        <w:rPr>
          <w:rFonts w:ascii="Times New Roman" w:hAnsi="Times New Roman"/>
          <w:sz w:val="20"/>
        </w:rPr>
        <w:t xml:space="preserve"> </w:t>
      </w:r>
      <w:r>
        <w:rPr>
          <w:rFonts w:ascii="Times New Roman;serif" w:hAnsi="Times New Roman;serif"/>
          <w:b w:val="false"/>
          <w:sz w:val="20"/>
        </w:rPr>
        <w:t>is included in Current non-qualified deferred compensation liability and $1.3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in Non-qualified deferred compensation liability. During the second quarter of 2023, the Company had a payout of approximately $82,000</w:t>
      </w:r>
      <w:r>
        <w:rPr>
          <w:rFonts w:ascii="Times New Roman" w:hAnsi="Times New Roman"/>
          <w:sz w:val="20"/>
        </w:rPr>
        <w:t xml:space="preserve"> </w:t>
      </w:r>
      <w:r>
        <w:rPr>
          <w:rFonts w:ascii="Times New Roman;serif" w:hAnsi="Times New Roman;serif"/>
          <w:b w:val="false"/>
          <w:sz w:val="20"/>
        </w:rPr>
        <w:t>in the deferred compensation liability for a terminated employee.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fair values of the Company’s deferred compensation plan assets and liability are included in the table below. For additional information on the fair value hierarchy and the inputs used to measure fair value, see Note 4, Fair Value Measurements.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415"/>
        <w:gridCol w:w="146"/>
        <w:gridCol w:w="333"/>
        <w:gridCol w:w="284"/>
        <w:gridCol w:w="146"/>
        <w:gridCol w:w="196"/>
        <w:gridCol w:w="511"/>
        <w:gridCol w:w="146"/>
        <w:gridCol w:w="333"/>
        <w:gridCol w:w="284"/>
        <w:gridCol w:w="146"/>
        <w:gridCol w:w="196"/>
        <w:gridCol w:w="511"/>
        <w:gridCol w:w="146"/>
        <w:gridCol w:w="333"/>
        <w:gridCol w:w="284"/>
        <w:gridCol w:w="156"/>
        <w:gridCol w:w="209"/>
        <w:gridCol w:w="546"/>
        <w:gridCol w:w="156"/>
        <w:gridCol w:w="333"/>
        <w:gridCol w:w="284"/>
        <w:gridCol w:w="156"/>
        <w:gridCol w:w="209"/>
        <w:gridCol w:w="546"/>
        <w:gridCol w:w="200"/>
      </w:tblGrid>
      <w:tr>
        <w:trPr/>
        <w:tc>
          <w:tcPr>
            <w:tcW w:w="3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41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86" w:type="dxa"/>
            <w:gridSpan w:val="11"/>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Fair Value as of 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212" w:type="dxa"/>
            <w:gridSpan w:val="11"/>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Fair Value as of December 31, 2022</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1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 thousands)</w:t>
            </w:r>
          </w:p>
        </w:tc>
        <w:tc>
          <w:tcPr>
            <w:tcW w:w="146" w:type="dxa"/>
            <w:tcBorders/>
            <w:vAlign w:val="center"/>
          </w:tcPr>
          <w:p>
            <w:pPr>
              <w:pStyle w:val="TableContents"/>
              <w:bidi w:val="0"/>
              <w:spacing w:before="0" w:after="0"/>
              <w:ind w:left="0" w:right="0" w:hanging="0"/>
              <w:jc w:val="left"/>
              <w:rPr/>
            </w:pPr>
            <w:r>
              <w:rPr/>
              <w:t> </w:t>
            </w:r>
          </w:p>
        </w:tc>
        <w:tc>
          <w:tcPr>
            <w:tcW w:w="6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1</w:t>
            </w:r>
          </w:p>
        </w:tc>
        <w:tc>
          <w:tcPr>
            <w:tcW w:w="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2</w:t>
            </w:r>
          </w:p>
        </w:tc>
        <w:tc>
          <w:tcPr>
            <w:tcW w:w="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3</w:t>
            </w:r>
          </w:p>
        </w:tc>
        <w:tc>
          <w:tcPr>
            <w:tcW w:w="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1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Corporate-owned life insurance policies (1)</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8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2,091</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8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2,091</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8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5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1,238</w:t>
            </w:r>
          </w:p>
        </w:tc>
        <w:tc>
          <w:tcPr>
            <w:tcW w:w="15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8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5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1,238</w:t>
            </w:r>
          </w:p>
        </w:tc>
        <w:tc>
          <w:tcPr>
            <w:tcW w:w="200" w:type="dxa"/>
            <w:tcBorders/>
            <w:vAlign w:val="center"/>
          </w:tcPr>
          <w:p>
            <w:pPr>
              <w:pStyle w:val="TableContents"/>
              <w:bidi w:val="0"/>
              <w:spacing w:before="0" w:after="0"/>
              <w:ind w:left="0" w:right="0" w:hanging="0"/>
              <w:jc w:val="left"/>
              <w:rPr/>
            </w:pPr>
            <w:r>
              <w:rPr/>
              <w:t> </w:t>
            </w:r>
          </w:p>
        </w:tc>
      </w:tr>
      <w:tr>
        <w:trPr/>
        <w:tc>
          <w:tcPr>
            <w:tcW w:w="341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Non-qualified deferred compensation plan liability (2)</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3,796</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3,796</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5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1,348</w:t>
            </w:r>
          </w:p>
        </w:tc>
        <w:tc>
          <w:tcPr>
            <w:tcW w:w="15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5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1,348</w:t>
            </w:r>
          </w:p>
        </w:tc>
        <w:tc>
          <w:tcPr>
            <w:tcW w:w="200"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corporate-owned life insurance contracts are recorded at cash surrender value, which is provided by a third party and reflects the net asset value of the underlying publicly traded mutual funds and are categorized as Level 2.</w:t>
      </w:r>
    </w:p>
    <w:p>
      <w:pPr>
        <w:pStyle w:val="TextBody"/>
        <w:bidi w:val="0"/>
        <w:spacing w:before="0" w:after="0"/>
        <w:jc w:val="left"/>
        <w:rPr>
          <w:rFonts w:ascii="Times New Roman" w:hAnsi="Times New Roman"/>
          <w:b w:val="false"/>
          <w:sz w:val="20"/>
        </w:rPr>
      </w:pPr>
      <w:r>
        <w:rPr>
          <w:rFonts w:ascii="Times New Roman" w:hAnsi="Times New Roman"/>
          <w:b w:val="false"/>
          <w:sz w:val="20"/>
        </w:rPr>
        <w:t>(2)</w:t>
      </w:r>
    </w:p>
    <w:p>
      <w:pPr>
        <w:pStyle w:val="TextBody"/>
        <w:bidi w:val="0"/>
        <w:jc w:val="left"/>
        <w:rPr>
          <w:rFonts w:ascii="Times New Roman;serif" w:hAnsi="Times New Roman;serif"/>
          <w:sz w:val="20"/>
        </w:rPr>
      </w:pPr>
      <w:r>
        <w:rPr>
          <w:rFonts w:ascii="Times New Roman;serif" w:hAnsi="Times New Roman;serif"/>
          <w:b w:val="false"/>
          <w:sz w:val="20"/>
        </w:rPr>
        <w:t>Non-qualified deferred compensation plan liability is measured at fair value based on quoted prices of identical instruments to the investment vehicles selected by the participants.</w:t>
      </w:r>
      <w:r>
        <w:rPr>
          <w:rFonts w:ascii="Times New Roman;serif" w:hAnsi="Times New Roman;serif"/>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Rabbi Trust</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During April 2022, the Company established a rabbi trust to hold the assets of the NQDC plan. The rabbi trust holds the COLI asset and the common stock from deferred RSU awards that have vested. The NQDC permits diversification of fully vested shares into other equity securities subject to a six-month and one day holding period. In accordance with </w:t>
      </w:r>
      <w:r>
        <w:rPr>
          <w:rFonts w:ascii="Times New Roman;serif" w:hAnsi="Times New Roman;serif"/>
          <w:b w:val="false"/>
          <w:i/>
          <w:sz w:val="20"/>
        </w:rPr>
        <w:t>ASR 268,</w:t>
      </w:r>
      <w:r>
        <w:rPr>
          <w:rFonts w:ascii="Times New Roman" w:hAnsi="Times New Roman"/>
          <w:sz w:val="20"/>
        </w:rPr>
        <w:t xml:space="preserve"> </w:t>
      </w:r>
      <w:r>
        <w:rPr>
          <w:rFonts w:ascii="Times New Roman;serif" w:hAnsi="Times New Roman;serif"/>
          <w:b w:val="false"/>
          <w:i/>
          <w:sz w:val="20"/>
        </w:rPr>
        <w:t>Redeemable Preferred Stock</w:t>
      </w:r>
      <w:r>
        <w:rPr>
          <w:rFonts w:ascii="Times New Roman;serif" w:hAnsi="Times New Roman;serif"/>
          <w:b w:val="false"/>
          <w:sz w:val="20"/>
        </w:rPr>
        <w:t xml:space="preserve">, and </w:t>
      </w:r>
      <w:r>
        <w:rPr>
          <w:rFonts w:ascii="Times New Roman;serif" w:hAnsi="Times New Roman;serif"/>
          <w:b w:val="false"/>
          <w:i/>
          <w:sz w:val="20"/>
        </w:rPr>
        <w:t>ASC 718,</w:t>
      </w:r>
      <w:r>
        <w:rPr>
          <w:rFonts w:ascii="Times New Roman" w:hAnsi="Times New Roman"/>
          <w:sz w:val="20"/>
        </w:rPr>
        <w:t xml:space="preserve"> </w:t>
      </w:r>
      <w:r>
        <w:rPr>
          <w:rFonts w:ascii="Times New Roman;serif" w:hAnsi="Times New Roman;serif"/>
          <w:b w:val="false"/>
          <w:i/>
          <w:sz w:val="20"/>
        </w:rPr>
        <w:t>Compensation — Stock Compensation</w:t>
      </w:r>
      <w:r>
        <w:rPr>
          <w:rFonts w:ascii="Times New Roman;serif" w:hAnsi="Times New Roman;serif"/>
          <w:b w:val="false"/>
          <w:sz w:val="20"/>
        </w:rPr>
        <w:t>, prior to vesting, the deferred share awards are classified as an equity instrument and changes in fair value of the amount owed to the participant are not recognized. The redemption amounts of the deferred awards are based on the vested percentage and are recorded outside of permanent equity as Non-qualified deferred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compensation share awards on the Consolidated Balance Sheets. As of June 30, 2023, a total of 165,399</w:t>
      </w:r>
      <w:r>
        <w:rPr>
          <w:rFonts w:ascii="Times New Roman" w:hAnsi="Times New Roman"/>
          <w:sz w:val="20"/>
        </w:rPr>
        <w:t xml:space="preserve"> </w:t>
      </w:r>
      <w:r>
        <w:rPr>
          <w:rFonts w:ascii="Times New Roman;serif" w:hAnsi="Times New Roman;serif"/>
          <w:b w:val="false"/>
          <w:sz w:val="20"/>
        </w:rPr>
        <w:t>shares awards have been deferred, and a total of 105,577</w:t>
      </w:r>
      <w:r>
        <w:rPr>
          <w:rFonts w:ascii="Times New Roman" w:hAnsi="Times New Roman"/>
          <w:sz w:val="20"/>
        </w:rPr>
        <w:t xml:space="preserve"> </w:t>
      </w:r>
      <w:r>
        <w:rPr>
          <w:rFonts w:ascii="Times New Roman;serif" w:hAnsi="Times New Roman;serif"/>
          <w:b w:val="false"/>
          <w:sz w:val="20"/>
        </w:rPr>
        <w:t>shares were vested at the redemption value of $892,000. As of December 31, 2022, a total of 253,048</w:t>
      </w:r>
      <w:r>
        <w:rPr>
          <w:rFonts w:ascii="Times New Roman" w:hAnsi="Times New Roman"/>
          <w:sz w:val="20"/>
        </w:rPr>
        <w:t xml:space="preserve"> </w:t>
      </w:r>
      <w:r>
        <w:rPr>
          <w:rFonts w:ascii="Times New Roman;serif" w:hAnsi="Times New Roman;serif"/>
          <w:b w:val="false"/>
          <w:sz w:val="20"/>
        </w:rPr>
        <w:t>share awards have been deferred, and a total of 17,927</w:t>
      </w:r>
      <w:r>
        <w:rPr>
          <w:rFonts w:ascii="Times New Roman" w:hAnsi="Times New Roman"/>
          <w:sz w:val="20"/>
        </w:rPr>
        <w:t xml:space="preserve"> </w:t>
      </w:r>
      <w:r>
        <w:rPr>
          <w:rFonts w:ascii="Times New Roman;serif" w:hAnsi="Times New Roman;serif"/>
          <w:b w:val="false"/>
          <w:sz w:val="20"/>
        </w:rPr>
        <w:t>awards vested with a redemption value of $127,000. Vested shares are converted to common stock and are reclassified to permanent equity. Common stock held in the rabbi trust is classified in a manner similar to treasury stock and presented separately on the Consolidated Balance Sheets as Common stock held by the NQDC plan.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table summarizes the eligible share award activity as of June 30, 2023 and December 31, 2022 (in thousands):</w:t>
      </w:r>
    </w:p>
    <w:tbl>
      <w:tblPr>
        <w:tblW w:w="9000" w:type="dxa"/>
        <w:jc w:val="left"/>
        <w:tblInd w:w="0" w:type="dxa"/>
        <w:tblLayout w:type="fixed"/>
        <w:tblCellMar>
          <w:top w:w="28" w:type="dxa"/>
          <w:left w:w="28" w:type="dxa"/>
          <w:bottom w:w="28" w:type="dxa"/>
          <w:right w:w="28" w:type="dxa"/>
        </w:tblCellMar>
      </w:tblPr>
      <w:tblGrid>
        <w:gridCol w:w="5251"/>
        <w:gridCol w:w="146"/>
        <w:gridCol w:w="344"/>
        <w:gridCol w:w="931"/>
        <w:gridCol w:w="166"/>
        <w:gridCol w:w="146"/>
        <w:gridCol w:w="526"/>
        <w:gridCol w:w="1199"/>
        <w:gridCol w:w="291"/>
      </w:tblGrid>
      <w:tr>
        <w:trPr/>
        <w:tc>
          <w:tcPr>
            <w:tcW w:w="5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2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1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25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(in thousands)</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2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Non-qualified deferred compensation share awards:</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r>
      <w:tr>
        <w:trPr/>
        <w:tc>
          <w:tcPr>
            <w:tcW w:w="5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inception/beginning of period</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91" w:type="dxa"/>
            <w:tcBorders/>
            <w:vAlign w:val="center"/>
          </w:tcPr>
          <w:p>
            <w:pPr>
              <w:pStyle w:val="TableContents"/>
              <w:bidi w:val="0"/>
              <w:spacing w:before="0" w:after="0"/>
              <w:ind w:left="0" w:right="0" w:firstLine="100"/>
              <w:jc w:val="left"/>
              <w:rPr/>
            </w:pPr>
            <w:r>
              <w:rPr/>
              <w:t> </w:t>
            </w:r>
          </w:p>
        </w:tc>
      </w:tr>
      <w:tr>
        <w:trPr/>
        <w:tc>
          <w:tcPr>
            <w:tcW w:w="525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Change in classification of deferred compensation share awards</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left"/>
              <w:rPr/>
            </w:pPr>
            <w:r>
              <w:rPr/>
              <w:t> </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291" w:type="dxa"/>
            <w:tcBorders/>
            <w:vAlign w:val="center"/>
          </w:tcPr>
          <w:p>
            <w:pPr>
              <w:pStyle w:val="TableContents"/>
              <w:bidi w:val="0"/>
              <w:spacing w:before="0" w:after="0"/>
              <w:ind w:left="0" w:right="0" w:firstLine="100"/>
              <w:jc w:val="left"/>
              <w:rPr/>
            </w:pPr>
            <w:r>
              <w:rPr/>
              <w:t> </w:t>
            </w:r>
          </w:p>
        </w:tc>
      </w:tr>
      <w:tr>
        <w:trPr/>
        <w:tc>
          <w:tcPr>
            <w:tcW w:w="525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left"/>
              <w:rPr/>
            </w:pPr>
            <w:r>
              <w:rPr/>
              <w:t> </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471</w:t>
            </w:r>
          </w:p>
        </w:tc>
        <w:tc>
          <w:tcPr>
            <w:tcW w:w="291" w:type="dxa"/>
            <w:tcBorders/>
            <w:vAlign w:val="center"/>
          </w:tcPr>
          <w:p>
            <w:pPr>
              <w:pStyle w:val="TableContents"/>
              <w:bidi w:val="0"/>
              <w:spacing w:before="0" w:after="0"/>
              <w:ind w:left="0" w:right="0" w:firstLine="100"/>
              <w:jc w:val="left"/>
              <w:rPr/>
            </w:pPr>
            <w:r>
              <w:rPr/>
              <w:t> </w:t>
            </w:r>
          </w:p>
        </w:tc>
      </w:tr>
      <w:tr>
        <w:trPr/>
        <w:tc>
          <w:tcPr>
            <w:tcW w:w="525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Change in redemption value</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left"/>
              <w:rPr/>
            </w:pPr>
            <w:r>
              <w:rPr/>
              <w:t> </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291" w:type="dxa"/>
            <w:tcBorders/>
            <w:vAlign w:val="center"/>
          </w:tcPr>
          <w:p>
            <w:pPr>
              <w:pStyle w:val="TableContents"/>
              <w:bidi w:val="0"/>
              <w:spacing w:before="0" w:after="0"/>
              <w:ind w:left="0" w:right="0" w:firstLine="100"/>
              <w:jc w:val="left"/>
              <w:rPr/>
            </w:pPr>
            <w:r>
              <w:rPr/>
              <w:t> </w:t>
            </w:r>
          </w:p>
        </w:tc>
      </w:tr>
      <w:tr>
        <w:trPr/>
        <w:tc>
          <w:tcPr>
            <w:tcW w:w="525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Vesting of share awards held by NDQC</w:t>
            </w:r>
          </w:p>
        </w:tc>
        <w:tc>
          <w:tcPr>
            <w:tcW w:w="146" w:type="dxa"/>
            <w:tcBorders/>
            <w:vAlign w:val="center"/>
          </w:tcPr>
          <w:p>
            <w:pPr>
              <w:pStyle w:val="TableContents"/>
              <w:bidi w:val="0"/>
              <w:spacing w:before="0" w:after="0"/>
              <w:ind w:left="0" w:right="0" w:hanging="0"/>
              <w:jc w:val="left"/>
              <w:rPr/>
            </w:pPr>
            <w:r>
              <w:rPr/>
              <w:t> </w:t>
            </w:r>
          </w:p>
        </w:tc>
        <w:tc>
          <w:tcPr>
            <w:tcW w:w="3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Ending Balance</w:t>
            </w:r>
          </w:p>
        </w:tc>
        <w:tc>
          <w:tcPr>
            <w:tcW w:w="146" w:type="dxa"/>
            <w:tcBorders/>
            <w:vAlign w:val="center"/>
          </w:tcPr>
          <w:p>
            <w:pPr>
              <w:pStyle w:val="TableContents"/>
              <w:bidi w:val="0"/>
              <w:spacing w:before="0" w:after="0"/>
              <w:ind w:left="0" w:right="0" w:hanging="0"/>
              <w:jc w:val="left"/>
              <w:rPr/>
            </w:pPr>
            <w:r>
              <w:rPr/>
              <w:t> </w:t>
            </w:r>
          </w:p>
        </w:tc>
        <w:tc>
          <w:tcPr>
            <w:tcW w:w="3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557</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18. Subsequent Events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evaluated subsequent events through the filing of this Quarterly Report on Form 10-Q and determined that there have been no events that have occurred that would require adjustments to our disclosures in the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bookmarkStart w:id="11" w:name="item_2_managements_discussion_analysis_f"/>
      <w:bookmarkEnd w:id="11"/>
      <w:r>
        <w:rPr>
          <w:rFonts w:ascii="Times New Roman;serif" w:hAnsi="Times New Roman;serif"/>
          <w:b/>
          <w:sz w:val="20"/>
        </w:rPr>
        <w:t>Item 2. Management’s Discussion and Analysis of Financial Condition and Results of Operations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i/>
          <w:sz w:val="20"/>
        </w:rPr>
        <w:t>The following discussion and analysis of our financial condition and results of operations should be read in conjunction with our unaudited Consolidated Financial Statements and related notes appearing elsewhere in this Quarterly Report on Form 10-Q.</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i/>
          <w:sz w:val="20"/>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In addition,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i/>
          <w:sz w:val="20"/>
        </w:rPr>
        <w:t>The following information and any forward-looking statements should be considered in light of factors discussed elsewhere in this Quarterly Report on Form 10-Q, including those risks identified under Part II, Item 1A. Risk Factors.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i/>
          <w:sz w:val="20"/>
        </w:rPr>
        <w:t>We caution readers not to place undue reliance on any forward-looking statements made by us, which speak only as of the date they are made. We disclaim any obligation, except as specifically required by law and the rules of the SEC and the ASX,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Please see “Special Statement Regarding Forward-Looking Statements” on page 3.</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AVITA Medical, Inc. ("</w:t>
      </w:r>
      <w:r>
        <w:rPr>
          <w:rFonts w:ascii="Times New Roman;serif" w:hAnsi="Times New Roman;serif"/>
          <w:b/>
          <w:sz w:val="20"/>
        </w:rPr>
        <w:t>we</w:t>
      </w:r>
      <w:r>
        <w:rPr>
          <w:rFonts w:ascii="Times New Roman;serif" w:hAnsi="Times New Roman;serif"/>
          <w:b w:val="false"/>
          <w:sz w:val="20"/>
        </w:rPr>
        <w:t>", "</w:t>
      </w:r>
      <w:r>
        <w:rPr>
          <w:rFonts w:ascii="Times New Roman;serif" w:hAnsi="Times New Roman;serif"/>
          <w:b/>
          <w:sz w:val="20"/>
        </w:rPr>
        <w:t>our</w:t>
      </w:r>
      <w:r>
        <w:rPr>
          <w:rFonts w:ascii="Times New Roman;serif" w:hAnsi="Times New Roman;serif"/>
          <w:b w:val="false"/>
          <w:sz w:val="20"/>
        </w:rPr>
        <w:t>", "</w:t>
      </w:r>
      <w:r>
        <w:rPr>
          <w:rFonts w:ascii="Times New Roman;serif" w:hAnsi="Times New Roman;serif"/>
          <w:b/>
          <w:sz w:val="20"/>
        </w:rPr>
        <w:t>us</w:t>
      </w:r>
      <w:r>
        <w:rPr>
          <w:rFonts w:ascii="Times New Roman;serif" w:hAnsi="Times New Roman;serif"/>
          <w:b w:val="false"/>
          <w:sz w:val="20"/>
        </w:rPr>
        <w:t>")</w:t>
      </w:r>
      <w:r>
        <w:rPr>
          <w:rFonts w:ascii="Times New Roman" w:hAnsi="Times New Roman"/>
          <w:sz w:val="20"/>
        </w:rPr>
        <w:t xml:space="preserve"> </w:t>
      </w:r>
      <w:r>
        <w:rPr>
          <w:rFonts w:ascii="Times New Roman;serif" w:hAnsi="Times New Roman;serif"/>
          <w:b w:val="false"/>
          <w:sz w:val="20"/>
        </w:rPr>
        <w:t>is a regenerative medicine company leading the development and commercialization of devices and autologous cellular therapies for skin restoration. Our patented and proprietary RECELL® System technology platform harnesses the regenerative properties of a patient’s own skin to create Spray-On Skin</w:t>
      </w:r>
      <w:r>
        <w:rPr>
          <w:rFonts w:ascii="Times New Roman;serif" w:hAnsi="Times New Roman;serif"/>
          <w:b w:val="false"/>
          <w:sz w:val="13"/>
        </w:rPr>
        <w:t></w:t>
      </w:r>
      <w:r>
        <w:rPr>
          <w:rFonts w:ascii="Times New Roman;serif" w:hAnsi="Times New Roman;serif"/>
          <w:b w:val="false"/>
          <w:sz w:val="20"/>
        </w:rPr>
        <w:t>Cells, an autologous skin cell suspension that is sprayed onto the patient to regenerate natural healthy skin.</w:t>
      </w:r>
      <w:r>
        <w:rPr>
          <w:rFonts w:ascii="Times New Roman" w:hAnsi="Times New Roman"/>
          <w:sz w:val="20"/>
        </w:rPr>
        <w:t xml:space="preserve">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Our objective is to become the leading provider of regenerative medicine addressing unmet medical needs in burn injuries, full-thickness skin defects, and in skin repigmentation, such as vitiligo. To achieve this objective, we plan to:</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Become the standard of care in the U.S. burns industry by increasing RECELL System penetration in burn centers and with burn physicians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Continue to commercialize the RECELL System in the U.S. for treatment of full-thickness skin defects with both inpatient and outpatient reimbursement in place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Conduct a post-market study to demonstrate both the repigmentation and mental health benefits after treatment of stable vitiligo lesions using RECELL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Launch RECELL GO following FDA approval to increase market adoption, expand our customer base, and facilitate international commercialization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Commercialize the RECELL System in the U.S. for treatment of vitiligo lesions following the expected receipt of in-office reimbursement for the use of RECELL in the physician office setting, which we anticipate in 2025</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Further invest in our RECELL System platform to automate and improve workflow, speed, and ease of use as it relates to specific indications, as well as to build upon our intellectual property estate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Continue to build upon commercial activities in Japan through our partnership with COSMOTEC Company, Ltd with our current PMDA approval for RECELL with an indication in burns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Develop and pursue viable commercial activities outside of the U.S. and Japan following the FDA approvals of the RECELL System for full-thickness skin defects and vitiligo</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Pursue business development opportunities that are complementary to our core RECELL System indications and/or our targeted markets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Improve our margins and profitability by leveraging our current team and infrastructure across an expanding base of business in burns and in future indications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Business Environment and Current Trends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There remains significant uncertainty in the current macroeconomic environment due to factors including supply chain shortages, increased cost of healthcare, increased inflation rates, a competitive and tight labor market, and other related global economic conditions and geopolitical conditions. Additionally, there have been various economic indicators that the United States economy may be entering a recession in upcoming quarters. If these conditions continue or worsen, they could adversely impact our future operating results. An economic recession could potentially impact the general business environment and the capital markets, which may have a material negative impact on our financial results.</w:t>
      </w:r>
    </w:p>
    <w:p>
      <w:pPr>
        <w:pStyle w:val="TextBody"/>
        <w:bidi w:val="0"/>
        <w:spacing w:before="0" w:after="0"/>
        <w:jc w:val="left"/>
        <w:rPr>
          <w:rFonts w:ascii="Times New Roman" w:hAnsi="Times New Roman"/>
          <w:sz w:val="20"/>
        </w:rPr>
      </w:pPr>
      <w:r>
        <w:rPr>
          <w:rFonts w:ascii="Times New Roman;serif" w:hAnsi="Times New Roman;serif"/>
          <w:b w:val="false"/>
          <w:sz w:val="20"/>
        </w:rPr>
        <w:t>Changes in reimbursement rates by third party payors may place additional financial pressure on hospitals and the broader healthcare system. Healthcare institutions may take actions to mitigate any persistent pressures on their budgets and such actions could impact the future demand for our products. Geopolitical conditions may also impact our operations. Although we do not have operations in Russia or Ukraine, the continuation of the Russia-Ukraine military conflict and/or an escalation of the conflict beyond its current scope may further weaken the global economy and could result in additional inflationary pressures and supply chain constraints.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u w:val="single"/>
        </w:rPr>
      </w:pPr>
      <w:r>
        <w:rPr>
          <w:rFonts w:ascii="Times New Roman;serif" w:hAnsi="Times New Roman;serif"/>
          <w:b/>
          <w:sz w:val="20"/>
          <w:u w:val="single"/>
        </w:rPr>
        <w:t>Recent Developments</w:t>
      </w:r>
    </w:p>
    <w:p>
      <w:pPr>
        <w:pStyle w:val="TextBody"/>
        <w:bidi w:val="0"/>
        <w:spacing w:before="0" w:after="0"/>
        <w:jc w:val="left"/>
        <w:rPr>
          <w:rFonts w:ascii="Times New Roman" w:hAnsi="Times New Roman"/>
          <w:sz w:val="20"/>
        </w:rPr>
      </w:pPr>
      <w:r>
        <w:rPr>
          <w:rFonts w:ascii="Times New Roman;serif" w:hAnsi="Times New Roman;serif"/>
          <w:b w:val="false"/>
          <w:sz w:val="20"/>
        </w:rPr>
        <w:t>On June 7, 2023, the FDA approved a PMA supplement for full-thickness skin defects based on results of our trial for soft tissue repair and reconstruction. Following this approval, we commenced a commercial launch on June 8, 2023.</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On June 16, 2023, the FDA approved a PMA application for the repigmentation of stable depigmented vitiligo lesions. We plan to commence a full commercial launch following the expected receipt of in-office reimbursement for the use of RECELL in the physician office setting, which we anticipate in 2025.</w:t>
      </w:r>
      <w:r>
        <w:rPr>
          <w:rFonts w:ascii="Times New Roman" w:hAnsi="Times New Roman"/>
          <w:sz w:val="20"/>
        </w:rPr>
        <w:t xml:space="preserve">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On June 29, 2023, we submitted a PMA supplement to the FDA for our automated cell disaggregation device, RECELL GO. RECELL GO maintains the FDA Breakthrough Device designation from predecessor devices. Under the Breakthrough Device program, the submission will receive prioritized, interactive review with approval expected by December 29, 2023.</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Corporate History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 began as a laboratory spin-off in the Australian State of Western Australia. The Company's former parent company, Clinical Cell Culture (“</w:t>
      </w:r>
      <w:r>
        <w:rPr>
          <w:rFonts w:ascii="Times New Roman;serif" w:hAnsi="Times New Roman;serif"/>
          <w:b/>
          <w:sz w:val="20"/>
        </w:rPr>
        <w:t>C3</w:t>
      </w:r>
      <w:r>
        <w:rPr>
          <w:rFonts w:ascii="Times New Roman" w:hAnsi="Times New Roman"/>
          <w:sz w:val="20"/>
        </w:rPr>
        <w:t>”</w:t>
      </w:r>
      <w:r>
        <w:rPr>
          <w:rFonts w:ascii="Times New Roman;serif" w:hAnsi="Times New Roman;serif"/>
          <w:b w:val="false"/>
          <w:sz w:val="20"/>
        </w:rPr>
        <w:t>), was formed under the laws of the Commonwealth of Australia in December 1992 and changed its name to AVITA Medical Ltd in 2008 ("</w:t>
      </w:r>
      <w:r>
        <w:rPr>
          <w:rFonts w:ascii="Times New Roman;serif" w:hAnsi="Times New Roman;serif"/>
          <w:b/>
          <w:sz w:val="20"/>
        </w:rPr>
        <w:t>AVITA Australia</w:t>
      </w:r>
      <w:r>
        <w:rPr>
          <w:rFonts w:ascii="Times New Roman;serif" w:hAnsi="Times New Roman;serif"/>
          <w:b w:val="false"/>
          <w:sz w:val="20"/>
        </w:rPr>
        <w:t>"). AVITA Australia’s ordinary shares originally began trading in Australia on the Australian Securities Exchange (“</w:t>
      </w:r>
      <w:r>
        <w:rPr>
          <w:rFonts w:ascii="Times New Roman;serif" w:hAnsi="Times New Roman;serif"/>
          <w:b/>
          <w:sz w:val="20"/>
        </w:rPr>
        <w:t>ASX</w:t>
      </w:r>
      <w:r>
        <w:rPr>
          <w:rFonts w:ascii="Times New Roman" w:hAnsi="Times New Roman"/>
          <w:sz w:val="20"/>
        </w:rPr>
        <w:t>”</w:t>
      </w:r>
      <w:r>
        <w:rPr>
          <w:rFonts w:ascii="Times New Roman;serif" w:hAnsi="Times New Roman;serif"/>
          <w:b w:val="false"/>
          <w:sz w:val="20"/>
        </w:rPr>
        <w:t>) on August 9, 1993. AVITA Australia's American Depositary Shares (“</w:t>
      </w:r>
      <w:r>
        <w:rPr>
          <w:rFonts w:ascii="Times New Roman;serif" w:hAnsi="Times New Roman;serif"/>
          <w:b/>
          <w:sz w:val="20"/>
        </w:rPr>
        <w:t>ADSs</w:t>
      </w:r>
      <w:r>
        <w:rPr>
          <w:rFonts w:ascii="Times New Roman" w:hAnsi="Times New Roman"/>
          <w:sz w:val="20"/>
        </w:rPr>
        <w:t>”</w:t>
      </w:r>
      <w:r>
        <w:rPr>
          <w:rFonts w:ascii="Times New Roman;serif" w:hAnsi="Times New Roman;serif"/>
          <w:b w:val="false"/>
          <w:sz w:val="20"/>
        </w:rPr>
        <w:t>) traded over the counter on the OTCQX under the ticker symbol “AVMXY” from May 14, 2012, through September 30, 2019, and its ADSs began trading on Nasdaq on October 1, 2019, under the ticker symbol “RCEL.”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On June 29, 2020, AVITA Australia implemented a statutory scheme of arrangement under Australian law to effect a redomiciliation of AVITA Medical from Australia to the United States (the “</w:t>
      </w:r>
      <w:r>
        <w:rPr>
          <w:rFonts w:ascii="Times New Roman;serif" w:hAnsi="Times New Roman;serif"/>
          <w:b/>
          <w:sz w:val="20"/>
        </w:rPr>
        <w:t>Redomiciliation</w:t>
      </w:r>
      <w:r>
        <w:rPr>
          <w:rFonts w:ascii="Times New Roman" w:hAnsi="Times New Roman"/>
          <w:sz w:val="20"/>
        </w:rPr>
        <w:t>”</w:t>
      </w:r>
      <w:r>
        <w:rPr>
          <w:rFonts w:ascii="Times New Roman;serif" w:hAnsi="Times New Roman;serif"/>
          <w:b w:val="false"/>
          <w:sz w:val="20"/>
        </w:rPr>
        <w:t>). The Redomiciliation was approved by stockholders on June 15, 2020 and approved by the Federal Court of Australia on June 22, 2020. Pursuant to the Redomiciliation, all ordinary shares in AVITA Australia were exchanged for shares of common stock in the Company (AVITA Medical, Inc.). As a result, the Company became the sole stockholder of AVITA Australia.</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Company’s CHESS Depositary Interests (“</w:t>
      </w:r>
      <w:r>
        <w:rPr>
          <w:rFonts w:ascii="Times New Roman;serif" w:hAnsi="Times New Roman;serif"/>
          <w:b/>
          <w:sz w:val="20"/>
        </w:rPr>
        <w:t>CDIs</w:t>
      </w:r>
      <w:r>
        <w:rPr>
          <w:rFonts w:ascii="Times New Roman" w:hAnsi="Times New Roman"/>
          <w:sz w:val="20"/>
        </w:rPr>
        <w:t>”</w:t>
      </w:r>
      <w:r>
        <w:rPr>
          <w:rFonts w:ascii="Times New Roman;serif" w:hAnsi="Times New Roman;serif"/>
          <w:b w:val="false"/>
          <w:sz w:val="20"/>
        </w:rPr>
        <w:t>) are quoted on the ASX under AVITA Australia’s former ASX ticker code, “AVH”. The Company’s shares of common stock are quoted on Nasdaq under AVITA Australia's former Nasdaq ticker code, “</w:t>
      </w:r>
      <w:r>
        <w:rPr>
          <w:rFonts w:ascii="Times New Roman;serif" w:hAnsi="Times New Roman;serif"/>
          <w:b/>
          <w:sz w:val="20"/>
        </w:rPr>
        <w:t>RCEL</w:t>
      </w:r>
      <w:r>
        <w:rPr>
          <w:rFonts w:ascii="Times New Roman;serif" w:hAnsi="Times New Roman;serif"/>
          <w:b w:val="false"/>
          <w:sz w:val="20"/>
        </w:rPr>
        <w:t>.” One share of common stock on Nasdaq is equivalent to five CDIs on the ASX.</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On November 8, 2021, the Company changed its fiscal year-end from June 30th to December 31st. The decision to change the fiscal year-end to a calendar year end was to align our reporting cycle more closely with how we manage our business.</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Results of Operations for the three-months ended June 30, 2023 compared to the three-months ended June 30, 2022.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The table below summarizes the results of our operations for each of the periods presented (in thousands).</w:t>
      </w:r>
      <w:r>
        <w:rPr>
          <w:rFonts w:ascii="Times New Roman" w:hAnsi="Times New Roman"/>
          <w:sz w:val="20"/>
        </w:rPr>
        <w:t xml:space="preserve"> </w:t>
      </w:r>
    </w:p>
    <w:p>
      <w:pPr>
        <w:pStyle w:val="TextBody"/>
        <w:bidi w:val="0"/>
        <w:spacing w:before="0" w:after="0"/>
        <w:jc w:val="left"/>
        <w:rPr/>
      </w:pPr>
      <w:r>
        <w:rPr/>
        <w:t> </w:t>
      </w:r>
    </w:p>
    <w:tbl>
      <w:tblPr>
        <w:tblW w:w="8077" w:type="dxa"/>
        <w:jc w:val="left"/>
        <w:tblInd w:w="0" w:type="dxa"/>
        <w:tblLayout w:type="fixed"/>
        <w:tblCellMar>
          <w:top w:w="28" w:type="dxa"/>
          <w:left w:w="28" w:type="dxa"/>
          <w:bottom w:w="28" w:type="dxa"/>
          <w:right w:w="28" w:type="dxa"/>
        </w:tblCellMar>
      </w:tblPr>
      <w:tblGrid>
        <w:gridCol w:w="2701"/>
        <w:gridCol w:w="146"/>
        <w:gridCol w:w="264"/>
        <w:gridCol w:w="891"/>
        <w:gridCol w:w="166"/>
        <w:gridCol w:w="146"/>
        <w:gridCol w:w="264"/>
        <w:gridCol w:w="891"/>
        <w:gridCol w:w="166"/>
        <w:gridCol w:w="146"/>
        <w:gridCol w:w="146"/>
        <w:gridCol w:w="571"/>
        <w:gridCol w:w="166"/>
        <w:gridCol w:w="146"/>
        <w:gridCol w:w="177"/>
        <w:gridCol w:w="529"/>
        <w:gridCol w:w="56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Three-Months Ended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561" w:type="dxa"/>
            <w:tcBorders/>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Statement of Operations Data:</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Change</w:t>
            </w:r>
          </w:p>
        </w:tc>
        <w:tc>
          <w:tcPr>
            <w:tcW w:w="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Revenues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11,753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8,335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w:t>
            </w:r>
          </w:p>
        </w:tc>
        <w:tc>
          <w:tcPr>
            <w:tcW w:w="5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Cost of sales</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(59</w:t>
            </w:r>
          </w:p>
        </w:tc>
        <w:tc>
          <w:tcPr>
            <w:tcW w:w="56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Gross profit</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9,549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w:t>
            </w:r>
          </w:p>
        </w:tc>
        <w:tc>
          <w:tcPr>
            <w:tcW w:w="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BARDA income</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5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Expenses:</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6" w:type="dxa"/>
            <w:gridSpan w:val="2"/>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firstLine="200"/>
              <w:jc w:val="lef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Sales and marketing expenses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(5,332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(4,671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(88</w:t>
            </w:r>
          </w:p>
        </w:tc>
        <w:tc>
          <w:tcPr>
            <w:tcW w:w="56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(5,471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w:t>
            </w:r>
          </w:p>
        </w:tc>
        <w:tc>
          <w:tcPr>
            <w:tcW w:w="56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Research and development expenses</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w:t>
            </w:r>
          </w:p>
        </w:tc>
        <w:tc>
          <w:tcPr>
            <w:tcW w:w="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operating expenses</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(21,244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(13,862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(7,382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w:t>
            </w:r>
          </w:p>
        </w:tc>
        <w:tc>
          <w:tcPr>
            <w:tcW w:w="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loss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(11,165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(6,362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(75</w:t>
            </w:r>
          </w:p>
        </w:tc>
        <w:tc>
          <w:tcPr>
            <w:tcW w:w="5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Interest expense</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(75</w:t>
            </w:r>
          </w:p>
        </w:tc>
        <w:tc>
          <w:tcPr>
            <w:tcW w:w="5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income</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635</w:t>
            </w:r>
          </w:p>
        </w:tc>
        <w:tc>
          <w:tcPr>
            <w:tcW w:w="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Loss before income taxes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(10,371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(6,257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(4,114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w:t>
            </w:r>
          </w:p>
        </w:tc>
        <w:tc>
          <w:tcPr>
            <w:tcW w:w="5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Income tax expense</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(225</w:t>
            </w:r>
          </w:p>
        </w:tc>
        <w:tc>
          <w:tcPr>
            <w:tcW w:w="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(10,384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(6,261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(4,123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w:t>
            </w:r>
          </w:p>
        </w:tc>
        <w:tc>
          <w:tcPr>
            <w:tcW w:w="5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6" w:type="dxa"/>
            <w:gridSpan w:val="2"/>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Total net revenues increased by 41%, or $3.4 million, to $11.8 million, compared to $8.3 million in the corresponding period in the prior year. Our commercial revenue, which excludes BARDA revenue, was $11.7 million in the three-months ended June 30, 2023, an increase of $3.4 million, or 42%, compared to $8.2 million in the corresponding period in the prior year. The growth in commercial revenues was largely driven by deeper penetration within individual customer accounts along with the commencement of commercial sales with our partner COSMOTEC in Japan.</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Gross profit margin was 81% compared to 83% in the corresponding period in the prior year. The decrease was largely driven by lower production in one month of the quarter caused by the need to qualify new vendors for certain manufacturing components. However, throughout the process of strengthening our supply chain we maintained our perfect service level.</w:t>
      </w:r>
    </w:p>
    <w:p>
      <w:pPr>
        <w:pStyle w:val="TextBody"/>
        <w:bidi w:val="0"/>
        <w:spacing w:before="0" w:after="0"/>
        <w:jc w:val="left"/>
        <w:rPr>
          <w:rFonts w:ascii="Times New Roman" w:hAnsi="Times New Roman"/>
          <w:sz w:val="20"/>
        </w:rPr>
      </w:pPr>
      <w:r>
        <w:rPr>
          <w:rFonts w:ascii="Times New Roman;serif" w:hAnsi="Times New Roman;serif"/>
          <w:b w:val="false"/>
          <w:sz w:val="20"/>
        </w:rPr>
        <w:t>BARDA income decreased 4% or $21 thousand to $0.5 million, compared to $0.6 million in the corresponding period in the prior year due to reimbursable clinical trials winding down. BARDA income consisted of funding from the Biomedical Advanced Research and Development Authority, under the Assistant Secretary for Preparedness and Response, within the U.S. Department of Health and Human Services, under ongoing USG Contract No. HHSO100201500028C.</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Total operating expenses increased by 53% or $7.4 million to $21.2 million, compared with $13.9 million in the corresponding period in the prior year.</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Sales and marketing expenses increased by 88%, or $4.7 million, to $10.0 million, compared to $5.3 million in the corresponding period in the prior year. Higher costs in the current year were primarily related to higher salaries and benefits and commissions. The increase in salaries and benefits is due to the preparation of the commercial launch of Full Thickness Skin Defect Launch ("</w:t>
      </w:r>
      <w:r>
        <w:rPr>
          <w:rFonts w:ascii="Times New Roman;serif" w:hAnsi="Times New Roman;serif"/>
          <w:b/>
          <w:sz w:val="20"/>
        </w:rPr>
        <w:t>FTSD"</w:t>
      </w:r>
      <w:r>
        <w:rPr>
          <w:rFonts w:ascii="Times New Roman;serif" w:hAnsi="Times New Roman;serif"/>
          <w:b w:val="false"/>
          <w:sz w:val="20"/>
        </w:rPr>
        <w:t>) that occurred in June 2023. Higher commissions were directly associated with the increase in revenues.</w:t>
      </w:r>
      <w:r>
        <w:rPr>
          <w:rFonts w:ascii="Times New Roman" w:hAnsi="Times New Roman"/>
          <w:sz w:val="20"/>
        </w:rPr>
        <w:t xml:space="preserve">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General and administrative expenses increased by 13%, or $0.7 million, to $6.2 million, compared to $5.5 million in the same period in the prior year. The increase was attributable to deferred compensation expense and professional fees, partially offset by lower stock-based compensation. The increase in deferred compensation expense is driven by our deferred compensation liability, which generally tracks the movements in the stock market. Higher professional fees were primarily due to the timing of our annual general meeting in the current year. Lower stock-based compensation in the current period is due to the termination of two former executive officers during Q1 2023, which resulted in an acceleration of the expense in Q1 2023.</w:t>
      </w:r>
    </w:p>
    <w:p>
      <w:pPr>
        <w:pStyle w:val="TextBody"/>
        <w:bidi w:val="0"/>
        <w:spacing w:before="0" w:after="0"/>
        <w:jc w:val="left"/>
        <w:rPr>
          <w:rFonts w:ascii="Times New Roman" w:hAnsi="Times New Roman"/>
          <w:sz w:val="20"/>
        </w:rPr>
      </w:pPr>
      <w:r>
        <w:rPr>
          <w:rFonts w:ascii="Times New Roman;serif" w:hAnsi="Times New Roman;serif"/>
          <w:b w:val="false"/>
          <w:sz w:val="20"/>
        </w:rPr>
        <w:t>Research and development expenses increased by 66%, or $2.0 million, to $5.1 million, compared to $3.1 million in the same period in the prior year. The increase is due to the development of the next generation RECELL GO for preparation of Spray-On Skin Cells, which resulted in a PMA submission in June 2023, and additional costs associated with the deployment of a team of Medical Science Liaisons, for the FTSD launch in June 2023. The increase was partially offset by lower clinical trial expenses for vitiligo, FTSD and pediatrics as trial participants largely completed follow-up in 2022 reducing the associated expenditure in the current period.</w:t>
      </w:r>
      <w:r>
        <w:rPr>
          <w:rFonts w:ascii="Times New Roman" w:hAnsi="Times New Roman"/>
          <w:sz w:val="20"/>
        </w:rPr>
        <w:t xml:space="preserve">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Results of Operations for the six-months ended June 30, 2023 compared to the six-months ended June 30, 2022.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The table below summarizes the results of our operations for each of the periods presented (in thousands).</w:t>
      </w:r>
      <w:r>
        <w:rPr>
          <w:rFonts w:ascii="Times New Roman" w:hAnsi="Times New Roman"/>
          <w:sz w:val="20"/>
        </w:rPr>
        <w:t xml:space="preserve"> </w:t>
      </w:r>
    </w:p>
    <w:tbl>
      <w:tblPr>
        <w:tblW w:w="8167" w:type="dxa"/>
        <w:jc w:val="left"/>
        <w:tblInd w:w="0" w:type="dxa"/>
        <w:tblLayout w:type="fixed"/>
        <w:tblCellMar>
          <w:top w:w="28" w:type="dxa"/>
          <w:left w:w="28" w:type="dxa"/>
          <w:bottom w:w="28" w:type="dxa"/>
          <w:right w:w="28" w:type="dxa"/>
        </w:tblCellMar>
      </w:tblPr>
      <w:tblGrid>
        <w:gridCol w:w="2701"/>
        <w:gridCol w:w="146"/>
        <w:gridCol w:w="264"/>
        <w:gridCol w:w="891"/>
        <w:gridCol w:w="166"/>
        <w:gridCol w:w="146"/>
        <w:gridCol w:w="264"/>
        <w:gridCol w:w="891"/>
        <w:gridCol w:w="166"/>
        <w:gridCol w:w="146"/>
        <w:gridCol w:w="146"/>
        <w:gridCol w:w="661"/>
        <w:gridCol w:w="166"/>
        <w:gridCol w:w="146"/>
        <w:gridCol w:w="168"/>
        <w:gridCol w:w="538"/>
        <w:gridCol w:w="56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2701"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Six-Months Ended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7"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561" w:type="dxa"/>
            <w:tcBorders/>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Statement of Operations Data:</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Change</w:t>
            </w:r>
          </w:p>
        </w:tc>
        <w:tc>
          <w:tcPr>
            <w:tcW w:w="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Revenues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22,303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15,874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6,429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53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w:t>
            </w:r>
          </w:p>
        </w:tc>
        <w:tc>
          <w:tcPr>
            <w:tcW w:w="5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Cost of sales</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w:t>
            </w:r>
          </w:p>
        </w:tc>
        <w:tc>
          <w:tcPr>
            <w:tcW w:w="56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Gross profit</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18,432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12,710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5,722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w:t>
            </w:r>
          </w:p>
        </w:tc>
        <w:tc>
          <w:tcPr>
            <w:tcW w:w="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BARDA income</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53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5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Expenses:</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0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6" w:type="dxa"/>
            <w:gridSpan w:val="2"/>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firstLine="200"/>
              <w:jc w:val="lef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Sales and marketing expenses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(16,543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(10,160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(6,383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53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w:t>
            </w:r>
          </w:p>
        </w:tc>
        <w:tc>
          <w:tcPr>
            <w:tcW w:w="56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(14,460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(13,005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(1,455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53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w:t>
            </w:r>
          </w:p>
        </w:tc>
        <w:tc>
          <w:tcPr>
            <w:tcW w:w="56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Research and development expenses</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(9,662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(6,679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(2,983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w:t>
            </w:r>
          </w:p>
        </w:tc>
        <w:tc>
          <w:tcPr>
            <w:tcW w:w="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operating expenses</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(40,665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(29,844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(10,821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w:t>
            </w:r>
          </w:p>
        </w:tc>
        <w:tc>
          <w:tcPr>
            <w:tcW w:w="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loss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(21,076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(15,849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53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w:t>
            </w:r>
          </w:p>
        </w:tc>
        <w:tc>
          <w:tcPr>
            <w:tcW w:w="5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Interest expense</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53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(175</w:t>
            </w:r>
          </w:p>
        </w:tc>
        <w:tc>
          <w:tcPr>
            <w:tcW w:w="5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income</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1014</w:t>
            </w:r>
          </w:p>
        </w:tc>
        <w:tc>
          <w:tcPr>
            <w:tcW w:w="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Loss before income taxes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(19,561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(15,716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(3,845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53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w:t>
            </w:r>
          </w:p>
        </w:tc>
        <w:tc>
          <w:tcPr>
            <w:tcW w:w="5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Income tax expense</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(438</w:t>
            </w:r>
          </w:p>
        </w:tc>
        <w:tc>
          <w:tcPr>
            <w:tcW w:w="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(19,604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(15,724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w:t>
            </w:r>
          </w:p>
        </w:tc>
        <w:tc>
          <w:tcPr>
            <w:tcW w:w="5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7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0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6" w:type="dxa"/>
            <w:gridSpan w:val="2"/>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Total net revenues increased by 41%, or $6.4 million, to $22.3 million, compared to $15.9 million in the corresponding period in the prior year. Our commercial revenue, which excludes BARDA revenue, was $22.1 million in the six-months ended June 30, 2023, an increase of $6.4 million, or 43%, compared to $15.7 million in the corresponding period in the prior year. The growth in commercial revenues was largely driven by deeper penetration within individual customer accounts along with the commencement of commercial sales with our partner COSMOTEC in Japan.</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Gross profit margin increased by 3% to 83% compared to 80% in the corresponding period in the prior year. The increase in gross profit margin is largely driven by higher production along with lower shipping costs.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BARDA income decreased 10% or $0.1 million to $1.2 million, compared to $1.3 million in the corresponding period in the prior year due to reimbursable clinical trials winding down.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Total operating expenses increased by 36% or $10.8 million to $40.7 million, compared with $29.8 million in the corresponding period in the prior year.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Sales and marketing expenses increased by 63%, or $6.4 million, to $16.5 million, compared to $10.2 million incurred in the corresponding period in the prior year. Higher costs in the current year were primarily attributed to higher salaries and benefits, commissions, recruitment fees and travel costs. The increase in salaries and benefits and recruitment fees are due to the preparation of the commercial launch of FTSD in June 2023. Higher commissions and travel costs were directly associated with the increase in revenues.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General and administrative expenses increased by 11%, or $1.5 million, to $14.5 million, compared to $13.0 million incurred in the same period in the prior year. The increase was attributable to deferred compensation expense, professional fees, and severance costs, partially offset by lower stock-based compensation. The increase in deferred compensation expense is driven by our deferred compensation liability which generally tracks the movements in the stock market. Higher professional fees were primarily due to the timing of our annual general meeting in the current year. Severance costs in the current year were due to the termination of two former executive officers. Lower stock-based compensation in the current year is due to the acceleration of expense for certain performance milestones being met in the prior year, partially offset by the current period acceleration related to the termination of two former executive officers in the current year.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Research and development expenses increased by 45%, or $3.0 million, to $9.7 million, compared to $6.7 million incurred in the same period in the prior year. The increase is due to the development of the next generation RECELL GO for preparation of Spray-On Skin Cells, which resulted in a PMA submission in June 2023, and additional costs associated with the deployment of a team of MSLs, for the FTSD launch in June 2023. The increase was partially offset by lower clinical trial expenses for vitiligo, soft tissue and pediatrics as trial participants largely completed follow-up in 2022 reducing the associated expenditure in the current period.</w:t>
      </w:r>
      <w:r>
        <w:rPr>
          <w:rFonts w:ascii="Times New Roman" w:hAnsi="Times New Roman"/>
          <w:sz w:val="20"/>
        </w:rPr>
        <w:t xml:space="preserve">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u w:val="single"/>
        </w:rPr>
      </w:pPr>
      <w:r>
        <w:rPr>
          <w:rFonts w:ascii="Times New Roman;serif" w:hAnsi="Times New Roman;serif"/>
          <w:b w:val="false"/>
          <w:sz w:val="20"/>
          <w:u w:val="single"/>
        </w:rPr>
        <w:t>Overview</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We expect to utilize cash reserves until U.S. sales of our products reach a level sufficient to fund ongoing operations. AVITA Medical has historically funded its research and development activities, and more recently its substantial investment in sales and marketing activities, through raising capital by issuing securities, and it is expected that similar funding will be obtained to provide working capital if and when required. As of June 30, 2023, the Company had approximately $37.5 million in cash and cash equivalents and $31.3 million in marketable securities and believes it has sufficient cash reserves to fund operations for the next 12-months. If the Company is unable to raise capital in the future, the Company may need to curtail expenditures by scaling back certain research and development or other programs.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u w:val="single"/>
        </w:rPr>
      </w:pPr>
      <w:r>
        <w:rPr>
          <w:rFonts w:ascii="Times New Roman;serif" w:hAnsi="Times New Roman;serif"/>
          <w:b w:val="false"/>
          <w:sz w:val="20"/>
          <w:u w:val="single"/>
        </w:rPr>
        <w:t>Financing Activities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In March 1, 2021, the Company completed an underwritten offering of its common stock for gross proceeds of approximately $69.1 million. AVITA Medical also benefits from cash inflows from the BARDA contract. We entered into the contract on September 29, 2015, and the scope has expanded through a number of amendments to the contract. The current contract period continues to December 31, 2023, with the option by BARDA to terminate earlier. The contract provided funding for the development of the RECELL System. The contract will continue to provide funding for future use of the product as a medical countermeasure to assist disaster preparedness and response in the U.S. for mass casualty events involving burn injuries.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On April 14, 2023, the Company entered into a Sales Agreement with Cowen and Company, LLC pursuant to which the Company may sell from time-to-time up to 3,799,164 shares of its common stock (the </w:t>
      </w:r>
      <w:r>
        <w:rPr>
          <w:rFonts w:ascii="Times New Roman" w:hAnsi="Times New Roman"/>
          <w:sz w:val="20"/>
        </w:rPr>
        <w:t>“</w:t>
      </w:r>
      <w:r>
        <w:rPr>
          <w:rFonts w:ascii="Times New Roman;serif" w:hAnsi="Times New Roman;serif"/>
          <w:b/>
          <w:sz w:val="20"/>
        </w:rPr>
        <w:t>2023 ATM Program”</w:t>
      </w:r>
      <w:r>
        <w:rPr>
          <w:rFonts w:ascii="Times New Roman;serif" w:hAnsi="Times New Roman;serif"/>
          <w:b w:val="false"/>
          <w:sz w:val="20"/>
        </w:rPr>
        <w:t>). During the quarter ended June 30, 2023, the Company did not make any sales under the 2023 ATM Program.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Given the above, we believe there is presently sufficient working capital to support our committed research and development programs and other activities over the next twelve months.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following table summarizes our cash flows for the periods presented (in thousands):</w:t>
      </w:r>
      <w:r>
        <w:rPr>
          <w:rFonts w:ascii="Times New Roman" w:hAnsi="Times New Roman"/>
          <w:sz w:val="20"/>
        </w:rPr>
        <w:t xml:space="preserve"> </w:t>
      </w:r>
    </w:p>
    <w:p>
      <w:pPr>
        <w:pStyle w:val="TextBody"/>
        <w:bidi w:val="0"/>
        <w:spacing w:before="0" w:after="0"/>
        <w:jc w:val="left"/>
        <w:rPr/>
      </w:pPr>
      <w:r>
        <w:rPr/>
        <w:t> </w:t>
      </w:r>
    </w:p>
    <w:tbl>
      <w:tblPr>
        <w:tblW w:w="8710" w:type="dxa"/>
        <w:jc w:val="left"/>
        <w:tblInd w:w="0" w:type="dxa"/>
        <w:tblLayout w:type="fixed"/>
        <w:tblCellMar>
          <w:top w:w="28" w:type="dxa"/>
          <w:left w:w="28" w:type="dxa"/>
          <w:bottom w:w="28" w:type="dxa"/>
          <w:right w:w="28" w:type="dxa"/>
        </w:tblCellMar>
      </w:tblPr>
      <w:tblGrid>
        <w:gridCol w:w="5731"/>
        <w:gridCol w:w="146"/>
        <w:gridCol w:w="264"/>
        <w:gridCol w:w="891"/>
        <w:gridCol w:w="166"/>
        <w:gridCol w:w="146"/>
        <w:gridCol w:w="264"/>
        <w:gridCol w:w="891"/>
        <w:gridCol w:w="211"/>
      </w:tblGrid>
      <w:tr>
        <w:trPr/>
        <w:tc>
          <w:tcPr>
            <w:tcW w:w="5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7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57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Six-Months Ended</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73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73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cash used in operations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(18,174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(12,877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73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cash provided/(used) in investing activities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37,150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(7,845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73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211" w:type="dxa"/>
            <w:tcBorders/>
            <w:vAlign w:val="center"/>
          </w:tcPr>
          <w:p>
            <w:pPr>
              <w:pStyle w:val="TableContents"/>
              <w:bidi w:val="0"/>
              <w:spacing w:before="0" w:after="0"/>
              <w:ind w:left="0" w:right="0" w:hanging="0"/>
              <w:jc w:val="left"/>
              <w:rPr/>
            </w:pPr>
            <w:r>
              <w:rPr/>
              <w:t> </w:t>
            </w:r>
          </w:p>
        </w:tc>
      </w:tr>
      <w:tr>
        <w:trPr/>
        <w:tc>
          <w:tcPr>
            <w:tcW w:w="573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Effect of foreign exchange rate on cash and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73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increase/(decrease) in cash and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19,321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(20,773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73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Cash and cash equivalents and restricted cash at beginning of the period</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18,164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55,712</w:t>
            </w:r>
          </w:p>
        </w:tc>
        <w:tc>
          <w:tcPr>
            <w:tcW w:w="211" w:type="dxa"/>
            <w:tcBorders/>
            <w:vAlign w:val="center"/>
          </w:tcPr>
          <w:p>
            <w:pPr>
              <w:pStyle w:val="TableContents"/>
              <w:bidi w:val="0"/>
              <w:spacing w:before="0" w:after="0"/>
              <w:ind w:left="0" w:right="0" w:hanging="0"/>
              <w:jc w:val="left"/>
              <w:rPr/>
            </w:pPr>
            <w:r>
              <w:rPr/>
              <w:t> </w:t>
            </w:r>
          </w:p>
        </w:tc>
      </w:tr>
      <w:tr>
        <w:trPr/>
        <w:tc>
          <w:tcPr>
            <w:tcW w:w="573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Cash and cash equivalents and restricted cash at end of the period</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37,485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34,939</w:t>
            </w:r>
          </w:p>
        </w:tc>
        <w:tc>
          <w:tcPr>
            <w:tcW w:w="2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Net cash used in operating activities was $18.2 million and $12.9 million during the six-months ended June 30, 2023, and 2022, respectively. The increase in net cash used in operations was primarily due to higher operating costs, partially offset by increased revenues.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Net cash provided by investing activities was $37.2 million and net cash used in investing was $7.8 million during the six-months ended June 30, 2023 and 2022, respectively. The increase in cash provided by investing activities is primarily attributable to our maturities of marketable securities, whereas in the prior year we purchased marketable securities.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Net cash provided by financing activities was $0.3 million and $1 thousand during the six-months ended June 30, 2023, and 2022, respectively. The increase in cash provided by financing activities is related to proceeds from the exercises of stock options.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u w:val="single"/>
        </w:rPr>
      </w:pPr>
      <w:r>
        <w:rPr>
          <w:rFonts w:ascii="Times New Roman;serif" w:hAnsi="Times New Roman;serif"/>
          <w:b w:val="false"/>
          <w:sz w:val="20"/>
          <w:u w:val="single"/>
        </w:rPr>
        <w:t>Capital Management and Material Cash Requirements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We aim to manage capital so that the Company continues as a going concern while also maintaining optimal returns to stockholders and benefits for other stakeholders. We also aim to maintain a capital structure that ensures the lowest cost of capital available to the Company. We regularly review the Company’s capital structure and seek to take advantage of available opportunities to improve outcomes for the Company and its stockholders.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For the six-months ended June 30, 2023, there were no dividends paid and we have no plans to commence the payment of dividends. We have no purchase commitments or long-term contractual obligations or purchase commitments, except for lease obligations as of June 30, 2023. Refer to Note 6 of our Consolidated Financial Statements for further details on our lease obligations. In addition, we have no off-balance sheet arrangements (as defined in the rules and regulations of the SEC) that have or are reasonably likely to have a current or future effect on our financial condition, changes in financial condition, revenues or expenses, results of operations, liquidity, capital expenditures or capital resources that is material to investors. We have no committed plans to issue further shares on the market but will continue to assess market conditions and the Company’s cash flow requirements to ensure the Company is appropriately funded in order to pursue its various opportunities.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There is no significant external borrowing at the reporting date. Neither the Company nor any of the subsidiaries are subject to externally imposed capital requirement.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Critical Accounting Estimates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There have been no material changes to our critical accounting policies and estimates from the information provided in Item 7, “Management’s Discussion and Analysis of Financial Condition and Results of Operations,” included in the Company’s Annual Report on Form 10-K for the year-ended December 31, 2022.</w:t>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2" w:name="item_3_quantitative_qualitative_disclosu"/>
      <w:bookmarkEnd w:id="12"/>
      <w:r>
        <w:rPr>
          <w:rFonts w:ascii="Times New Roman;serif" w:hAnsi="Times New Roman;serif"/>
          <w:b/>
          <w:sz w:val="20"/>
        </w:rPr>
        <w:t>Item 3. Quantitative and Qualitative Disclosures About Market Risk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As a smaller reporting company, we are not required to provide the information required by this Item.</w:t>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3" w:name="item_4_controls_procedures"/>
      <w:bookmarkEnd w:id="13"/>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Evaluation of Disclosure Controls and Procedures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Our Chief Executive Officer and our Chief Financial Officer evaluated, with the participation of our management, the effectiveness of our disclosure controls and procedures as of the end of the period covered by this Quarterly Report on Form 10-Q. As of June 30, 2023, our Chief Executive Officer and our Chief Financial Officer concluded that our disclosure controls and procedures, as defined in Securities Exchange Act Rule 13a-15(e) and 15d-15(e), were effective.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Our disclosure controls and procedures have been formulated to ensure (i) that information that we are required to disclose in reports that we file or submit under the Securities Exchange Act of 1934 was recorded, processed, summarized and reported within the time periods specified in the SEC’s rules and forms and (ii) that the information required to be disclosed by us is accumulated and communicated to our management, including our Chief Executive Officer and our Chief Financial Officer, as appropriate, to allow timely decisions regarding required disclosures.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Changes in Internal Controls over Financial Reporting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There was no change in our internal controls over financial reporting (as defined in Rules 13a-15(f) and 15d-15(f) under the Exchange Act) during the second quarter of fiscal year 2023 covered by this Quarterly Report on Form 10-Q that have materially affected, or are reasonably likely to materially affect, our internal controls over financial reporting.</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4" w:name="part_ii_or_information"/>
      <w:bookmarkEnd w:id="14"/>
      <w:r>
        <w:rPr>
          <w:rFonts w:ascii="Times New Roman;serif" w:hAnsi="Times New Roman;serif"/>
          <w:b/>
          <w:sz w:val="20"/>
        </w:rPr>
        <w:t>Part II - Other Information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5" w:name="item_1_legal_proceedings"/>
      <w:bookmarkEnd w:id="15"/>
      <w:r>
        <w:rPr>
          <w:rFonts w:ascii="Times New Roman;serif" w:hAnsi="Times New Roman;serif"/>
          <w:b/>
          <w:sz w:val="20"/>
        </w:rPr>
        <w:t>Item 1. LEGAL PROCEEDINGS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We are not currently a party to any pending legal proceedings that we believe will have a material adverse effect on our business or financial condition. We may, however, be subject to various claims and legal actions arising in the ordinary course of business from time to time.</w:t>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6" w:name="item_1a_risk_factors"/>
      <w:bookmarkEnd w:id="16"/>
      <w:r>
        <w:rPr>
          <w:rFonts w:ascii="Times New Roman;serif" w:hAnsi="Times New Roman;serif"/>
          <w:b/>
          <w:sz w:val="20"/>
        </w:rPr>
        <w:t>Item 1A. RISK FACTORS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In addition to the risk factor set forth below and the other information set forth in this report, you should carefully consider the factors discussed under Part I, Item 1A, “Risk Factors” in the Company’s Annual Report on Form 10-K for the year-ended December 31, 2022 (the </w:t>
      </w:r>
      <w:r>
        <w:rPr>
          <w:rFonts w:ascii="Times New Roman" w:hAnsi="Times New Roman"/>
          <w:sz w:val="20"/>
        </w:rPr>
        <w:t>“</w:t>
      </w:r>
      <w:r>
        <w:rPr>
          <w:rFonts w:ascii="Times New Roman;serif" w:hAnsi="Times New Roman;serif"/>
          <w:b/>
          <w:sz w:val="20"/>
        </w:rPr>
        <w:t>2022 Annual Report”</w:t>
      </w:r>
      <w:r>
        <w:rPr>
          <w:rFonts w:ascii="Times New Roman;serif" w:hAnsi="Times New Roman;serif"/>
          <w:b w:val="false"/>
          <w:sz w:val="20"/>
        </w:rPr>
        <w:t>) and as updated in the Company’s subsequent Quarterly Reports on Form 10-Q. These factors could materially adversely affect our business, financial condition, liquidity, results of operations and capital position, and could cause our actual results to differ materially from our historical results or the results contemplated by the forward-looking statements contained in this report. Except as disclosed below, there have been no material changes to the risk factors described in Part I, Item 1A, “</w:t>
      </w:r>
      <w:r>
        <w:rPr>
          <w:rFonts w:ascii="Times New Roman;serif" w:hAnsi="Times New Roman;serif"/>
          <w:b w:val="false"/>
          <w:i/>
          <w:sz w:val="20"/>
        </w:rPr>
        <w:t>Risk Factors</w:t>
      </w:r>
      <w:r>
        <w:rPr>
          <w:rFonts w:ascii="Times New Roman;serif" w:hAnsi="Times New Roman;serif"/>
          <w:b w:val="false"/>
          <w:sz w:val="20"/>
        </w:rPr>
        <w:t>,” included in our 2022 Annual Report.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The Company's cash, cash equivalents and marketable securities could be adversely affected by bank failures or other events affecting financial institutions and could adversely affect our liquidity and financial performance.</w:t>
      </w:r>
    </w:p>
    <w:p>
      <w:pPr>
        <w:pStyle w:val="TextBody"/>
        <w:bidi w:val="0"/>
        <w:spacing w:before="0" w:after="0"/>
        <w:jc w:val="left"/>
        <w:rPr>
          <w:rFonts w:ascii="Times New Roman" w:hAnsi="Times New Roman"/>
          <w:sz w:val="20"/>
        </w:rPr>
      </w:pPr>
      <w:r>
        <w:rPr>
          <w:rFonts w:ascii="Times New Roman;serif" w:hAnsi="Times New Roman;serif"/>
          <w:b w:val="false"/>
          <w:sz w:val="20"/>
        </w:rPr>
        <w:t>We regularly maintain domestic cash deposits in Federal Deposit Insurance Corporation (</w:t>
      </w:r>
      <w:r>
        <w:rPr>
          <w:rFonts w:ascii="Times New Roman" w:hAnsi="Times New Roman"/>
          <w:sz w:val="20"/>
        </w:rPr>
        <w:t>“</w:t>
      </w:r>
      <w:r>
        <w:rPr>
          <w:rFonts w:ascii="Times New Roman;serif" w:hAnsi="Times New Roman;serif"/>
          <w:b/>
          <w:sz w:val="20"/>
        </w:rPr>
        <w:t>FDIC”</w:t>
      </w:r>
      <w:r>
        <w:rPr>
          <w:rFonts w:ascii="Times New Roman;serif" w:hAnsi="Times New Roman;serif"/>
          <w:b w:val="false"/>
          <w:sz w:val="20"/>
        </w:rPr>
        <w:t>) insured banks, which exceed the FDIC insurance limits. We also maintain cash deposits in foreign banks where we operate, some of which are not insured or are only partially insured by the FDIC or other similar agencies. The failure or rumored failure of a bank, or events involving limited liquidity, defaults, non-performance, bankruptcy, receivership or other adverse developments in the financial or credit markets impacting financial institutions, may lead to disruptions in access to our bank deposits. These disruptions may adversely impact our liquidity and financial performance. There can be no assurance that our deposits in excess of the FDIC or other comparable insurance limits will be backstopped by the U.S. or applicable foreign government, or that any bank or financial institution with which we do business will be able to obtain needed liquidity from other banks, government institutions or by acquisition in the event of a failure or liquidity crisis. As such, those funds in bank deposit accounts in excess of the standard FDIC insurance limits are uninsured and subject to the risk of bank failure.</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Currently, the Company has full access to all funds in deposit accounts or other money management arrangements. The failure of any bank in which the Company deposits its funds could reduce the amount of cash the Company has available for its operations or delay its ability to access such funds. In the event of such failure, the Company may experience delays or other issues in meeting its financial obligations, the Company’s ability to access its cash and cash equivalents may be threatened and could have a material adverse effect on the Company’s business and financial condition.</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Future adverse developments with respect to specific financial institutions or the broader financial services industry may also lead to market-wide liquidity shortages.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Development and commercialization of our products require successful completion of the regulatory approval process and any delays or failures in obtaining regulatory approvals for improvements to or expanded indications for our current offerings, could prevent, delay or adversely impact commercialization of our products.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In the United States, as well as other jurisdictions, we have been and will be required to apply for and receive regulatory authorization before we can market our products. For instance, our RECELL System has been approved by the U.S. Food and Drug Administration and regulatory authorities in Australia, the EU and Japan for use in certain treatments of burns, acute wounds, scars and vitiligo. However, we will require additional clinical data or approvals from regulatory authorities within these countries to market the product for the treatment of other indications, and from any other jurisdictions in which we seek to market the product. This process can be time-consuming and complicated and may be unsuccessful or otherwise result in unanticipated delays or fail altogether. To secure marketing authorization, an applicant generally is required to submit an application that includes the data supporting preclinical and clinical safety and effectiveness as well as detailed information on the manufacturing and control of the product, proposed labeling and other additional information. Before marketing authorization is granted, regulatory authorities may require the inspection of the manufacturing facility or facilities and quality systems (including those of third parties) at which the product candidate is manufactured and tested, as well as potential audits of the non-clinical and clinical trial sites that generated the data cited in the marketing authorization application.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We cannot predict whether any additional marketing authorizations will ultimately be granted or how long the applicable regulatory authority or agency will take to do so. Regulatory agencies, including the FDA, have substantial discretion in the approval process. In addition, the approval process and the requirements governing clinical trials vary from country to country. The policies of the FDA or other regulatory authorities may change, and additional government regulations may be enacted that could prevent, limit or delay the necessary approval of any products we may develop and commercialize. We cannot predict the likelihood, nature or extent of government regulation that may arise from future legislation or administrative action, either in the United States or elsewhere. If we are slow or unable to adapt to new or changed requirements, or if we are not able to maintain regulatory compliance, we may lose any marketing approval that we may have obtained, and we may not achieve or sustain profitability.</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Additionally, any future regulatory approvals that we receive may also contain requirements for costly post-marketing testing and surveillance to monitor the safety and effectiveness of the product. Once a product is approved, the manufacturing processes, labeling, packaging, distribution, adverse event reporting, storage, advertising, promotion, import, export, and record keeping for the product will be subject to extensive and ongoing regulatory requirements. These requirements include submission of safety and other post-marketing reports, registration, and continued compliance with good manufacturing practices for any clinical trials that we conduct post-approval.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Finally, per FDA regulations, changes made to products, specifications, or test data evaluation methodology would generally require communication with the FDA. There are several pathways for communicating with the FDA of such changes. As part of such review, the FDA may request additional information, at which time the product may become temporarily unavailable.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Certain of our products are dependent on specialized sources of supply potentially subject to disruption which could have a material, adverse impact on our business.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Although the COVID-19 pandemic has ended, supply chain disruptions, raw material shortages, and inflationary pressures may continue for the foreseeable future. Due to the cost and regulatory requirements associated with qualifying multiple suppliers, in the prior year we single-sourced some of our material components. To the extent that any of these single sourced suppliers experienced disruptions in deliveries due to production, quality, or other issues, we were potentially subject to similar production delays or unfavorable cost increases. In the current quarter, we invested resources in obtaining additional suppliers for some of our key raw materials. This resulted in a decrease in our gross margin, however, the Company is now in a better position to mitigate supply chain risk and manage operations and cash flow.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7" w:name="item_2_unregistered_sales_equity_securit"/>
      <w:bookmarkEnd w:id="17"/>
      <w:r>
        <w:rPr>
          <w:rFonts w:ascii="Times New Roman;serif" w:hAnsi="Times New Roman;serif"/>
          <w:b/>
          <w:sz w:val="20"/>
        </w:rPr>
        <w:t>Item 2. UNREGISTERED SALES OF EQUITY SECURITIES AND USE OF PROCEEDS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8" w:name="item_3_defaults_upon_senior_securities"/>
      <w:bookmarkEnd w:id="18"/>
      <w:r>
        <w:rPr>
          <w:rFonts w:ascii="Times New Roman;serif" w:hAnsi="Times New Roman;serif"/>
          <w:b/>
          <w:sz w:val="20"/>
        </w:rPr>
        <w:t>Item 3. DEFAULTS UPON SENIOR SECURITIES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9" w:name="item_4_mine_safety_disclosures"/>
      <w:bookmarkEnd w:id="19"/>
      <w:r>
        <w:rPr>
          <w:rFonts w:ascii="Times New Roman;serif" w:hAnsi="Times New Roman;serif"/>
          <w:b/>
          <w:sz w:val="20"/>
        </w:rPr>
        <w:t>Item 4. MINE SAFETY DISCLOSURES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20" w:name="item_5_or_information"/>
      <w:bookmarkEnd w:id="20"/>
      <w:r>
        <w:rPr>
          <w:rFonts w:ascii="Times New Roman;serif" w:hAnsi="Times New Roman;serif"/>
          <w:b/>
          <w:sz w:val="20"/>
        </w:rPr>
        <w:t>Item 5. OTHER INFORMATION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21" w:name="item_6_exhibits"/>
      <w:bookmarkEnd w:id="21"/>
      <w:r>
        <w:rPr>
          <w:rFonts w:ascii="Times New Roman;serif" w:hAnsi="Times New Roman;serif"/>
          <w:b/>
          <w:sz w:val="20"/>
        </w:rPr>
        <w:t>Item 6. EXHIBITS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 The following exhibits are filed as part of the Quarterly Report on Form 10-Q:</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778"/>
        <w:gridCol w:w="323"/>
        <w:gridCol w:w="9104"/>
      </w:tblGrid>
      <w:tr>
        <w:trPr/>
        <w:tc>
          <w:tcPr>
            <w:tcW w:w="778" w:type="dxa"/>
            <w:tcBorders/>
            <w:shd w:fill="FFFFFF" w:val="clear"/>
            <w:vAlign w:val="center"/>
          </w:tcPr>
          <w:p>
            <w:pPr>
              <w:pStyle w:val="TableContents"/>
              <w:bidi w:val="0"/>
              <w:spacing w:before="0" w:after="283"/>
              <w:jc w:val="left"/>
              <w:rPr>
                <w:sz w:val="4"/>
                <w:szCs w:val="4"/>
              </w:rPr>
            </w:pPr>
            <w:r>
              <w:rPr>
                <w:sz w:val="4"/>
                <w:szCs w:val="4"/>
              </w:rPr>
            </w:r>
          </w:p>
        </w:tc>
        <w:tc>
          <w:tcPr>
            <w:tcW w:w="323" w:type="dxa"/>
            <w:tcBorders/>
            <w:shd w:fill="FFFFFF" w:val="clear"/>
            <w:vAlign w:val="center"/>
          </w:tcPr>
          <w:p>
            <w:pPr>
              <w:pStyle w:val="TableContents"/>
              <w:bidi w:val="0"/>
              <w:spacing w:before="0" w:after="283"/>
              <w:jc w:val="left"/>
              <w:rPr>
                <w:sz w:val="4"/>
                <w:szCs w:val="4"/>
              </w:rPr>
            </w:pPr>
            <w:r>
              <w:rPr>
                <w:sz w:val="4"/>
                <w:szCs w:val="4"/>
              </w:rPr>
            </w:r>
          </w:p>
        </w:tc>
        <w:tc>
          <w:tcPr>
            <w:tcW w:w="9104" w:type="dxa"/>
            <w:tcBorders/>
            <w:shd w:fill="FFFFFF" w:val="clear"/>
            <w:vAlign w:val="center"/>
          </w:tcPr>
          <w:p>
            <w:pPr>
              <w:pStyle w:val="TableContents"/>
              <w:bidi w:val="0"/>
              <w:spacing w:before="0" w:after="283"/>
              <w:jc w:val="left"/>
              <w:rPr>
                <w:sz w:val="4"/>
                <w:szCs w:val="4"/>
              </w:rPr>
            </w:pPr>
            <w:r>
              <w:rPr>
                <w:sz w:val="4"/>
                <w:szCs w:val="4"/>
              </w:rPr>
            </w:r>
          </w:p>
        </w:tc>
      </w:tr>
      <w:tr>
        <w:trPr/>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Exhibit</w:t>
            </w:r>
          </w:p>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No.</w:t>
            </w:r>
          </w:p>
        </w:tc>
        <w:tc>
          <w:tcPr>
            <w:tcW w:w="3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Description</w:t>
            </w:r>
            <w:r>
              <w:rPr>
                <w:rFonts w:ascii="Times New Roman" w:hAnsi="Times New Roman"/>
                <w:sz w:val="16"/>
              </w:rPr>
              <w:t xml:space="preserve"> </w:t>
            </w:r>
          </w:p>
        </w:tc>
      </w:tr>
      <w:tr>
        <w:trPr/>
        <w:tc>
          <w:tcPr>
            <w:tcW w:w="778" w:type="dxa"/>
            <w:tcBorders/>
            <w:vAlign w:val="center"/>
          </w:tcPr>
          <w:p>
            <w:pPr>
              <w:pStyle w:val="TableContents"/>
              <w:bidi w:val="0"/>
              <w:spacing w:before="0" w:after="0"/>
              <w:ind w:left="0" w:right="0" w:hanging="0"/>
              <w:jc w:val="center"/>
              <w:rPr/>
            </w:pPr>
            <w:r>
              <w:rPr/>
              <w:t> </w:t>
            </w:r>
          </w:p>
        </w:tc>
        <w:tc>
          <w:tcPr>
            <w:tcW w:w="323" w:type="dxa"/>
            <w:tcBorders/>
            <w:vAlign w:val="center"/>
          </w:tcPr>
          <w:p>
            <w:pPr>
              <w:pStyle w:val="TableContents"/>
              <w:bidi w:val="0"/>
              <w:spacing w:before="0" w:after="0"/>
              <w:ind w:left="0" w:right="0" w:hanging="0"/>
              <w:jc w:val="left"/>
              <w:rPr/>
            </w:pPr>
            <w:r>
              <w:rPr/>
              <w:t> </w:t>
            </w:r>
          </w:p>
        </w:tc>
        <w:tc>
          <w:tcPr>
            <w:tcW w:w="9104" w:type="dxa"/>
            <w:tcBorders/>
            <w:vAlign w:val="center"/>
          </w:tcPr>
          <w:p>
            <w:pPr>
              <w:pStyle w:val="TableContents"/>
              <w:bidi w:val="0"/>
              <w:spacing w:before="0" w:after="283"/>
              <w:ind w:left="0" w:right="0" w:hanging="0"/>
              <w:jc w:val="left"/>
              <w:rPr>
                <w:sz w:val="4"/>
                <w:szCs w:val="4"/>
              </w:rPr>
            </w:pPr>
            <w:r>
              <w:rPr>
                <w:sz w:val="4"/>
                <w:szCs w:val="4"/>
              </w:rPr>
            </w:r>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c>
          <w:tcPr>
            <w:tcW w:w="323" w:type="dxa"/>
            <w:tcBorders/>
            <w:vAlign w:val="center"/>
          </w:tcPr>
          <w:p>
            <w:pPr>
              <w:pStyle w:val="TableContents"/>
              <w:bidi w:val="0"/>
              <w:spacing w:before="0" w:after="0"/>
              <w:ind w:left="0" w:right="0" w:hanging="0"/>
              <w:jc w:val="left"/>
              <w:rPr/>
            </w:pPr>
            <w:r>
              <w:rPr/>
              <w:t> </w:t>
            </w:r>
          </w:p>
        </w:tc>
        <w:tc>
          <w:tcPr>
            <w:tcW w:w="9104" w:type="dxa"/>
            <w:tcBorders/>
            <w:vAlign w:val="center"/>
          </w:tcPr>
          <w:p>
            <w:pPr>
              <w:pStyle w:val="TableContents"/>
              <w:bidi w:val="0"/>
              <w:spacing w:before="0" w:after="0"/>
              <w:ind w:left="0" w:right="0" w:hanging="0"/>
              <w:jc w:val="left"/>
              <w:rPr/>
            </w:pPr>
            <w:hyperlink r:id="rId3">
              <w:r>
                <w:rPr>
                  <w:rStyle w:val="InternetLink"/>
                  <w:rFonts w:ascii="Times New Roman;serif" w:hAnsi="Times New Roman;serif"/>
                  <w:b w:val="false"/>
                  <w:sz w:val="20"/>
                  <w:u w:val="single"/>
                </w:rPr>
                <w:t>Certificate of Incorporation (incorporated by reference to Exhibit 3.1 to the registrant’s Form 8-K12B filed on June 30, 2020)</w:t>
              </w:r>
            </w:hyperlink>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323" w:type="dxa"/>
            <w:tcBorders/>
            <w:vAlign w:val="center"/>
          </w:tcPr>
          <w:p>
            <w:pPr>
              <w:pStyle w:val="TableContents"/>
              <w:bidi w:val="0"/>
              <w:spacing w:before="0" w:after="0"/>
              <w:ind w:left="0" w:right="0" w:hanging="0"/>
              <w:jc w:val="center"/>
              <w:rPr/>
            </w:pPr>
            <w:r>
              <w:rPr/>
              <w:t> </w:t>
            </w:r>
          </w:p>
        </w:tc>
        <w:tc>
          <w:tcPr>
            <w:tcW w:w="9104" w:type="dxa"/>
            <w:tcBorders/>
            <w:vAlign w:val="center"/>
          </w:tcPr>
          <w:p>
            <w:pPr>
              <w:pStyle w:val="TableContents"/>
              <w:bidi w:val="0"/>
              <w:spacing w:before="0" w:after="0"/>
              <w:ind w:left="0" w:right="0" w:hanging="0"/>
              <w:jc w:val="center"/>
              <w:rPr/>
            </w:pPr>
            <w:r>
              <w:rPr/>
              <w:t> </w:t>
            </w:r>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w:t>
            </w:r>
          </w:p>
        </w:tc>
        <w:tc>
          <w:tcPr>
            <w:tcW w:w="323" w:type="dxa"/>
            <w:tcBorders/>
            <w:vAlign w:val="center"/>
          </w:tcPr>
          <w:p>
            <w:pPr>
              <w:pStyle w:val="TableContents"/>
              <w:bidi w:val="0"/>
              <w:spacing w:before="0" w:after="0"/>
              <w:ind w:left="0" w:right="0" w:hanging="0"/>
              <w:jc w:val="left"/>
              <w:rPr/>
            </w:pPr>
            <w:r>
              <w:rPr/>
              <w:t> </w:t>
            </w:r>
          </w:p>
        </w:tc>
        <w:tc>
          <w:tcPr>
            <w:tcW w:w="9104" w:type="dxa"/>
            <w:tcBorders/>
            <w:vAlign w:val="center"/>
          </w:tcPr>
          <w:p>
            <w:pPr>
              <w:pStyle w:val="TableContents"/>
              <w:bidi w:val="0"/>
              <w:spacing w:before="0" w:after="0"/>
              <w:ind w:left="0" w:right="0" w:hanging="0"/>
              <w:jc w:val="left"/>
              <w:rPr/>
            </w:pPr>
            <w:hyperlink r:id="rId4">
              <w:r>
                <w:rPr>
                  <w:rStyle w:val="InternetLink"/>
                  <w:rFonts w:ascii="Times New Roman;serif" w:hAnsi="Times New Roman;serif"/>
                  <w:b w:val="false"/>
                  <w:sz w:val="20"/>
                  <w:u w:val="single"/>
                </w:rPr>
                <w:t>Certificate of Amendment of Certificate of Incorporation (incorporated by reference to Exhibit 3.2 of the registrant’s Form 10-KT filed on February 28, 2022)</w:t>
              </w:r>
            </w:hyperlink>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323" w:type="dxa"/>
            <w:tcBorders/>
            <w:vAlign w:val="center"/>
          </w:tcPr>
          <w:p>
            <w:pPr>
              <w:pStyle w:val="TableContents"/>
              <w:bidi w:val="0"/>
              <w:spacing w:before="0" w:after="0"/>
              <w:ind w:left="0" w:right="0" w:hanging="0"/>
              <w:jc w:val="center"/>
              <w:rPr/>
            </w:pPr>
            <w:r>
              <w:rPr/>
              <w:t> </w:t>
            </w:r>
          </w:p>
        </w:tc>
        <w:tc>
          <w:tcPr>
            <w:tcW w:w="9104" w:type="dxa"/>
            <w:tcBorders/>
            <w:vAlign w:val="center"/>
          </w:tcPr>
          <w:p>
            <w:pPr>
              <w:pStyle w:val="TableContents"/>
              <w:bidi w:val="0"/>
              <w:spacing w:before="0" w:after="0"/>
              <w:ind w:left="0" w:right="0" w:hanging="0"/>
              <w:jc w:val="center"/>
              <w:rPr/>
            </w:pPr>
            <w:r>
              <w:rPr/>
              <w:t> </w:t>
            </w:r>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3.3</w:t>
            </w:r>
          </w:p>
        </w:tc>
        <w:tc>
          <w:tcPr>
            <w:tcW w:w="323" w:type="dxa"/>
            <w:tcBorders/>
            <w:vAlign w:val="center"/>
          </w:tcPr>
          <w:p>
            <w:pPr>
              <w:pStyle w:val="TableContents"/>
              <w:bidi w:val="0"/>
              <w:spacing w:before="0" w:after="0"/>
              <w:ind w:left="0" w:right="0" w:hanging="0"/>
              <w:jc w:val="left"/>
              <w:rPr/>
            </w:pPr>
            <w:r>
              <w:rPr/>
              <w:t> </w:t>
            </w:r>
          </w:p>
        </w:tc>
        <w:tc>
          <w:tcPr>
            <w:tcW w:w="9104" w:type="dxa"/>
            <w:tcBorders/>
            <w:vAlign w:val="center"/>
          </w:tcPr>
          <w:p>
            <w:pPr>
              <w:pStyle w:val="TableContents"/>
              <w:bidi w:val="0"/>
              <w:spacing w:before="0" w:after="0"/>
              <w:ind w:left="0" w:right="0" w:hanging="0"/>
              <w:jc w:val="left"/>
              <w:rPr/>
            </w:pPr>
            <w:hyperlink r:id="rId5">
              <w:r>
                <w:rPr>
                  <w:rStyle w:val="InternetLink"/>
                  <w:rFonts w:ascii="Times New Roman;serif" w:hAnsi="Times New Roman;serif"/>
                  <w:b w:val="false"/>
                  <w:sz w:val="20"/>
                  <w:u w:val="single"/>
                </w:rPr>
                <w:t>Amended and Restated Bylaws (incorporated by reference to Exhibit 3.3 of the registrant’s Form 10-KT filed on February 28, 2022)</w:t>
              </w:r>
            </w:hyperlink>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323" w:type="dxa"/>
            <w:tcBorders/>
            <w:vAlign w:val="center"/>
          </w:tcPr>
          <w:p>
            <w:pPr>
              <w:pStyle w:val="TableContents"/>
              <w:bidi w:val="0"/>
              <w:spacing w:before="0" w:after="0"/>
              <w:ind w:left="0" w:right="0" w:hanging="0"/>
              <w:jc w:val="center"/>
              <w:rPr/>
            </w:pPr>
            <w:r>
              <w:rPr/>
              <w:t> </w:t>
            </w:r>
          </w:p>
        </w:tc>
        <w:tc>
          <w:tcPr>
            <w:tcW w:w="9104" w:type="dxa"/>
            <w:tcBorders/>
            <w:vAlign w:val="center"/>
          </w:tcPr>
          <w:p>
            <w:pPr>
              <w:pStyle w:val="TableContents"/>
              <w:bidi w:val="0"/>
              <w:spacing w:before="0" w:after="0"/>
              <w:ind w:left="0" w:right="0" w:hanging="0"/>
              <w:jc w:val="center"/>
              <w:rPr/>
            </w:pPr>
            <w:r>
              <w:rPr/>
              <w:t> </w:t>
            </w:r>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w:t>
            </w:r>
          </w:p>
        </w:tc>
        <w:tc>
          <w:tcPr>
            <w:tcW w:w="323" w:type="dxa"/>
            <w:tcBorders/>
            <w:vAlign w:val="center"/>
          </w:tcPr>
          <w:p>
            <w:pPr>
              <w:pStyle w:val="TableContents"/>
              <w:bidi w:val="0"/>
              <w:spacing w:before="0" w:after="0"/>
              <w:ind w:left="0" w:right="0" w:hanging="0"/>
              <w:jc w:val="left"/>
              <w:rPr/>
            </w:pPr>
            <w:r>
              <w:rPr/>
              <w:t> </w:t>
            </w:r>
          </w:p>
        </w:tc>
        <w:tc>
          <w:tcPr>
            <w:tcW w:w="9104" w:type="dxa"/>
            <w:tcBorders/>
            <w:vAlign w:val="center"/>
          </w:tcPr>
          <w:p>
            <w:pPr>
              <w:pStyle w:val="TableContents"/>
              <w:bidi w:val="0"/>
              <w:spacing w:before="0" w:after="0"/>
              <w:ind w:left="0" w:right="0" w:hanging="0"/>
              <w:jc w:val="left"/>
              <w:rPr/>
            </w:pPr>
            <w:hyperlink r:id="rId6">
              <w:r>
                <w:rPr>
                  <w:rStyle w:val="InternetLink"/>
                  <w:rFonts w:ascii="Times New Roman;serif" w:hAnsi="Times New Roman;serif"/>
                  <w:b w:val="false"/>
                  <w:sz w:val="20"/>
                  <w:u w:val="single"/>
                </w:rPr>
                <w:t>Amendment No. 1 to the 2020 Omnibus Incentive Plan (incorporated by reference to Exhibit 10.1 of the Registrant’s Form 8-K filed on June 7, 2023) </w:t>
              </w:r>
            </w:hyperlink>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323" w:type="dxa"/>
            <w:tcBorders/>
            <w:vAlign w:val="center"/>
          </w:tcPr>
          <w:p>
            <w:pPr>
              <w:pStyle w:val="TableContents"/>
              <w:bidi w:val="0"/>
              <w:spacing w:before="0" w:after="0"/>
              <w:ind w:left="0" w:right="0" w:hanging="0"/>
              <w:jc w:val="center"/>
              <w:rPr/>
            </w:pPr>
            <w:r>
              <w:rPr/>
              <w:t> </w:t>
            </w:r>
          </w:p>
        </w:tc>
        <w:tc>
          <w:tcPr>
            <w:tcW w:w="9104" w:type="dxa"/>
            <w:tcBorders/>
            <w:vAlign w:val="center"/>
          </w:tcPr>
          <w:p>
            <w:pPr>
              <w:pStyle w:val="TableContents"/>
              <w:bidi w:val="0"/>
              <w:spacing w:before="0" w:after="0"/>
              <w:ind w:left="0" w:right="0" w:hanging="0"/>
              <w:jc w:val="center"/>
              <w:rPr/>
            </w:pPr>
            <w:r>
              <w:rPr/>
              <w:t> </w:t>
            </w:r>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10.2</w:t>
            </w:r>
          </w:p>
        </w:tc>
        <w:tc>
          <w:tcPr>
            <w:tcW w:w="323" w:type="dxa"/>
            <w:tcBorders/>
            <w:vAlign w:val="center"/>
          </w:tcPr>
          <w:p>
            <w:pPr>
              <w:pStyle w:val="TableContents"/>
              <w:bidi w:val="0"/>
              <w:spacing w:before="0" w:after="0"/>
              <w:ind w:left="0" w:right="0" w:hanging="0"/>
              <w:jc w:val="left"/>
              <w:rPr/>
            </w:pPr>
            <w:r>
              <w:rPr/>
              <w:t> </w:t>
            </w:r>
          </w:p>
        </w:tc>
        <w:tc>
          <w:tcPr>
            <w:tcW w:w="9104" w:type="dxa"/>
            <w:tcBorders/>
            <w:vAlign w:val="center"/>
          </w:tcPr>
          <w:p>
            <w:pPr>
              <w:pStyle w:val="TableContents"/>
              <w:bidi w:val="0"/>
              <w:spacing w:before="0" w:after="0"/>
              <w:ind w:left="0" w:right="0" w:hanging="0"/>
              <w:jc w:val="left"/>
              <w:rPr/>
            </w:pPr>
            <w:hyperlink r:id="rId7">
              <w:r>
                <w:rPr>
                  <w:rStyle w:val="InternetLink"/>
                  <w:rFonts w:ascii="Times New Roman;serif" w:hAnsi="Times New Roman;serif"/>
                  <w:b w:val="false"/>
                  <w:sz w:val="20"/>
                  <w:u w:val="single"/>
                </w:rPr>
                <w:t>AVITA Medical, Inc. Employee Stock Purchase Plan (incorporated by reference to Exhibit 10.2 of the Registrant’s Form 8-K filed on June 7, 2023) </w:t>
              </w:r>
            </w:hyperlink>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323" w:type="dxa"/>
            <w:tcBorders/>
            <w:vAlign w:val="center"/>
          </w:tcPr>
          <w:p>
            <w:pPr>
              <w:pStyle w:val="TableContents"/>
              <w:bidi w:val="0"/>
              <w:spacing w:before="0" w:after="0"/>
              <w:ind w:left="0" w:right="0" w:hanging="0"/>
              <w:jc w:val="center"/>
              <w:rPr/>
            </w:pPr>
            <w:r>
              <w:rPr/>
              <w:t> </w:t>
            </w:r>
          </w:p>
        </w:tc>
        <w:tc>
          <w:tcPr>
            <w:tcW w:w="9104" w:type="dxa"/>
            <w:tcBorders/>
            <w:vAlign w:val="center"/>
          </w:tcPr>
          <w:p>
            <w:pPr>
              <w:pStyle w:val="TableContents"/>
              <w:bidi w:val="0"/>
              <w:spacing w:before="0" w:after="0"/>
              <w:ind w:left="0" w:right="0" w:hanging="0"/>
              <w:jc w:val="center"/>
              <w:rPr/>
            </w:pPr>
            <w:r>
              <w:rPr/>
              <w:t> </w:t>
            </w:r>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10.3</w:t>
            </w:r>
          </w:p>
        </w:tc>
        <w:tc>
          <w:tcPr>
            <w:tcW w:w="323" w:type="dxa"/>
            <w:tcBorders/>
            <w:vAlign w:val="center"/>
          </w:tcPr>
          <w:p>
            <w:pPr>
              <w:pStyle w:val="TableContents"/>
              <w:bidi w:val="0"/>
              <w:spacing w:before="0" w:after="0"/>
              <w:ind w:left="0" w:right="0" w:hanging="0"/>
              <w:jc w:val="left"/>
              <w:rPr/>
            </w:pPr>
            <w:r>
              <w:rPr/>
              <w:t> </w:t>
            </w:r>
          </w:p>
        </w:tc>
        <w:tc>
          <w:tcPr>
            <w:tcW w:w="9104" w:type="dxa"/>
            <w:tcBorders/>
            <w:vAlign w:val="center"/>
          </w:tcPr>
          <w:p>
            <w:pPr>
              <w:pStyle w:val="TableContents"/>
              <w:bidi w:val="0"/>
              <w:spacing w:before="0" w:after="0"/>
              <w:ind w:left="0" w:right="0" w:hanging="0"/>
              <w:jc w:val="left"/>
              <w:rPr/>
            </w:pPr>
            <w:hyperlink w:anchor="rcel-ex10_3.htm">
              <w:r>
                <w:rPr>
                  <w:rStyle w:val="InternetLink"/>
                  <w:rFonts w:ascii="Times New Roman;serif" w:hAnsi="Times New Roman;serif"/>
                  <w:b w:val="false"/>
                  <w:sz w:val="20"/>
                  <w:u w:val="single"/>
                </w:rPr>
                <w:t>Executive Employment Agreement between the registrant and David O'Toole dated June 17, 2023*</w:t>
              </w:r>
            </w:hyperlink>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323" w:type="dxa"/>
            <w:tcBorders/>
            <w:vAlign w:val="center"/>
          </w:tcPr>
          <w:p>
            <w:pPr>
              <w:pStyle w:val="TableContents"/>
              <w:bidi w:val="0"/>
              <w:spacing w:before="0" w:after="0"/>
              <w:ind w:left="0" w:right="0" w:hanging="0"/>
              <w:jc w:val="left"/>
              <w:rPr/>
            </w:pPr>
            <w:r>
              <w:rPr/>
              <w:t> </w:t>
            </w:r>
          </w:p>
        </w:tc>
        <w:tc>
          <w:tcPr>
            <w:tcW w:w="9104" w:type="dxa"/>
            <w:tcBorders/>
            <w:vAlign w:val="center"/>
          </w:tcPr>
          <w:p>
            <w:pPr>
              <w:pStyle w:val="TableContents"/>
              <w:bidi w:val="0"/>
              <w:spacing w:before="0" w:after="0"/>
              <w:ind w:left="0" w:right="0" w:hanging="0"/>
              <w:jc w:val="left"/>
              <w:rPr/>
            </w:pPr>
            <w:r>
              <w:rPr/>
              <w:t> </w:t>
            </w:r>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31.1*</w:t>
            </w:r>
          </w:p>
        </w:tc>
        <w:tc>
          <w:tcPr>
            <w:tcW w:w="323" w:type="dxa"/>
            <w:tcBorders/>
            <w:vAlign w:val="center"/>
          </w:tcPr>
          <w:p>
            <w:pPr>
              <w:pStyle w:val="TableContents"/>
              <w:bidi w:val="0"/>
              <w:spacing w:before="0" w:after="0"/>
              <w:ind w:left="0" w:right="0" w:hanging="0"/>
              <w:jc w:val="left"/>
              <w:rPr/>
            </w:pPr>
            <w:r>
              <w:rPr/>
              <w:t> </w:t>
            </w:r>
          </w:p>
        </w:tc>
        <w:tc>
          <w:tcPr>
            <w:tcW w:w="9104" w:type="dxa"/>
            <w:tcBorders/>
            <w:vAlign w:val="center"/>
          </w:tcPr>
          <w:p>
            <w:pPr>
              <w:pStyle w:val="TableContents"/>
              <w:bidi w:val="0"/>
              <w:spacing w:before="0" w:after="0"/>
              <w:ind w:left="0" w:right="0" w:hanging="0"/>
              <w:jc w:val="left"/>
              <w:rPr/>
            </w:pPr>
            <w:hyperlink w:anchor="rcel-ex31_1.htm">
              <w:r>
                <w:rPr>
                  <w:rStyle w:val="InternetLink"/>
                  <w:rFonts w:ascii="Times New Roman;serif" w:hAnsi="Times New Roman;serif"/>
                  <w:b w:val="false"/>
                  <w:sz w:val="20"/>
                  <w:u w:val="single"/>
                </w:rPr>
                <w:t>Rule 13a-14(a) Certification of Chief Executive Officer</w:t>
              </w:r>
            </w:hyperlink>
            <w:hyperlink w:anchor="rcel-ex31_1.htm">
              <w:r>
                <w:rPr>
                  <w:rStyle w:val="InternetLink"/>
                  <w:rFonts w:ascii="Times New Roman" w:hAnsi="Times New Roman"/>
                  <w:sz w:val="20"/>
                </w:rPr>
                <w:t xml:space="preserve"> </w:t>
              </w:r>
            </w:hyperlink>
          </w:p>
        </w:tc>
      </w:tr>
      <w:tr>
        <w:trPr/>
        <w:tc>
          <w:tcPr>
            <w:tcW w:w="778" w:type="dxa"/>
            <w:tcBorders/>
            <w:vAlign w:val="center"/>
          </w:tcPr>
          <w:p>
            <w:pPr>
              <w:pStyle w:val="TableContents"/>
              <w:bidi w:val="0"/>
              <w:spacing w:before="0" w:after="0"/>
              <w:ind w:left="0" w:right="0" w:hanging="0"/>
              <w:jc w:val="center"/>
              <w:rPr/>
            </w:pPr>
            <w:r>
              <w:rPr/>
              <w:t> </w:t>
            </w:r>
          </w:p>
        </w:tc>
        <w:tc>
          <w:tcPr>
            <w:tcW w:w="323" w:type="dxa"/>
            <w:tcBorders/>
            <w:vAlign w:val="center"/>
          </w:tcPr>
          <w:p>
            <w:pPr>
              <w:pStyle w:val="TableContents"/>
              <w:bidi w:val="0"/>
              <w:spacing w:before="0" w:after="0"/>
              <w:ind w:left="0" w:right="0" w:hanging="0"/>
              <w:jc w:val="center"/>
              <w:rPr/>
            </w:pPr>
            <w:r>
              <w:rPr/>
              <w:t> </w:t>
            </w:r>
          </w:p>
        </w:tc>
        <w:tc>
          <w:tcPr>
            <w:tcW w:w="9104" w:type="dxa"/>
            <w:tcBorders/>
            <w:vAlign w:val="center"/>
          </w:tcPr>
          <w:p>
            <w:pPr>
              <w:pStyle w:val="TableContents"/>
              <w:bidi w:val="0"/>
              <w:spacing w:before="0" w:after="283"/>
              <w:ind w:left="0" w:right="0" w:hanging="0"/>
              <w:jc w:val="left"/>
              <w:rPr>
                <w:sz w:val="4"/>
                <w:szCs w:val="4"/>
              </w:rPr>
            </w:pPr>
            <w:r>
              <w:rPr>
                <w:sz w:val="4"/>
                <w:szCs w:val="4"/>
              </w:rPr>
            </w:r>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31.2*</w:t>
            </w:r>
          </w:p>
        </w:tc>
        <w:tc>
          <w:tcPr>
            <w:tcW w:w="323" w:type="dxa"/>
            <w:tcBorders/>
            <w:vAlign w:val="center"/>
          </w:tcPr>
          <w:p>
            <w:pPr>
              <w:pStyle w:val="TableContents"/>
              <w:bidi w:val="0"/>
              <w:spacing w:before="0" w:after="0"/>
              <w:ind w:left="0" w:right="0" w:hanging="0"/>
              <w:jc w:val="left"/>
              <w:rPr/>
            </w:pPr>
            <w:r>
              <w:rPr/>
              <w:t> </w:t>
            </w:r>
          </w:p>
        </w:tc>
        <w:tc>
          <w:tcPr>
            <w:tcW w:w="9104" w:type="dxa"/>
            <w:tcBorders/>
            <w:vAlign w:val="center"/>
          </w:tcPr>
          <w:p>
            <w:pPr>
              <w:pStyle w:val="TableContents"/>
              <w:bidi w:val="0"/>
              <w:spacing w:before="0" w:after="0"/>
              <w:ind w:left="0" w:right="0" w:hanging="0"/>
              <w:jc w:val="left"/>
              <w:rPr/>
            </w:pPr>
            <w:hyperlink w:anchor="rcel-ex31_2.htm">
              <w:r>
                <w:rPr>
                  <w:rStyle w:val="InternetLink"/>
                  <w:rFonts w:ascii="Times New Roman;serif" w:hAnsi="Times New Roman;serif"/>
                  <w:b w:val="false"/>
                  <w:sz w:val="20"/>
                  <w:u w:val="single"/>
                </w:rPr>
                <w:t>Rule 13a-14(a) Certification of Chief Financial Officer</w:t>
              </w:r>
            </w:hyperlink>
            <w:hyperlink w:anchor="rcel-ex31_2.htm">
              <w:r>
                <w:rPr>
                  <w:rStyle w:val="InternetLink"/>
                  <w:rFonts w:ascii="Times New Roman" w:hAnsi="Times New Roman"/>
                  <w:sz w:val="20"/>
                </w:rPr>
                <w:t xml:space="preserve"> </w:t>
              </w:r>
            </w:hyperlink>
          </w:p>
        </w:tc>
      </w:tr>
      <w:tr>
        <w:trPr/>
        <w:tc>
          <w:tcPr>
            <w:tcW w:w="778" w:type="dxa"/>
            <w:tcBorders/>
            <w:vAlign w:val="center"/>
          </w:tcPr>
          <w:p>
            <w:pPr>
              <w:pStyle w:val="TableContents"/>
              <w:bidi w:val="0"/>
              <w:spacing w:before="0" w:after="0"/>
              <w:ind w:left="0" w:right="0" w:hanging="0"/>
              <w:jc w:val="center"/>
              <w:rPr/>
            </w:pPr>
            <w:r>
              <w:rPr/>
              <w:t> </w:t>
            </w:r>
          </w:p>
        </w:tc>
        <w:tc>
          <w:tcPr>
            <w:tcW w:w="323" w:type="dxa"/>
            <w:tcBorders/>
            <w:vAlign w:val="center"/>
          </w:tcPr>
          <w:p>
            <w:pPr>
              <w:pStyle w:val="TableContents"/>
              <w:bidi w:val="0"/>
              <w:spacing w:before="0" w:after="0"/>
              <w:ind w:left="0" w:right="0" w:hanging="0"/>
              <w:jc w:val="center"/>
              <w:rPr/>
            </w:pPr>
            <w:r>
              <w:rPr/>
              <w:t> </w:t>
            </w:r>
          </w:p>
        </w:tc>
        <w:tc>
          <w:tcPr>
            <w:tcW w:w="9104" w:type="dxa"/>
            <w:tcBorders/>
            <w:vAlign w:val="center"/>
          </w:tcPr>
          <w:p>
            <w:pPr>
              <w:pStyle w:val="TableContents"/>
              <w:bidi w:val="0"/>
              <w:spacing w:before="0" w:after="283"/>
              <w:ind w:left="0" w:right="0" w:hanging="0"/>
              <w:jc w:val="left"/>
              <w:rPr>
                <w:sz w:val="4"/>
                <w:szCs w:val="4"/>
              </w:rPr>
            </w:pPr>
            <w:r>
              <w:rPr>
                <w:sz w:val="4"/>
                <w:szCs w:val="4"/>
              </w:rPr>
            </w:r>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32**</w:t>
            </w:r>
            <w:r>
              <w:rPr>
                <w:rFonts w:ascii="Times New Roman" w:hAnsi="Times New Roman"/>
                <w:sz w:val="20"/>
              </w:rPr>
              <w:t xml:space="preserve"> </w:t>
            </w:r>
          </w:p>
        </w:tc>
        <w:tc>
          <w:tcPr>
            <w:tcW w:w="323" w:type="dxa"/>
            <w:tcBorders/>
            <w:vAlign w:val="center"/>
          </w:tcPr>
          <w:p>
            <w:pPr>
              <w:pStyle w:val="TableContents"/>
              <w:bidi w:val="0"/>
              <w:spacing w:before="0" w:after="0"/>
              <w:ind w:left="0" w:right="0" w:hanging="0"/>
              <w:jc w:val="left"/>
              <w:rPr/>
            </w:pPr>
            <w:r>
              <w:rPr/>
              <w:t> </w:t>
            </w:r>
          </w:p>
        </w:tc>
        <w:tc>
          <w:tcPr>
            <w:tcW w:w="9104" w:type="dxa"/>
            <w:tcBorders/>
            <w:vAlign w:val="center"/>
          </w:tcPr>
          <w:p>
            <w:pPr>
              <w:pStyle w:val="TableContents"/>
              <w:bidi w:val="0"/>
              <w:spacing w:before="0" w:after="0"/>
              <w:ind w:left="0" w:right="0" w:hanging="0"/>
              <w:jc w:val="left"/>
              <w:rPr/>
            </w:pPr>
            <w:hyperlink w:anchor="rcel-ex32.htm">
              <w:r>
                <w:rPr>
                  <w:rStyle w:val="InternetLink"/>
                  <w:rFonts w:ascii="Times New Roman;serif" w:hAnsi="Times New Roman;serif"/>
                  <w:b w:val="false"/>
                  <w:sz w:val="20"/>
                  <w:u w:val="single"/>
                </w:rPr>
                <w:t>18 U.S.C. Section 1350 Certifications</w:t>
              </w:r>
            </w:hyperlink>
            <w:hyperlink w:anchor="rcel-ex32.htm">
              <w:r>
                <w:rPr>
                  <w:rStyle w:val="InternetLink"/>
                  <w:rFonts w:ascii="Times New Roman" w:hAnsi="Times New Roman"/>
                  <w:sz w:val="20"/>
                </w:rPr>
                <w:t xml:space="preserve"> </w:t>
              </w:r>
            </w:hyperlink>
          </w:p>
        </w:tc>
      </w:tr>
      <w:tr>
        <w:trPr/>
        <w:tc>
          <w:tcPr>
            <w:tcW w:w="778" w:type="dxa"/>
            <w:tcBorders/>
            <w:vAlign w:val="center"/>
          </w:tcPr>
          <w:p>
            <w:pPr>
              <w:pStyle w:val="TableContents"/>
              <w:bidi w:val="0"/>
              <w:spacing w:before="0" w:after="0"/>
              <w:ind w:left="0" w:right="0" w:firstLine="177"/>
              <w:jc w:val="center"/>
              <w:rPr/>
            </w:pPr>
            <w:r>
              <w:rPr/>
              <w:t> </w:t>
            </w:r>
          </w:p>
        </w:tc>
        <w:tc>
          <w:tcPr>
            <w:tcW w:w="323" w:type="dxa"/>
            <w:tcBorders/>
            <w:vAlign w:val="center"/>
          </w:tcPr>
          <w:p>
            <w:pPr>
              <w:pStyle w:val="TableContents"/>
              <w:bidi w:val="0"/>
              <w:spacing w:before="0" w:after="0"/>
              <w:ind w:left="0" w:right="0" w:firstLine="177"/>
              <w:jc w:val="left"/>
              <w:rPr/>
            </w:pPr>
            <w:r>
              <w:rPr/>
              <w:t> </w:t>
            </w:r>
          </w:p>
        </w:tc>
        <w:tc>
          <w:tcPr>
            <w:tcW w:w="9104" w:type="dxa"/>
            <w:tcBorders/>
            <w:vAlign w:val="center"/>
          </w:tcPr>
          <w:p>
            <w:pPr>
              <w:pStyle w:val="TableContents"/>
              <w:bidi w:val="0"/>
              <w:spacing w:before="0" w:after="283"/>
              <w:ind w:left="0" w:right="0" w:firstLine="177"/>
              <w:jc w:val="left"/>
              <w:rPr>
                <w:sz w:val="4"/>
                <w:szCs w:val="4"/>
              </w:rPr>
            </w:pPr>
            <w:r>
              <w:rPr>
                <w:sz w:val="4"/>
                <w:szCs w:val="4"/>
              </w:rPr>
            </w:r>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101.INS</w:t>
            </w:r>
          </w:p>
        </w:tc>
        <w:tc>
          <w:tcPr>
            <w:tcW w:w="323" w:type="dxa"/>
            <w:tcBorders/>
            <w:vAlign w:val="center"/>
          </w:tcPr>
          <w:p>
            <w:pPr>
              <w:pStyle w:val="TableContents"/>
              <w:bidi w:val="0"/>
              <w:spacing w:before="0" w:after="0"/>
              <w:ind w:left="0" w:right="0" w:hanging="0"/>
              <w:jc w:val="left"/>
              <w:rPr/>
            </w:pPr>
            <w:r>
              <w:rPr/>
              <w:t> </w:t>
            </w:r>
          </w:p>
        </w:tc>
        <w:tc>
          <w:tcPr>
            <w:tcW w:w="91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r>
      <w:tr>
        <w:trPr/>
        <w:tc>
          <w:tcPr>
            <w:tcW w:w="778" w:type="dxa"/>
            <w:tcBorders/>
            <w:vAlign w:val="center"/>
          </w:tcPr>
          <w:p>
            <w:pPr>
              <w:pStyle w:val="TableContents"/>
              <w:bidi w:val="0"/>
              <w:spacing w:before="0" w:after="0"/>
              <w:ind w:left="0" w:right="0" w:firstLine="177"/>
              <w:jc w:val="center"/>
              <w:rPr/>
            </w:pPr>
            <w:r>
              <w:rPr/>
              <w:t> </w:t>
            </w:r>
          </w:p>
        </w:tc>
        <w:tc>
          <w:tcPr>
            <w:tcW w:w="323" w:type="dxa"/>
            <w:tcBorders/>
            <w:vAlign w:val="center"/>
          </w:tcPr>
          <w:p>
            <w:pPr>
              <w:pStyle w:val="TableContents"/>
              <w:bidi w:val="0"/>
              <w:spacing w:before="0" w:after="0"/>
              <w:ind w:left="0" w:right="0" w:firstLine="177"/>
              <w:jc w:val="left"/>
              <w:rPr/>
            </w:pPr>
            <w:r>
              <w:rPr/>
              <w:t> </w:t>
            </w:r>
          </w:p>
        </w:tc>
        <w:tc>
          <w:tcPr>
            <w:tcW w:w="9104" w:type="dxa"/>
            <w:tcBorders/>
            <w:vAlign w:val="center"/>
          </w:tcPr>
          <w:p>
            <w:pPr>
              <w:pStyle w:val="TableContents"/>
              <w:bidi w:val="0"/>
              <w:spacing w:before="0" w:after="283"/>
              <w:ind w:left="0" w:right="0" w:firstLine="177"/>
              <w:jc w:val="left"/>
              <w:rPr>
                <w:sz w:val="4"/>
                <w:szCs w:val="4"/>
              </w:rPr>
            </w:pPr>
            <w:r>
              <w:rPr>
                <w:sz w:val="4"/>
                <w:szCs w:val="4"/>
              </w:rPr>
            </w:r>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101.SCH</w:t>
            </w:r>
          </w:p>
        </w:tc>
        <w:tc>
          <w:tcPr>
            <w:tcW w:w="323" w:type="dxa"/>
            <w:tcBorders/>
            <w:vAlign w:val="center"/>
          </w:tcPr>
          <w:p>
            <w:pPr>
              <w:pStyle w:val="TableContents"/>
              <w:bidi w:val="0"/>
              <w:spacing w:before="0" w:after="0"/>
              <w:ind w:left="0" w:right="0" w:hanging="0"/>
              <w:jc w:val="left"/>
              <w:rPr/>
            </w:pPr>
            <w:r>
              <w:rPr/>
              <w:t> </w:t>
            </w:r>
          </w:p>
        </w:tc>
        <w:tc>
          <w:tcPr>
            <w:tcW w:w="91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778" w:type="dxa"/>
            <w:tcBorders/>
            <w:vAlign w:val="center"/>
          </w:tcPr>
          <w:p>
            <w:pPr>
              <w:pStyle w:val="TableContents"/>
              <w:bidi w:val="0"/>
              <w:spacing w:before="0" w:after="0"/>
              <w:ind w:left="0" w:right="0" w:firstLine="177"/>
              <w:jc w:val="center"/>
              <w:rPr/>
            </w:pPr>
            <w:r>
              <w:rPr/>
              <w:t> </w:t>
            </w:r>
          </w:p>
        </w:tc>
        <w:tc>
          <w:tcPr>
            <w:tcW w:w="323" w:type="dxa"/>
            <w:tcBorders/>
            <w:vAlign w:val="center"/>
          </w:tcPr>
          <w:p>
            <w:pPr>
              <w:pStyle w:val="TableContents"/>
              <w:bidi w:val="0"/>
              <w:spacing w:before="0" w:after="0"/>
              <w:ind w:left="0" w:right="0" w:firstLine="177"/>
              <w:jc w:val="left"/>
              <w:rPr/>
            </w:pPr>
            <w:r>
              <w:rPr/>
              <w:t> </w:t>
            </w:r>
          </w:p>
        </w:tc>
        <w:tc>
          <w:tcPr>
            <w:tcW w:w="9104" w:type="dxa"/>
            <w:tcBorders/>
            <w:vAlign w:val="center"/>
          </w:tcPr>
          <w:p>
            <w:pPr>
              <w:pStyle w:val="TableContents"/>
              <w:bidi w:val="0"/>
              <w:spacing w:before="0" w:after="283"/>
              <w:ind w:left="0" w:right="0" w:firstLine="177"/>
              <w:jc w:val="left"/>
              <w:rPr>
                <w:sz w:val="4"/>
                <w:szCs w:val="4"/>
              </w:rPr>
            </w:pPr>
            <w:r>
              <w:rPr>
                <w:sz w:val="4"/>
                <w:szCs w:val="4"/>
              </w:rPr>
            </w:r>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101.CAL</w:t>
            </w:r>
          </w:p>
        </w:tc>
        <w:tc>
          <w:tcPr>
            <w:tcW w:w="323" w:type="dxa"/>
            <w:tcBorders/>
            <w:vAlign w:val="center"/>
          </w:tcPr>
          <w:p>
            <w:pPr>
              <w:pStyle w:val="TableContents"/>
              <w:bidi w:val="0"/>
              <w:spacing w:before="0" w:after="0"/>
              <w:ind w:left="0" w:right="0" w:hanging="0"/>
              <w:jc w:val="left"/>
              <w:rPr/>
            </w:pPr>
            <w:r>
              <w:rPr/>
              <w:t> </w:t>
            </w:r>
          </w:p>
        </w:tc>
        <w:tc>
          <w:tcPr>
            <w:tcW w:w="91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778" w:type="dxa"/>
            <w:tcBorders/>
            <w:vAlign w:val="center"/>
          </w:tcPr>
          <w:p>
            <w:pPr>
              <w:pStyle w:val="TableContents"/>
              <w:bidi w:val="0"/>
              <w:spacing w:before="0" w:after="0"/>
              <w:ind w:left="0" w:right="0" w:firstLine="177"/>
              <w:jc w:val="center"/>
              <w:rPr/>
            </w:pPr>
            <w:r>
              <w:rPr/>
              <w:t> </w:t>
            </w:r>
          </w:p>
        </w:tc>
        <w:tc>
          <w:tcPr>
            <w:tcW w:w="323" w:type="dxa"/>
            <w:tcBorders/>
            <w:vAlign w:val="center"/>
          </w:tcPr>
          <w:p>
            <w:pPr>
              <w:pStyle w:val="TableContents"/>
              <w:bidi w:val="0"/>
              <w:spacing w:before="0" w:after="0"/>
              <w:ind w:left="0" w:right="0" w:firstLine="177"/>
              <w:jc w:val="left"/>
              <w:rPr/>
            </w:pPr>
            <w:r>
              <w:rPr/>
              <w:t> </w:t>
            </w:r>
          </w:p>
        </w:tc>
        <w:tc>
          <w:tcPr>
            <w:tcW w:w="9104" w:type="dxa"/>
            <w:tcBorders/>
            <w:vAlign w:val="center"/>
          </w:tcPr>
          <w:p>
            <w:pPr>
              <w:pStyle w:val="TableContents"/>
              <w:bidi w:val="0"/>
              <w:spacing w:before="0" w:after="283"/>
              <w:ind w:left="0" w:right="0" w:firstLine="177"/>
              <w:jc w:val="left"/>
              <w:rPr>
                <w:sz w:val="4"/>
                <w:szCs w:val="4"/>
              </w:rPr>
            </w:pPr>
            <w:r>
              <w:rPr>
                <w:sz w:val="4"/>
                <w:szCs w:val="4"/>
              </w:rPr>
            </w:r>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101.DEF</w:t>
            </w:r>
          </w:p>
        </w:tc>
        <w:tc>
          <w:tcPr>
            <w:tcW w:w="323" w:type="dxa"/>
            <w:tcBorders/>
            <w:vAlign w:val="center"/>
          </w:tcPr>
          <w:p>
            <w:pPr>
              <w:pStyle w:val="TableContents"/>
              <w:bidi w:val="0"/>
              <w:spacing w:before="0" w:after="0"/>
              <w:ind w:left="0" w:right="0" w:hanging="0"/>
              <w:jc w:val="left"/>
              <w:rPr/>
            </w:pPr>
            <w:r>
              <w:rPr/>
              <w:t> </w:t>
            </w:r>
          </w:p>
        </w:tc>
        <w:tc>
          <w:tcPr>
            <w:tcW w:w="91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778" w:type="dxa"/>
            <w:tcBorders/>
            <w:vAlign w:val="center"/>
          </w:tcPr>
          <w:p>
            <w:pPr>
              <w:pStyle w:val="TableContents"/>
              <w:bidi w:val="0"/>
              <w:spacing w:before="0" w:after="0"/>
              <w:ind w:left="0" w:right="0" w:firstLine="177"/>
              <w:jc w:val="center"/>
              <w:rPr/>
            </w:pPr>
            <w:r>
              <w:rPr/>
              <w:t> </w:t>
            </w:r>
          </w:p>
        </w:tc>
        <w:tc>
          <w:tcPr>
            <w:tcW w:w="323" w:type="dxa"/>
            <w:tcBorders/>
            <w:vAlign w:val="center"/>
          </w:tcPr>
          <w:p>
            <w:pPr>
              <w:pStyle w:val="TableContents"/>
              <w:bidi w:val="0"/>
              <w:spacing w:before="0" w:after="0"/>
              <w:ind w:left="0" w:right="0" w:firstLine="177"/>
              <w:jc w:val="left"/>
              <w:rPr/>
            </w:pPr>
            <w:r>
              <w:rPr/>
              <w:t> </w:t>
            </w:r>
          </w:p>
        </w:tc>
        <w:tc>
          <w:tcPr>
            <w:tcW w:w="9104" w:type="dxa"/>
            <w:tcBorders/>
            <w:vAlign w:val="center"/>
          </w:tcPr>
          <w:p>
            <w:pPr>
              <w:pStyle w:val="TableContents"/>
              <w:bidi w:val="0"/>
              <w:spacing w:before="0" w:after="283"/>
              <w:ind w:left="0" w:right="0" w:firstLine="177"/>
              <w:jc w:val="left"/>
              <w:rPr>
                <w:sz w:val="4"/>
                <w:szCs w:val="4"/>
              </w:rPr>
            </w:pPr>
            <w:r>
              <w:rPr>
                <w:sz w:val="4"/>
                <w:szCs w:val="4"/>
              </w:rPr>
            </w:r>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101.LAB</w:t>
            </w:r>
          </w:p>
        </w:tc>
        <w:tc>
          <w:tcPr>
            <w:tcW w:w="323" w:type="dxa"/>
            <w:tcBorders/>
            <w:vAlign w:val="center"/>
          </w:tcPr>
          <w:p>
            <w:pPr>
              <w:pStyle w:val="TableContents"/>
              <w:bidi w:val="0"/>
              <w:spacing w:before="0" w:after="0"/>
              <w:ind w:left="0" w:right="0" w:hanging="0"/>
              <w:jc w:val="left"/>
              <w:rPr/>
            </w:pPr>
            <w:r>
              <w:rPr/>
              <w:t> </w:t>
            </w:r>
          </w:p>
        </w:tc>
        <w:tc>
          <w:tcPr>
            <w:tcW w:w="91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778" w:type="dxa"/>
            <w:tcBorders/>
            <w:vAlign w:val="center"/>
          </w:tcPr>
          <w:p>
            <w:pPr>
              <w:pStyle w:val="TableContents"/>
              <w:bidi w:val="0"/>
              <w:spacing w:before="0" w:after="0"/>
              <w:ind w:left="0" w:right="0" w:firstLine="177"/>
              <w:jc w:val="center"/>
              <w:rPr/>
            </w:pPr>
            <w:r>
              <w:rPr/>
              <w:t> </w:t>
            </w:r>
          </w:p>
        </w:tc>
        <w:tc>
          <w:tcPr>
            <w:tcW w:w="323" w:type="dxa"/>
            <w:tcBorders/>
            <w:vAlign w:val="center"/>
          </w:tcPr>
          <w:p>
            <w:pPr>
              <w:pStyle w:val="TableContents"/>
              <w:bidi w:val="0"/>
              <w:spacing w:before="0" w:after="0"/>
              <w:ind w:left="0" w:right="0" w:firstLine="177"/>
              <w:jc w:val="left"/>
              <w:rPr/>
            </w:pPr>
            <w:r>
              <w:rPr/>
              <w:t> </w:t>
            </w:r>
          </w:p>
        </w:tc>
        <w:tc>
          <w:tcPr>
            <w:tcW w:w="9104" w:type="dxa"/>
            <w:tcBorders/>
            <w:vAlign w:val="center"/>
          </w:tcPr>
          <w:p>
            <w:pPr>
              <w:pStyle w:val="TableContents"/>
              <w:bidi w:val="0"/>
              <w:spacing w:before="0" w:after="283"/>
              <w:ind w:left="0" w:right="0" w:firstLine="177"/>
              <w:jc w:val="left"/>
              <w:rPr>
                <w:sz w:val="4"/>
                <w:szCs w:val="4"/>
              </w:rPr>
            </w:pPr>
            <w:r>
              <w:rPr>
                <w:sz w:val="4"/>
                <w:szCs w:val="4"/>
              </w:rPr>
            </w:r>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101.PRE</w:t>
            </w:r>
          </w:p>
        </w:tc>
        <w:tc>
          <w:tcPr>
            <w:tcW w:w="323" w:type="dxa"/>
            <w:tcBorders/>
            <w:vAlign w:val="center"/>
          </w:tcPr>
          <w:p>
            <w:pPr>
              <w:pStyle w:val="TableContents"/>
              <w:bidi w:val="0"/>
              <w:spacing w:before="0" w:after="0"/>
              <w:ind w:left="0" w:right="0" w:hanging="0"/>
              <w:jc w:val="left"/>
              <w:rPr/>
            </w:pPr>
            <w:r>
              <w:rPr/>
              <w:t> </w:t>
            </w:r>
          </w:p>
        </w:tc>
        <w:tc>
          <w:tcPr>
            <w:tcW w:w="91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323" w:type="dxa"/>
            <w:tcBorders/>
            <w:vAlign w:val="center"/>
          </w:tcPr>
          <w:p>
            <w:pPr>
              <w:pStyle w:val="TableContents"/>
              <w:bidi w:val="0"/>
              <w:spacing w:before="0" w:after="0"/>
              <w:ind w:left="0" w:right="0" w:hanging="0"/>
              <w:jc w:val="left"/>
              <w:rPr/>
            </w:pPr>
            <w:r>
              <w:rPr/>
              <w:t> </w:t>
            </w:r>
          </w:p>
        </w:tc>
        <w:tc>
          <w:tcPr>
            <w:tcW w:w="9104" w:type="dxa"/>
            <w:tcBorders/>
            <w:vAlign w:val="center"/>
          </w:tcPr>
          <w:p>
            <w:pPr>
              <w:pStyle w:val="TableContents"/>
              <w:bidi w:val="0"/>
              <w:spacing w:before="0" w:after="283"/>
              <w:ind w:left="0" w:right="0" w:hanging="0"/>
              <w:jc w:val="left"/>
              <w:rPr>
                <w:sz w:val="4"/>
                <w:szCs w:val="4"/>
              </w:rPr>
            </w:pPr>
            <w:r>
              <w:rPr>
                <w:sz w:val="4"/>
                <w:szCs w:val="4"/>
              </w:rPr>
            </w:r>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104</w:t>
            </w:r>
          </w:p>
        </w:tc>
        <w:tc>
          <w:tcPr>
            <w:tcW w:w="323" w:type="dxa"/>
            <w:tcBorders/>
            <w:vAlign w:val="center"/>
          </w:tcPr>
          <w:p>
            <w:pPr>
              <w:pStyle w:val="TableContents"/>
              <w:bidi w:val="0"/>
              <w:spacing w:before="0" w:after="0"/>
              <w:ind w:left="0" w:right="0" w:hanging="0"/>
              <w:jc w:val="left"/>
              <w:rPr/>
            </w:pPr>
            <w:r>
              <w:rPr/>
              <w:t> </w:t>
            </w:r>
          </w:p>
        </w:tc>
        <w:tc>
          <w:tcPr>
            <w:tcW w:w="91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p>
            <w:pPr>
              <w:pStyle w:val="TableContents"/>
              <w:bidi w:val="0"/>
              <w:spacing w:before="0" w:after="0"/>
              <w:ind w:left="0" w:right="0" w:hanging="0"/>
              <w:jc w:val="left"/>
              <w:rPr/>
            </w:pPr>
            <w:r>
              <w:rPr/>
              <w:t> </w:t>
            </w:r>
          </w:p>
        </w:tc>
      </w:tr>
    </w:tbl>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Management contract or compensation plan or arrangement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Filed herewith</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Furnished herewith</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22" w:name="signatures"/>
      <w:bookmarkEnd w:id="22"/>
      <w:r>
        <w:rPr>
          <w:rFonts w:ascii="Times New Roman;serif" w:hAnsi="Times New Roman;serif"/>
          <w:b/>
          <w:sz w:val="20"/>
        </w:rPr>
        <w:t>Signatures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r>
        <w:rPr>
          <w:rFonts w:ascii="Times New Roman" w:hAnsi="Times New Roman"/>
          <w:sz w:val="20"/>
        </w:rPr>
        <w:t xml:space="preserve"> </w:t>
      </w:r>
    </w:p>
    <w:p>
      <w:pPr>
        <w:pStyle w:val="TextBody"/>
        <w:bidi w:val="0"/>
        <w:spacing w:before="0" w:after="0"/>
        <w:jc w:val="left"/>
        <w:rPr/>
      </w:pPr>
      <w:r>
        <w:rPr/>
        <w:t> </w:t>
      </w:r>
    </w:p>
    <w:tbl>
      <w:tblPr>
        <w:tblW w:w="6293" w:type="dxa"/>
        <w:jc w:val="left"/>
        <w:tblInd w:w="0" w:type="dxa"/>
        <w:tblLayout w:type="fixed"/>
        <w:tblCellMar>
          <w:top w:w="28" w:type="dxa"/>
          <w:left w:w="28" w:type="dxa"/>
          <w:bottom w:w="28" w:type="dxa"/>
          <w:right w:w="28" w:type="dxa"/>
        </w:tblCellMar>
      </w:tblPr>
      <w:tblGrid>
        <w:gridCol w:w="556"/>
        <w:gridCol w:w="1456"/>
        <w:gridCol w:w="109"/>
        <w:gridCol w:w="406"/>
        <w:gridCol w:w="376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456" w:type="dxa"/>
            <w:tcBorders/>
            <w:vAlign w:val="center"/>
          </w:tcPr>
          <w:p>
            <w:pPr>
              <w:pStyle w:val="TableContents"/>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August 10,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172"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AVITA MEDICAL, INC.</w:t>
            </w:r>
          </w:p>
        </w:tc>
      </w:tr>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45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before="0" w:after="283"/>
              <w:ind w:left="0" w:right="0" w:hanging="0"/>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James Corbett</w:t>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James Corbett</w:t>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and Chief Executive Officer</w:t>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r>
        <w:trPr/>
        <w:tc>
          <w:tcPr>
            <w:tcW w:w="55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before="0" w:after="283"/>
              <w:ind w:left="0" w:right="0" w:hanging="0"/>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David O'Toole</w:t>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David O'Toole</w:t>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3" w:name="rcel-ex10_3.htm"/>
      <w:bookmarkStart w:id="24" w:name="ksrcelex10_3"/>
      <w:bookmarkEnd w:id="23"/>
      <w:bookmarkEnd w:id="24"/>
      <w:r>
        <w:rPr>
          <w:rFonts w:ascii="Times New Roman;serif" w:hAnsi="Times New Roman;serif"/>
          <w:b/>
          <w:sz w:val="20"/>
        </w:rPr>
        <w:t>Exhibit 10.3</w:t>
      </w:r>
      <w:r>
        <w:br w:type="page"/>
      </w:r>
    </w:p>
    <w:p>
      <w:pPr>
        <w:pStyle w:val="TextBody"/>
        <w:bidi w:val="0"/>
        <w:spacing w:before="200" w:after="0"/>
        <w:jc w:val="center"/>
        <w:rPr>
          <w:rFonts w:ascii="Times New Roman;serif" w:hAnsi="Times New Roman;serif"/>
          <w:b/>
          <w:sz w:val="20"/>
        </w:rPr>
      </w:pPr>
      <w:r>
        <w:rPr>
          <w:rFonts w:ascii="Times New Roman;serif" w:hAnsi="Times New Roman;serif"/>
          <w:b/>
          <w:sz w:val="20"/>
        </w:rPr>
        <w:t>EXECUTIVE EMPLOYMENT AGREEMENT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This EXECUTIVE EMPLOYMENT AGREEMENT (the “Agreement”) is made and entered into by and between AVITA Medical, Inc. and AVITA Medical Americas, LLC. (collectively, the “Company”) and David O’Toole, an individual (the “Executive”) with reference to the following:</w:t>
      </w:r>
    </w:p>
    <w:p>
      <w:pPr>
        <w:pStyle w:val="TextBody"/>
        <w:bidi w:val="0"/>
        <w:spacing w:before="200" w:after="0"/>
        <w:jc w:val="center"/>
        <w:rPr>
          <w:rFonts w:ascii="Times New Roman;serif" w:hAnsi="Times New Roman;serif"/>
          <w:b/>
          <w:sz w:val="20"/>
        </w:rPr>
      </w:pPr>
      <w:r>
        <w:rPr>
          <w:rFonts w:ascii="Times New Roman;serif" w:hAnsi="Times New Roman;serif"/>
          <w:b/>
          <w:sz w:val="20"/>
        </w:rPr>
        <w:t>RECITALS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WHEREAS, the Company desires to employ Executive to serve as the Chief Financial Officer of the Company;</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WHEREAS, the Executive is willing to serve in the role of Chief Financial Officer of the Company and provide services to the Company and its subsidiaries and affiliates under the terms and conditions stated herein,</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WHEREAS, the Executive would serve as Chief Financial Officer of the Company, effective as of June 15, 2023 (the “Effective Date”),</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NOW, THEREFORE, in consideration of the mutual covenants and promises contained herein, and intending to be legally bound, it is hereby agreed by and between the parties hereto as follows:</w:t>
      </w:r>
    </w:p>
    <w:p>
      <w:pPr>
        <w:pStyle w:val="TextBody"/>
        <w:bidi w:val="0"/>
        <w:spacing w:before="0" w:after="0"/>
        <w:jc w:val="both"/>
        <w:rPr/>
      </w:pPr>
      <w:r>
        <w:rPr/>
        <w:t> </w:t>
      </w:r>
    </w:p>
    <w:p>
      <w:pPr>
        <w:pStyle w:val="TextBody"/>
        <w:bidi w:val="0"/>
        <w:spacing w:before="0" w:after="0"/>
        <w:jc w:val="left"/>
        <w:rPr>
          <w:rFonts w:ascii="Times New Roman" w:hAnsi="Times New Roman"/>
          <w:b/>
          <w:sz w:val="20"/>
        </w:rPr>
      </w:pPr>
      <w:r>
        <w:rPr>
          <w:rFonts w:ascii="Times New Roman" w:hAnsi="Times New Roman"/>
          <w:b/>
          <w:sz w:val="20"/>
        </w:rPr>
        <w:t>1.</w:t>
      </w:r>
    </w:p>
    <w:p>
      <w:pPr>
        <w:pStyle w:val="TextBody"/>
        <w:bidi w:val="0"/>
        <w:jc w:val="left"/>
        <w:rPr>
          <w:rFonts w:ascii="Times New Roman;serif" w:hAnsi="Times New Roman;serif"/>
          <w:b/>
          <w:sz w:val="20"/>
        </w:rPr>
      </w:pPr>
      <w:r>
        <w:rPr>
          <w:rFonts w:ascii="Times New Roman;serif" w:hAnsi="Times New Roman;serif"/>
          <w:b/>
          <w:sz w:val="20"/>
        </w:rPr>
        <w:t>Employment and Duties</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1.1</w:t>
      </w:r>
    </w:p>
    <w:p>
      <w:pPr>
        <w:pStyle w:val="TextBody"/>
        <w:bidi w:val="0"/>
        <w:jc w:val="left"/>
        <w:rPr/>
      </w:pPr>
      <w:r>
        <w:rPr>
          <w:rFonts w:ascii="Times New Roman;serif" w:hAnsi="Times New Roman;serif"/>
          <w:b w:val="false"/>
          <w:sz w:val="20"/>
          <w:u w:val="single"/>
        </w:rPr>
        <w:t>Employment</w:t>
      </w:r>
      <w:r>
        <w:rPr>
          <w:rFonts w:ascii="Times New Roman;serif" w:hAnsi="Times New Roman;serif"/>
          <w:b w:val="false"/>
          <w:sz w:val="20"/>
        </w:rPr>
        <w:t>. The Company hereby employs the Executive as the Chief Financial Officer of the Company and the Executive hereby accepts such employment as of the Effective Date pursuant to the terms and conditions set forth herein. The Executive will perform policy- making functions in his role and will be deemed to be an officer under Section 16 of the Securities Exchange Act of 1934. The Executive shall report directly to the Chief Executive Officer (“CEO”).</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1.2</w:t>
      </w:r>
    </w:p>
    <w:p>
      <w:pPr>
        <w:pStyle w:val="TextBody"/>
        <w:bidi w:val="0"/>
        <w:jc w:val="left"/>
        <w:rPr/>
      </w:pPr>
      <w:r>
        <w:rPr>
          <w:rFonts w:ascii="Times New Roman;serif" w:hAnsi="Times New Roman;serif"/>
          <w:b w:val="false"/>
          <w:sz w:val="20"/>
          <w:u w:val="single"/>
        </w:rPr>
        <w:t>Duties</w:t>
      </w:r>
      <w:r>
        <w:rPr>
          <w:rFonts w:ascii="Times New Roman;serif" w:hAnsi="Times New Roman;serif"/>
          <w:b w:val="false"/>
          <w:sz w:val="20"/>
        </w:rPr>
        <w:t>. The Executive shall perform, to the best of his ability and in a manner satisfactory to the CEO, all such duties that are consistent with Executive’s title and position, and such other duties as may reasonably be assigned to him by the CEO. The Executive’s duties will be conducted principally from the Company’s North America office, currently located in Valencia, California, or at such other location as determined by the CEO (but subject to the terms of this Agreement), with travel to such other locations from time to time as reasonably required.</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1.3</w:t>
      </w:r>
    </w:p>
    <w:p>
      <w:pPr>
        <w:pStyle w:val="TextBody"/>
        <w:bidi w:val="0"/>
        <w:jc w:val="left"/>
        <w:rPr/>
      </w:pPr>
      <w:r>
        <w:rPr>
          <w:rFonts w:ascii="Times New Roman;serif" w:hAnsi="Times New Roman;serif"/>
          <w:b w:val="false"/>
          <w:sz w:val="20"/>
          <w:u w:val="single"/>
        </w:rPr>
        <w:t>Time and Efforts</w:t>
      </w:r>
      <w:r>
        <w:rPr>
          <w:rFonts w:ascii="Times New Roman;serif" w:hAnsi="Times New Roman;serif"/>
          <w:b w:val="false"/>
          <w:sz w:val="20"/>
        </w:rPr>
        <w:t>. The Executive shall devote his full business time and provide his best efforts, attention, and energies to the business of the Company, and its subsidiaries and affiliates, and to the performance of Executive’s duties hereunder, and Executive shall not engage in any other business, profession or occupation for compensation or otherwise during the employment period without the prior written consent of the Board of Directors (the “Board”); provided that, nothing herein shall preclude Executive from serving in any capacity with any civic, educational, or charitable organization, and provided, further that, in each case, and in the aggregate, such services do not materially conflict or interfere with Executive’s obligations to the Company, and its subsidiaries and affiliates hereunder and such service is disclosed in advance by Executive to the Board.</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Executive further acknowledges that he owes the Company both a fiduciary duty and a duty of loyalty while employed during the employment period to act at all times in the best interests of the Company, and its subsidiaries and affiliates.</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2.</w:t>
      </w:r>
    </w:p>
    <w:p>
      <w:pPr>
        <w:pStyle w:val="TextBody"/>
        <w:bidi w:val="0"/>
        <w:jc w:val="left"/>
        <w:rPr>
          <w:rFonts w:ascii="Times New Roman;serif" w:hAnsi="Times New Roman;serif"/>
          <w:b/>
          <w:sz w:val="20"/>
        </w:rPr>
      </w:pPr>
      <w:r>
        <w:rPr>
          <w:rFonts w:ascii="Times New Roman;serif" w:hAnsi="Times New Roman;serif"/>
          <w:b/>
          <w:sz w:val="20"/>
        </w:rPr>
        <w:t>Compensation</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As the total consideration for the Executive’s services rendered hereunder, Executive shall be entitled to the following:</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2.1</w:t>
      </w:r>
    </w:p>
    <w:p>
      <w:pPr>
        <w:pStyle w:val="TextBody"/>
        <w:bidi w:val="0"/>
        <w:jc w:val="left"/>
        <w:rPr/>
      </w:pPr>
      <w:r>
        <w:rPr>
          <w:rFonts w:ascii="Times New Roman;serif" w:hAnsi="Times New Roman;serif"/>
          <w:b w:val="false"/>
          <w:sz w:val="20"/>
          <w:u w:val="single"/>
        </w:rPr>
        <w:t>Base Salary</w:t>
      </w:r>
      <w:r>
        <w:rPr>
          <w:rFonts w:ascii="Times New Roman;serif" w:hAnsi="Times New Roman;serif"/>
          <w:b w:val="false"/>
          <w:sz w:val="20"/>
        </w:rPr>
        <w:t>. The Executive shall be paid an annual base salary of Four Hundred Fifty Thousand Dollars ($450,000.00) per year (“Base Salary”), subject to applicable tax deductions and withholdings, beginning on the Effective Date of the Agreement and payable in regular installments in accordance with the customary payroll practices of the Company. The Executive’s salary will be subject to annual review by the Board and may be increased in the sole discretion of the Board.</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val="false"/>
          <w:sz w:val="20"/>
        </w:rPr>
      </w:pPr>
      <w:r>
        <w:rPr>
          <w:rFonts w:ascii="Times New Roman" w:hAnsi="Times New Roman"/>
          <w:b w:val="false"/>
          <w:sz w:val="20"/>
        </w:rPr>
        <w:t>2.2</w:t>
      </w:r>
    </w:p>
    <w:p>
      <w:pPr>
        <w:pStyle w:val="TextBody"/>
        <w:bidi w:val="0"/>
        <w:jc w:val="left"/>
        <w:rPr/>
      </w:pPr>
      <w:r>
        <w:rPr>
          <w:rFonts w:ascii="Times New Roman;serif" w:hAnsi="Times New Roman;serif"/>
          <w:b w:val="false"/>
          <w:sz w:val="20"/>
          <w:u w:val="single"/>
        </w:rPr>
        <w:t>Bonus</w:t>
      </w:r>
      <w:r>
        <w:rPr>
          <w:rFonts w:ascii="Times New Roman;serif" w:hAnsi="Times New Roman;serif"/>
          <w:b w:val="false"/>
          <w:sz w:val="20"/>
        </w:rPr>
        <w:t>.</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sz w:val="20"/>
          <w:u w:val="single"/>
        </w:rPr>
        <w:t>Annual Performance Bonus</w:t>
      </w:r>
      <w:r>
        <w:rPr>
          <w:rFonts w:ascii="Times New Roman;serif" w:hAnsi="Times New Roman;serif"/>
          <w:b w:val="false"/>
          <w:sz w:val="20"/>
        </w:rPr>
        <w:t>. In addition to Base Salary, the Executive shall be eligible to receive an annual performance bonus (“Annual Bonus”) based upon the Company’s performance and Executive’s performance for the preceding year as measured against certain performance targets as mutually established by the parties to this Agreement as determined by the Board and CEO. The Annual Bonus, if earned, shall be paid on or around the March timeframe of the following year. The amount of the Annual Bonus shall be forty percent (40%) of Executive’s Base Salary (“Target Bonus”). For 2023, Executive will be eligible to receive an Annual Bonus of up to forty percent (40%) of the pro-rata share of the Base Salary (excluding any other bonus or compensation) Executive earned in 2023. At the sole discretion of the Board, Executive may be entitled to an additional amount of up to fifty percent (50%) of the Target Bonus based upon performance. For the Annual Bonus to be deemed earned, and in order to be eligible and entitled to receive any Annual Bonus payment, the Executive must be employed by, and not have given notice of resignation to the Company, or have been given notice of termination by the Company at the time the Annual Bonus is determined and paid to Executive.</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2.3</w:t>
      </w:r>
    </w:p>
    <w:p>
      <w:pPr>
        <w:pStyle w:val="TextBody"/>
        <w:bidi w:val="0"/>
        <w:jc w:val="left"/>
        <w:rPr/>
      </w:pPr>
      <w:r>
        <w:rPr>
          <w:rFonts w:ascii="Times New Roman;serif" w:hAnsi="Times New Roman;serif"/>
          <w:b w:val="false"/>
          <w:sz w:val="20"/>
          <w:u w:val="single"/>
        </w:rPr>
        <w:t>Equity</w:t>
      </w:r>
      <w:r>
        <w:rPr>
          <w:rFonts w:ascii="Times New Roman;serif" w:hAnsi="Times New Roman;serif"/>
          <w:b w:val="false"/>
          <w:sz w:val="20"/>
        </w:rPr>
        <w:t>. Subject to approval of the Company’s Board, Executive shall be eligible for 150,000 options which will vest as follows:</w:t>
      </w:r>
    </w:p>
    <w:p>
      <w:pPr>
        <w:pStyle w:val="TextBody"/>
        <w:bidi w:val="0"/>
        <w:spacing w:before="0" w:after="0"/>
        <w:jc w:val="left"/>
        <w:rPr/>
      </w:pPr>
      <w:r>
        <w:rPr/>
        <w:t> </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150,000 options will vest based on Executive’s continued employment with the Company at a rate of 50,000 per year for three (3) years, commencing with the first 50,000 option installment, which will vest upon the completion of Executive’s first year of service.</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Any such equity grants shall be subject to the terms of a Share Option Agreement and the governing equity plan which will be provided to the Executive within thirty (30) days of his Effective Date. In addition, Executive shall be eligible for the annual equity grants under the Amendment to the 2020 Omnibus Incentive Plan. For avoidance of doubt, such option terms shall provide that Executive is entitled to immediate acceleration of Executive’s stock options so that 100% of any then unvested stock options shall immediately vest and become exercisable upon a Change in Control.</w:t>
      </w:r>
    </w:p>
    <w:p>
      <w:pPr>
        <w:pStyle w:val="TextBody"/>
        <w:bidi w:val="0"/>
        <w:spacing w:before="0" w:after="0"/>
        <w:jc w:val="left"/>
        <w:rPr/>
      </w:pPr>
      <w:r>
        <w:rPr/>
        <w:t> </w:t>
      </w:r>
    </w:p>
    <w:p>
      <w:pPr>
        <w:pStyle w:val="TextBody"/>
        <w:bidi w:val="0"/>
        <w:spacing w:before="0" w:after="0"/>
        <w:jc w:val="left"/>
        <w:rPr/>
      </w:pPr>
      <w:r>
        <w:rPr/>
        <w:t>•</w:t>
      </w:r>
    </w:p>
    <w:p>
      <w:pPr>
        <w:pStyle w:val="TextBody"/>
        <w:bidi w:val="0"/>
        <w:jc w:val="left"/>
        <w:rPr/>
      </w:pPr>
      <w:r>
        <w:rPr>
          <w:rFonts w:ascii="Times New Roman;serif" w:hAnsi="Times New Roman;serif"/>
          <w:b w:val="false"/>
          <w:sz w:val="20"/>
          <w:u w:val="single"/>
        </w:rPr>
        <w:t>Business Expenses</w:t>
      </w:r>
      <w:r>
        <w:rPr>
          <w:rFonts w:ascii="Times New Roman;serif" w:hAnsi="Times New Roman;serif"/>
          <w:b w:val="false"/>
          <w:sz w:val="20"/>
        </w:rPr>
        <w:t>. During employment, the Executive is entitled to reimbursement for reasonable and necessary business expenses incurred by Executive in connection with the performance of Executive’s duties, subject to proper documentation and approval as required pursuant to the applicable Company expense reimbursement policies.</w:t>
      </w:r>
    </w:p>
    <w:p>
      <w:pPr>
        <w:pStyle w:val="TextBody"/>
        <w:bidi w:val="0"/>
        <w:spacing w:before="0" w:after="0"/>
        <w:jc w:val="left"/>
        <w:rPr/>
      </w:pPr>
      <w:r>
        <w:rPr/>
        <w:t> </w:t>
      </w:r>
    </w:p>
    <w:p>
      <w:pPr>
        <w:pStyle w:val="TextBody"/>
        <w:bidi w:val="0"/>
        <w:spacing w:before="0" w:after="0"/>
        <w:jc w:val="left"/>
        <w:rPr/>
      </w:pPr>
      <w:r>
        <w:rPr/>
        <w:t>•</w:t>
      </w:r>
    </w:p>
    <w:p>
      <w:pPr>
        <w:pStyle w:val="TextBody"/>
        <w:bidi w:val="0"/>
        <w:jc w:val="left"/>
        <w:rPr/>
      </w:pPr>
      <w:r>
        <w:rPr>
          <w:rFonts w:ascii="Times New Roman;serif" w:hAnsi="Times New Roman;serif"/>
          <w:b w:val="false"/>
          <w:sz w:val="20"/>
          <w:u w:val="single"/>
        </w:rPr>
        <w:t>Fringe Benefits</w:t>
      </w:r>
      <w:r>
        <w:rPr>
          <w:rFonts w:ascii="Times New Roman;serif" w:hAnsi="Times New Roman;serif"/>
          <w:b w:val="false"/>
          <w:sz w:val="20"/>
        </w:rPr>
        <w:t>. The Executive shall be entitled to fringe benefits in accordance with the plans, practices, programs and policies applicable to other peer executives of the Company.</w:t>
      </w:r>
    </w:p>
    <w:p>
      <w:pPr>
        <w:pStyle w:val="TextBody"/>
        <w:bidi w:val="0"/>
        <w:spacing w:before="0" w:after="0"/>
        <w:jc w:val="left"/>
        <w:rPr/>
      </w:pPr>
      <w:r>
        <w:rPr/>
        <w:t> </w:t>
      </w:r>
    </w:p>
    <w:p>
      <w:pPr>
        <w:pStyle w:val="TextBody"/>
        <w:bidi w:val="0"/>
        <w:spacing w:before="0" w:after="0"/>
        <w:jc w:val="left"/>
        <w:rPr/>
      </w:pPr>
      <w:r>
        <w:rPr/>
        <w:t>•</w:t>
      </w:r>
    </w:p>
    <w:p>
      <w:pPr>
        <w:pStyle w:val="TextBody"/>
        <w:bidi w:val="0"/>
        <w:jc w:val="left"/>
        <w:rPr/>
      </w:pPr>
      <w:r>
        <w:rPr>
          <w:rFonts w:ascii="Times New Roman;serif" w:hAnsi="Times New Roman;serif"/>
          <w:b w:val="false"/>
          <w:sz w:val="20"/>
          <w:u w:val="single"/>
        </w:rPr>
        <w:t>Vacation</w:t>
      </w:r>
      <w:r>
        <w:rPr>
          <w:rFonts w:ascii="Times New Roman;serif" w:hAnsi="Times New Roman;serif"/>
          <w:b w:val="false"/>
          <w:sz w:val="20"/>
        </w:rPr>
        <w:t>. The Executive shall be entitled each year to a vacation, during which time his compensation shall be paid in full. The time allotted for such vacation shall be four (4) weeks per year. Executive can accrue up to six (6) weeks of vacation time, at which point no additional vacation may accrue beyond the six (6) weeks until a portion thereof is used. Any accrued vacation will roll over into the following calendar year and will not be forfeited. The Executive agrees to schedule planned vacation to be taken at a time mutually convenient to the Executive, CEO, and the Company.</w:t>
      </w:r>
    </w:p>
    <w:p>
      <w:pPr>
        <w:pStyle w:val="TextBody"/>
        <w:bidi w:val="0"/>
        <w:spacing w:before="0" w:after="0"/>
        <w:jc w:val="left"/>
        <w:rPr/>
      </w:pPr>
      <w:r>
        <w:rPr/>
        <w:t> </w:t>
      </w:r>
    </w:p>
    <w:p>
      <w:pPr>
        <w:pStyle w:val="TextBody"/>
        <w:bidi w:val="0"/>
        <w:spacing w:before="0" w:after="0"/>
        <w:jc w:val="left"/>
        <w:rPr/>
      </w:pPr>
      <w:r>
        <w:rPr/>
        <w:t>•</w:t>
      </w:r>
    </w:p>
    <w:p>
      <w:pPr>
        <w:pStyle w:val="TextBody"/>
        <w:bidi w:val="0"/>
        <w:jc w:val="left"/>
        <w:rPr/>
      </w:pPr>
      <w:r>
        <w:rPr>
          <w:rFonts w:ascii="Times New Roman;serif" w:hAnsi="Times New Roman;serif"/>
          <w:b w:val="false"/>
          <w:sz w:val="20"/>
          <w:u w:val="single"/>
        </w:rPr>
        <w:t>Health Insurance and Benefits</w:t>
      </w:r>
      <w:r>
        <w:rPr>
          <w:rFonts w:ascii="Times New Roman;serif" w:hAnsi="Times New Roman;serif"/>
          <w:b w:val="false"/>
          <w:sz w:val="20"/>
        </w:rPr>
        <w:t>. The Executive shall be eligible to participate in the Company’s health, dental and vision plans, as well as the Company’s 401k program and non- qualified deferred compensation plan, pursuant to the terms of these plans and programs.</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3.</w:t>
      </w:r>
    </w:p>
    <w:p>
      <w:pPr>
        <w:pStyle w:val="TextBody"/>
        <w:bidi w:val="0"/>
        <w:jc w:val="left"/>
        <w:rPr>
          <w:rFonts w:ascii="Times New Roman;serif" w:hAnsi="Times New Roman;serif"/>
          <w:b/>
          <w:sz w:val="20"/>
        </w:rPr>
      </w:pPr>
      <w:r>
        <w:rPr>
          <w:rFonts w:ascii="Times New Roman;serif" w:hAnsi="Times New Roman;serif"/>
          <w:b/>
          <w:sz w:val="20"/>
        </w:rPr>
        <w:t>Term and Termination of Employment</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3.1</w:t>
      </w:r>
    </w:p>
    <w:p>
      <w:pPr>
        <w:pStyle w:val="TextBody"/>
        <w:bidi w:val="0"/>
        <w:jc w:val="left"/>
        <w:rPr/>
      </w:pPr>
      <w:r>
        <w:rPr>
          <w:rFonts w:ascii="Times New Roman;serif" w:hAnsi="Times New Roman;serif"/>
          <w:b w:val="false"/>
          <w:sz w:val="20"/>
          <w:u w:val="single"/>
        </w:rPr>
        <w:t>At-Will Employment</w:t>
      </w:r>
      <w:r>
        <w:rPr>
          <w:rFonts w:ascii="Times New Roman;serif" w:hAnsi="Times New Roman;serif"/>
          <w:b w:val="false"/>
          <w:sz w:val="20"/>
        </w:rPr>
        <w:t>. The Company and the Executive hereby agree that the Executive’s employment by the Company shall be “at-will” and for an indefinite period of time. Subject to the provisions of this Section, both the Executive and the Company shall have the right to terminate this Agreement and the employment relationship at any time and for any reason, with or without Cause, with or without Good Reason, and with or without advance notice.</w:t>
      </w:r>
    </w:p>
    <w:p>
      <w:pPr>
        <w:pStyle w:val="TextBody"/>
        <w:bidi w:val="0"/>
        <w:spacing w:before="0" w:after="0"/>
        <w:jc w:val="left"/>
        <w:rPr/>
      </w:pPr>
      <w:r>
        <w:rPr/>
        <w:t>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val="false"/>
          <w:sz w:val="20"/>
        </w:rPr>
      </w:pPr>
      <w:r>
        <w:rPr>
          <w:rFonts w:ascii="Times New Roman" w:hAnsi="Times New Roman"/>
          <w:b w:val="false"/>
          <w:sz w:val="20"/>
        </w:rPr>
        <w:t>3.2</w:t>
      </w:r>
    </w:p>
    <w:p>
      <w:pPr>
        <w:pStyle w:val="TextBody"/>
        <w:bidi w:val="0"/>
        <w:jc w:val="left"/>
        <w:rPr/>
      </w:pPr>
      <w:r>
        <w:rPr>
          <w:rFonts w:ascii="Times New Roman;serif" w:hAnsi="Times New Roman;serif"/>
          <w:b w:val="false"/>
          <w:sz w:val="20"/>
          <w:u w:val="single"/>
        </w:rPr>
        <w:t>Definitions</w:t>
      </w:r>
      <w:r>
        <w:rPr>
          <w:rFonts w:ascii="Times New Roman;serif" w:hAnsi="Times New Roman;serif"/>
          <w:b w:val="false"/>
          <w:sz w:val="20"/>
        </w:rPr>
        <w:t>.</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(a)</w:t>
      </w:r>
    </w:p>
    <w:p>
      <w:pPr>
        <w:pStyle w:val="TextBody"/>
        <w:bidi w:val="0"/>
        <w:jc w:val="left"/>
        <w:rPr/>
      </w:pPr>
      <w:r>
        <w:rPr>
          <w:rFonts w:ascii="Times New Roman;serif" w:hAnsi="Times New Roman;serif"/>
          <w:b/>
          <w:sz w:val="20"/>
        </w:rPr>
        <w:t>Cause</w:t>
      </w:r>
      <w:r>
        <w:rPr>
          <w:rFonts w:ascii="Times New Roman;serif" w:hAnsi="Times New Roman;serif"/>
          <w:b w:val="false"/>
          <w:sz w:val="20"/>
        </w:rPr>
        <w:t>. For purposes of this Agreement, “Cause” shall mean the occurrence of one or more of the following: (i) conviction of, or a plea of guilty or nolo contendere to, a felony or crime involving moral turpitude; (ii) participation in an act of fraud or theft against the Company; (iii) willful and material breach of any contractual, statutory, fiduciary, or common law duty owed to the Company including without limitation Section 4.1 of this Agreement; (iv) willful and repeated failure to satisfactorily perform job duties; or (v) any willful act that is likely to and which does in fact have the effect of injuring the reputation, business, or a business relationship of the Company.</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(b)</w:t>
      </w:r>
    </w:p>
    <w:p>
      <w:pPr>
        <w:pStyle w:val="TextBody"/>
        <w:bidi w:val="0"/>
        <w:jc w:val="left"/>
        <w:rPr/>
      </w:pPr>
      <w:r>
        <w:rPr>
          <w:rFonts w:ascii="Times New Roman;serif" w:hAnsi="Times New Roman;serif"/>
          <w:b/>
          <w:sz w:val="20"/>
        </w:rPr>
        <w:t>Good Reason</w:t>
      </w:r>
      <w:r>
        <w:rPr>
          <w:rFonts w:ascii="Times New Roman;serif" w:hAnsi="Times New Roman;serif"/>
          <w:b w:val="false"/>
          <w:sz w:val="20"/>
        </w:rPr>
        <w:t>. For purposes of this Agreement, “Good Reason” shall mean: (i) a material diminution in Executive’s authority, duties, or responsibilities in effect at the time of this Agreement; (ii) any reduction in the Executive’s then-current base salary; (iii) relocation of Executive’s principal place of work by a distance of fifty (50) miles or more from the Executive’s then-current principal place of work without the Executive’s consent; (iv) material breach by the Company of any provision of this Agreement; or (v) the occurrence of a Change in Control of the Company as defined in Section 3.2(c) below, provided, however, that the conduct described in the foregoing subsections (i) through (iv) will only constitute Good Reason if such conduct is not cured within thirty (30) days after the Company’s receipt of written notice from the Executive specifying the particulars of the conduct the Executive believes constitutes Good Reason and such notice shall be given within thirty (30) days of the occurrence of such event or conduct.</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(c)</w:t>
      </w:r>
    </w:p>
    <w:p>
      <w:pPr>
        <w:pStyle w:val="TextBody"/>
        <w:bidi w:val="0"/>
        <w:jc w:val="left"/>
        <w:rPr/>
      </w:pPr>
      <w:r>
        <w:rPr>
          <w:rFonts w:ascii="Times New Roman;serif" w:hAnsi="Times New Roman;serif"/>
          <w:b/>
          <w:sz w:val="20"/>
        </w:rPr>
        <w:t>Change in Control</w:t>
      </w:r>
      <w:r>
        <w:rPr>
          <w:rFonts w:ascii="Times New Roman;serif" w:hAnsi="Times New Roman;serif"/>
          <w:b w:val="false"/>
          <w:sz w:val="20"/>
        </w:rPr>
        <w:t>. For purposes of this Agreement, “Change in Control” shall mean any of the following events occurring after the date of this Agreement: (i) a sale or transfer of all or substantially all of the assets of the Company; (ii) any merger, consolidation or acquisition of the Company with, by or into another corporation, entity or person; (iii) any change in ownership of more than fifty percent (50%) of the voting capital stock of Company in one or more related transactions such as a buy out or exit of the Company (but excluding any change in stock listing).</w:t>
      </w:r>
    </w:p>
    <w:p>
      <w:pPr>
        <w:pStyle w:val="TextBody"/>
        <w:bidi w:val="0"/>
        <w:spacing w:before="0" w:after="0"/>
        <w:jc w:val="left"/>
        <w:rPr/>
      </w:pPr>
      <w:r>
        <w:rPr/>
        <w:t> </w:t>
      </w:r>
    </w:p>
    <w:p>
      <w:pPr>
        <w:pStyle w:val="TextBody"/>
        <w:bidi w:val="0"/>
        <w:spacing w:before="0" w:after="0"/>
        <w:jc w:val="left"/>
        <w:rPr/>
      </w:pPr>
      <w:r>
        <w:rPr/>
        <w:t>•</w:t>
      </w:r>
    </w:p>
    <w:p>
      <w:pPr>
        <w:pStyle w:val="TextBody"/>
        <w:bidi w:val="0"/>
        <w:jc w:val="left"/>
        <w:rPr/>
      </w:pPr>
      <w:r>
        <w:rPr>
          <w:rFonts w:ascii="Times New Roman;serif" w:hAnsi="Times New Roman;serif"/>
          <w:b w:val="false"/>
          <w:sz w:val="20"/>
          <w:u w:val="single"/>
        </w:rPr>
        <w:t>Termination</w:t>
      </w:r>
      <w:r>
        <w:rPr>
          <w:rFonts w:ascii="Times New Roman;serif" w:hAnsi="Times New Roman;serif"/>
          <w:b w:val="false"/>
          <w:sz w:val="20"/>
        </w:rPr>
        <w:t>.</w:t>
      </w:r>
    </w:p>
    <w:p>
      <w:pPr>
        <w:pStyle w:val="TextBody"/>
        <w:bidi w:val="0"/>
        <w:spacing w:before="0" w:after="0"/>
        <w:jc w:val="left"/>
        <w:rPr/>
      </w:pPr>
      <w:r>
        <w:rPr/>
        <w:t> </w:t>
      </w:r>
    </w:p>
    <w:p>
      <w:pPr>
        <w:pStyle w:val="TextBody"/>
        <w:bidi w:val="0"/>
        <w:spacing w:before="61" w:after="0"/>
        <w:jc w:val="left"/>
        <w:rPr>
          <w:rFonts w:ascii="Times New Roman" w:hAnsi="Times New Roman"/>
          <w:b w:val="false"/>
          <w:sz w:val="20"/>
        </w:rPr>
      </w:pPr>
      <w:r>
        <w:rPr>
          <w:rFonts w:ascii="Times New Roman" w:hAnsi="Times New Roman"/>
          <w:b w:val="false"/>
          <w:sz w:val="20"/>
        </w:rPr>
        <w:t>(a)</w:t>
      </w:r>
    </w:p>
    <w:p>
      <w:pPr>
        <w:pStyle w:val="TextBody"/>
        <w:bidi w:val="0"/>
        <w:spacing w:before="61" w:after="283"/>
        <w:jc w:val="left"/>
        <w:rPr/>
      </w:pPr>
      <w:r>
        <w:rPr>
          <w:rFonts w:ascii="Times New Roman;serif" w:hAnsi="Times New Roman;serif"/>
          <w:b/>
          <w:sz w:val="20"/>
        </w:rPr>
        <w:t>Termination for Cause or Resignation without Good Reason</w:t>
      </w:r>
      <w:r>
        <w:rPr>
          <w:rFonts w:ascii="Times New Roman;serif" w:hAnsi="Times New Roman;serif"/>
          <w:b w:val="false"/>
          <w:sz w:val="20"/>
        </w:rPr>
        <w:t>. In the event that the Company terminates the Executive’s employment for Cause or the Executive resigns his employment without Good Reason, this Agreement will terminate without further obligations to Executive other than the following: Executive shall be entitled to receive his unpaid base salary earned through his last day of employment, accrued but unused vacation pay, and vested benefits through and including Executive’s last day of employment.</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(b)</w:t>
      </w:r>
    </w:p>
    <w:p>
      <w:pPr>
        <w:pStyle w:val="TextBody"/>
        <w:bidi w:val="0"/>
        <w:jc w:val="left"/>
        <w:rPr/>
      </w:pPr>
      <w:r>
        <w:rPr>
          <w:rFonts w:ascii="Times New Roman;serif" w:hAnsi="Times New Roman;serif"/>
          <w:b/>
          <w:sz w:val="20"/>
        </w:rPr>
        <w:t>Involuntary Termination Without Cause or Resignation With Good Reason</w:t>
      </w:r>
      <w:r>
        <w:rPr>
          <w:rFonts w:ascii="Times New Roman;serif" w:hAnsi="Times New Roman;serif"/>
          <w:b w:val="false"/>
          <w:sz w:val="20"/>
        </w:rPr>
        <w:t>. In the event of either an involuntary termination of the Executive’s employment Without Cause or a voluntary resignation by the Executive for Good Reason, in exchange for the Executive signing a separation and release of all claims agreement in a form acceptable to the Company, the Company shall provide the Executive with the following severance benefits in accordance with the timing set forth in Section 3.3(b)(v) below:</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(i)</w:t>
      </w:r>
    </w:p>
    <w:p>
      <w:pPr>
        <w:pStyle w:val="TextBody"/>
        <w:bidi w:val="0"/>
        <w:jc w:val="left"/>
        <w:rPr/>
      </w:pPr>
      <w:r>
        <w:rPr>
          <w:rFonts w:ascii="Times New Roman;serif" w:hAnsi="Times New Roman;serif"/>
          <w:b w:val="false"/>
          <w:sz w:val="20"/>
          <w:u w:val="single"/>
        </w:rPr>
        <w:t>Base Salary</w:t>
      </w:r>
      <w:r>
        <w:rPr>
          <w:rFonts w:ascii="Times New Roman;serif" w:hAnsi="Times New Roman;serif"/>
          <w:b w:val="false"/>
          <w:sz w:val="20"/>
        </w:rPr>
        <w:t>: The Company shall pay the Executive the equivalent of twelve (12) months of the Executive’s annual base salary in effect at the time of the termination Without Cause or resignation with Good Reason in one lump sum payment, less standard deductions and withholdings.</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(ii)</w:t>
      </w:r>
    </w:p>
    <w:p>
      <w:pPr>
        <w:pStyle w:val="TextBody"/>
        <w:bidi w:val="0"/>
        <w:jc w:val="left"/>
        <w:rPr/>
      </w:pPr>
      <w:r>
        <w:rPr>
          <w:rFonts w:ascii="Times New Roman;serif" w:hAnsi="Times New Roman;serif"/>
          <w:b w:val="false"/>
          <w:sz w:val="20"/>
          <w:u w:val="single"/>
        </w:rPr>
        <w:t>Benefits Coverage</w:t>
      </w:r>
      <w:r>
        <w:rPr>
          <w:rFonts w:ascii="Times New Roman;serif" w:hAnsi="Times New Roman;serif"/>
          <w:b w:val="false"/>
          <w:sz w:val="20"/>
        </w:rPr>
        <w:t>. The Company shall continue to provide group health, vision, and dental plan benefits to the Executive for a period of twelve (12) months from and after the date of termination, with the cost of all regular premiums for such benefits paid by the Company (or its successor). The Executive will pay the monthly cost of the premium and submit to the Company (or its successor) for reimbursement of such monthly expense.</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(iii)</w:t>
      </w:r>
    </w:p>
    <w:p>
      <w:pPr>
        <w:pStyle w:val="TextBody"/>
        <w:bidi w:val="0"/>
        <w:jc w:val="left"/>
        <w:rPr/>
      </w:pPr>
      <w:r>
        <w:rPr>
          <w:rFonts w:ascii="Times New Roman;serif" w:hAnsi="Times New Roman;serif"/>
          <w:b w:val="false"/>
          <w:sz w:val="20"/>
          <w:u w:val="single"/>
        </w:rPr>
        <w:t>Equity</w:t>
      </w:r>
      <w:r>
        <w:rPr>
          <w:rFonts w:ascii="Times New Roman;serif" w:hAnsi="Times New Roman;serif"/>
          <w:b w:val="false"/>
          <w:sz w:val="20"/>
        </w:rPr>
        <w:t>. Executive's stock options shall immediately accelerate so that 100% of any then unvested stock options shall immediately vest and become exercisable upon the date of Executive’s termination Without Cause or resignation with Good Reason and shall continue to be exercisable for three (3) months.</w:t>
      </w:r>
    </w:p>
    <w:p>
      <w:pPr>
        <w:pStyle w:val="TextBody"/>
        <w:bidi w:val="0"/>
        <w:spacing w:before="0" w:after="0"/>
        <w:jc w:val="left"/>
        <w:rPr/>
      </w:pPr>
      <w:r>
        <w:rPr/>
        <w:t>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val="false"/>
          <w:sz w:val="20"/>
        </w:rPr>
      </w:pPr>
      <w:r>
        <w:rPr>
          <w:rFonts w:ascii="Times New Roman" w:hAnsi="Times New Roman"/>
          <w:b w:val="false"/>
          <w:sz w:val="20"/>
        </w:rPr>
        <w:t>(iv)</w:t>
      </w:r>
    </w:p>
    <w:p>
      <w:pPr>
        <w:pStyle w:val="TextBody"/>
        <w:bidi w:val="0"/>
        <w:jc w:val="left"/>
        <w:rPr/>
      </w:pPr>
      <w:r>
        <w:rPr>
          <w:rFonts w:ascii="Times New Roman;serif" w:hAnsi="Times New Roman;serif"/>
          <w:b w:val="false"/>
          <w:sz w:val="20"/>
          <w:u w:val="single"/>
        </w:rPr>
        <w:t>Timing of Payments</w:t>
      </w:r>
      <w:r>
        <w:rPr>
          <w:rFonts w:ascii="Times New Roman;serif" w:hAnsi="Times New Roman;serif"/>
          <w:b w:val="false"/>
          <w:sz w:val="20"/>
        </w:rPr>
        <w:t>. The severance benefits in the above subsection 3.3(b)(i) shall be paid to Executive no later than fifteen (15) days from the date the Executive signs the severance and release agreement and the revocation period, if any, has expired.</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4.</w:t>
      </w:r>
    </w:p>
    <w:p>
      <w:pPr>
        <w:pStyle w:val="TextBody"/>
        <w:bidi w:val="0"/>
        <w:jc w:val="left"/>
        <w:rPr>
          <w:rFonts w:ascii="Times New Roman;serif" w:hAnsi="Times New Roman;serif"/>
          <w:b/>
          <w:sz w:val="20"/>
        </w:rPr>
      </w:pPr>
      <w:r>
        <w:rPr>
          <w:rFonts w:ascii="Times New Roman;serif" w:hAnsi="Times New Roman;serif"/>
          <w:b/>
          <w:sz w:val="20"/>
        </w:rPr>
        <w:t>Proprietary Information</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Executive acknowledges that: (i) the Executive has a major responsibility for the operation, development and growth of the Company’s business, and its subsidiaries and affiliates; (ii) the Executive’s work for the Company, and its subsidiaries, and affiliates has brought the Executive and will continue to bring the Executive into close contact with “Confidential Information” (as defined below); and (iii) the agreements and covenants contained in this Section 4 are essential to protect the business interests of the Company, and its subsidiaries and affiliates, and that the Company will not enter into this Agreement but for such agreements and covenants. Accordingly, the Executive covenants and agrees to the following:</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4.1</w:t>
      </w:r>
    </w:p>
    <w:p>
      <w:pPr>
        <w:pStyle w:val="TextBody"/>
        <w:bidi w:val="0"/>
        <w:jc w:val="left"/>
        <w:rPr/>
      </w:pPr>
      <w:r>
        <w:rPr>
          <w:rFonts w:ascii="Times New Roman;serif" w:hAnsi="Times New Roman;serif"/>
          <w:b w:val="false"/>
          <w:sz w:val="20"/>
          <w:u w:val="single"/>
        </w:rPr>
        <w:t>Confidential Information</w:t>
      </w:r>
      <w:r>
        <w:rPr>
          <w:rFonts w:ascii="Times New Roman;serif" w:hAnsi="Times New Roman;serif"/>
          <w:b w:val="false"/>
          <w:sz w:val="20"/>
        </w:rPr>
        <w:t xml:space="preserve">. Both during the term of the Executive’s employment under this Agreement and indefinitely after the Executive is no longer employed as Chief Financial Officer of the Company, the Executive shall not, directly or indirectly, (i) knowingly use for an improper personal benefit any “Confidential Information” that was acquired by, learned by or disclosed to Executive by reason of the Executive’s employment as Chief Financial Officer of the Company (before or after the date of this Agreement), or (ii) disclose any such Confidential Information to any person, business or entity, except in the proper course of the Executive’s duties as Chief Financial Officer, of the Company. As used in this Agreement, “Confidential Information” means any and all confidential or proprietary information of the Company, and its subsidiaries and affiliates that is not generally known to the public, including, without limitation, business, financial, marketing, technical, developmental, operating, performance, know-how, and process information, drawings and designs, customer information (including contact information, pricing and buying trends and needs), employee information (including the skills, abilities and compensation of other employees), and other trade secret information, now existing or hereafter discovered or developed. Confidential Information shall include information in any form whatsoever, including, without limitation, any digital or electronic record-bearing media containing or disclosing such information. The provisions of this Section 4 shall not apply to information that has become generally available to the public other than as a result of a disclosure by the Executive. In the event that the Executive is requested or required (by oral question or request for information or documents in any legal proceeding, interrogatory, subpoena, civil investigative demand, or similar process) to disclose any Confidential Information, then the Executive will notify the Company within two (2) business days of receiving the request or requirement so that the Company may seek an appropriate protective order. If, in the absence of a protective order or the receipt of a waiver hereunder, the Executive is, on the advice of counsel, compelled to disclose any Confidential Information to any tribunal or else stand liable for contempt, the Executive may disclose such Confidential Information to the tribunal; provided, however, that the Executive shall use the Executive’s reasonable best efforts to obtain, at the expense and reasonable request of the Company, an order or other assurance that confidential treatment will be accorded to such portion of the Confidential Information required to be disclosed as the Company shall designate. The Executive acknowledges that all Confidential Information is the exclusive property of the Company. The Executive further acknowledges that the Executive’s entire work product, including working drafts and work sheets, shall be the sole property of the Company, and that the Executive will have no rights, title or interest in any such material whether prepared by the Executive alone, by others or by the Executive in conjunction with others. Executive agrees as a condition of continued employment to execute the Company’s Proprietary Information Agreement protecting the trade secrets and other intellectual property of the Company. </w:t>
      </w:r>
      <w:r>
        <w:rPr>
          <w:rFonts w:ascii="Times New Roman;serif" w:hAnsi="Times New Roman;serif"/>
          <w:b/>
          <w:i/>
          <w:sz w:val="20"/>
        </w:rPr>
        <w:t>Defend Trade Secrets Act Notice</w:t>
      </w:r>
      <w:r>
        <w:rPr>
          <w:rFonts w:ascii="Times New Roman;serif" w:hAnsi="Times New Roman;serif"/>
          <w:b w:val="false"/>
          <w:sz w:val="20"/>
        </w:rPr>
        <w:t>. Executive is hereby notified in accordance with the Defend Trade Secrets Act of 2016 that he will not be held criminally or civilly liable under any federal or state trade secret law for the disclosure of a trade secret that: (i) is made in confidence to a federal, state, or local government official, either directly or indirectly, or to an attorney, and solely for the purpose of reporting or investigating a suspected violation of law; or (ii) is made in a complaint or other document that is filed under seal in a lawsuit or other proceeding. Executive is further notified that if Executive files a lawsuit for retaliation by an employer for reporting a suspected violation of law, Executive may disclose the employer's trade secrets to Executive’s attorney and use the trade secret information in the court proceeding if Executive: (i) files any document containing the trade secret under seal; and (ii) does not disclose the trade secret, except pursuant to court order.</w:t>
      </w:r>
    </w:p>
    <w:p>
      <w:pPr>
        <w:pStyle w:val="TextBody"/>
        <w:bidi w:val="0"/>
        <w:spacing w:before="0" w:after="0"/>
        <w:jc w:val="left"/>
        <w:rPr/>
      </w:pPr>
      <w:r>
        <w:rPr/>
        <w:t> </w:t>
      </w:r>
    </w:p>
    <w:p>
      <w:pPr>
        <w:pStyle w:val="TextBody"/>
        <w:bidi w:val="0"/>
        <w:spacing w:before="0" w:after="0"/>
        <w:jc w:val="left"/>
        <w:rPr/>
      </w:pPr>
      <w:r>
        <w:rPr/>
        <w:t>•</w:t>
      </w:r>
    </w:p>
    <w:p>
      <w:pPr>
        <w:pStyle w:val="TextBody"/>
        <w:bidi w:val="0"/>
        <w:jc w:val="left"/>
        <w:rPr/>
      </w:pPr>
      <w:r>
        <w:rPr>
          <w:rFonts w:ascii="Times New Roman;serif" w:hAnsi="Times New Roman;serif"/>
          <w:b w:val="false"/>
          <w:sz w:val="20"/>
          <w:u w:val="single"/>
        </w:rPr>
        <w:t>Duty of Loyalty and Non-Competition</w:t>
      </w:r>
      <w:r>
        <w:rPr>
          <w:rFonts w:ascii="Times New Roman;serif" w:hAnsi="Times New Roman;serif"/>
          <w:b w:val="false"/>
          <w:sz w:val="20"/>
        </w:rPr>
        <w:t xml:space="preserve">. While employed by the Company, the Executive shall not, without the prior written consent of the Company, participate, directly or indirectly, as an individual proprietor, partner, stockholder, officer, employee, director, manager, joint venture participant, investor, lender, consultant or in any capacity whatsoever (within the United States of America, or in any country where the Company or its subsidiaries or affiliates do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jc w:val="left"/>
        <w:rPr>
          <w:rFonts w:ascii="Times New Roman;serif" w:hAnsi="Times New Roman;serif"/>
          <w:b w:val="false"/>
          <w:sz w:val="20"/>
        </w:rPr>
      </w:pPr>
      <w:r>
        <w:rPr>
          <w:rFonts w:ascii="Times New Roman;serif" w:hAnsi="Times New Roman;serif"/>
          <w:b w:val="false"/>
          <w:sz w:val="20"/>
        </w:rPr>
        <w:t>business or have reasonable plans to do business) in a business engaged in competition with the Company or any of its subsidiaries or affiliates, or in a business that the Company or any of its subsidiaries or affiliates has taken reasonable steps to engage in (including, but not limited to, meeting with management teams or entering into preliminary or definitive term sheets, letters of intent, purchase agreements, or other similar arrangements or agreements) of which the Executive has knowledge at the time of Executive’s employment; provided, however, that such participation shall not include the mere ownership of not more than one percent (1%) of the total outstanding stock of a publicly held company. At all times following the termination of Executive’s employment as Chief Financial Officer of the Company for any reason, Executive shall not, either directly or indirectly, engage in any unlawful competitive activities or use confidential trade secret information for any purpose.</w:t>
      </w:r>
    </w:p>
    <w:p>
      <w:pPr>
        <w:pStyle w:val="TextBody"/>
        <w:bidi w:val="0"/>
        <w:spacing w:before="0" w:after="0"/>
        <w:jc w:val="left"/>
        <w:rPr/>
      </w:pPr>
      <w:r>
        <w:rPr/>
        <w:t> </w:t>
      </w:r>
    </w:p>
    <w:p>
      <w:pPr>
        <w:pStyle w:val="TextBody"/>
        <w:bidi w:val="0"/>
        <w:spacing w:before="39" w:after="0"/>
        <w:jc w:val="left"/>
        <w:rPr/>
      </w:pPr>
      <w:r>
        <w:rPr/>
        <w:t>•</w:t>
      </w:r>
    </w:p>
    <w:p>
      <w:pPr>
        <w:pStyle w:val="TextBody"/>
        <w:bidi w:val="0"/>
        <w:spacing w:before="39" w:after="283"/>
        <w:jc w:val="left"/>
        <w:rPr/>
      </w:pPr>
      <w:r>
        <w:rPr>
          <w:rFonts w:ascii="Times New Roman;serif" w:hAnsi="Times New Roman;serif"/>
          <w:b w:val="false"/>
          <w:sz w:val="20"/>
          <w:u w:val="single"/>
        </w:rPr>
        <w:t>Non-Solicitation</w:t>
      </w:r>
      <w:r>
        <w:rPr>
          <w:rFonts w:ascii="Times New Roman;serif" w:hAnsi="Times New Roman;serif"/>
          <w:b w:val="false"/>
          <w:sz w:val="20"/>
        </w:rPr>
        <w:t>. For a period beginning on the Effective Date and ending two</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(2) years after the date on which the Executive is no longer employed as Chief Financial Officer of the Company (the “Non-Solicitation Period”), the Executive shall not in any capacity, either separately or in association with others: (i) unlawfully solicit for employment or endeavor in any way to unlawfully entice away from employment with the Company, its subsidiaries or affiliates any employee of the Company, its subsidiaries or its affiliates, or any person or entity that had been an employee of the Company or its subsidiaries or affiliates within the six (6) month period preceding the commencement of such activity; nor (ii) use confidential trade secret information to solicit or use any other unlawful means to induce or influence any supplier, customer, agent, consultant or other person or entity that has a business relationship with the Company, or its subsidiaries or affiliates to discontinue, reduce or modify such relationship with the Company or its subsidiaries or affiliates.</w:t>
      </w:r>
    </w:p>
    <w:p>
      <w:pPr>
        <w:pStyle w:val="TextBody"/>
        <w:bidi w:val="0"/>
        <w:spacing w:before="0" w:after="0"/>
        <w:jc w:val="left"/>
        <w:rPr/>
      </w:pPr>
      <w:r>
        <w:rPr/>
        <w:t> </w:t>
      </w:r>
    </w:p>
    <w:p>
      <w:pPr>
        <w:pStyle w:val="TextBody"/>
        <w:bidi w:val="0"/>
        <w:spacing w:before="0" w:after="0"/>
        <w:jc w:val="left"/>
        <w:rPr/>
      </w:pPr>
      <w:r>
        <w:rPr/>
        <w:t>•</w:t>
      </w:r>
    </w:p>
    <w:p>
      <w:pPr>
        <w:pStyle w:val="TextBody"/>
        <w:bidi w:val="0"/>
        <w:jc w:val="left"/>
        <w:rPr/>
      </w:pPr>
      <w:r>
        <w:rPr>
          <w:rFonts w:ascii="Times New Roman;serif" w:hAnsi="Times New Roman;serif"/>
          <w:b w:val="false"/>
          <w:sz w:val="20"/>
          <w:u w:val="single"/>
        </w:rPr>
        <w:t>Non-disparagement</w:t>
      </w:r>
      <w:r>
        <w:rPr>
          <w:rFonts w:ascii="Times New Roman;serif" w:hAnsi="Times New Roman;serif"/>
          <w:b w:val="false"/>
          <w:sz w:val="20"/>
        </w:rPr>
        <w:t>. The Executive agrees (whether during or after Executive’s employment as Chief Financial Officer of the Company) not to issue, circulate, publish or utter any comments or statements to the press or other media, or to any third parties, or to any employees of the Company, and its subsidiaries and affiliates, or any consultants or any individual or entity with whom the Company or its subsidiaries or affiliates has a business relationship, which could reasonably be expected to adversely affect in any manner: (i) the conduct of the business of the Company, or its subsidiaries or affiliates (including, without limitation, any products, services, or business plans or prospects); or (ii) the business reputation of the Company or its subsidiaries or affiliates (including its financial condition or the direction of the business), or any of their respective products or services, or their past or present officers, directors, executives or employees. Notwithstanding the foregoing, nothing contained in this Agreement will be deemed to restrict Executive from providing truthful information to any governmental or regulatory agency (or in any way limit the content of any such information) to the extent requested or required to provide such information pursuant to applicable law or regulation. Nothing in this section is intended to limit Executive’s rights under Section 7 of the National Labor Relations Act.</w:t>
      </w:r>
    </w:p>
    <w:p>
      <w:pPr>
        <w:pStyle w:val="TextBody"/>
        <w:bidi w:val="0"/>
        <w:spacing w:before="0" w:after="0"/>
        <w:jc w:val="left"/>
        <w:rPr/>
      </w:pPr>
      <w:r>
        <w:rPr/>
        <w:t> </w:t>
      </w:r>
    </w:p>
    <w:p>
      <w:pPr>
        <w:pStyle w:val="TextBody"/>
        <w:bidi w:val="0"/>
        <w:spacing w:before="0" w:after="0"/>
        <w:jc w:val="left"/>
        <w:rPr/>
      </w:pPr>
      <w:r>
        <w:rPr/>
        <w:t>•</w:t>
      </w:r>
    </w:p>
    <w:p>
      <w:pPr>
        <w:pStyle w:val="TextBody"/>
        <w:bidi w:val="0"/>
        <w:jc w:val="left"/>
        <w:rPr/>
      </w:pPr>
      <w:r>
        <w:rPr>
          <w:rFonts w:ascii="Times New Roman;serif" w:hAnsi="Times New Roman;serif"/>
          <w:b w:val="false"/>
          <w:sz w:val="20"/>
          <w:u w:val="single"/>
        </w:rPr>
        <w:t>Return of Property</w:t>
      </w:r>
      <w:r>
        <w:rPr>
          <w:rFonts w:ascii="Times New Roman;serif" w:hAnsi="Times New Roman;serif"/>
          <w:b w:val="false"/>
          <w:sz w:val="20"/>
        </w:rPr>
        <w:t>. Upon termination of his employment as Chief Financial Officer of the Company or at any time as the Company requests, the Executive will promptly deliver to the Company all documents (whether prepared by the Company, a subsidiary, an affiliate, the Executive or a third party) relating to the Company, any of its subsidiaries or affiliates or any of their businesses or property that the Executive may possess or have under the Executive’s direction or control other than documents provided to the Executive in the Executive’s capacity as a participant in any employee benefit plan, policy or program of the Company.</w:t>
      </w:r>
    </w:p>
    <w:p>
      <w:pPr>
        <w:pStyle w:val="TextBody"/>
        <w:bidi w:val="0"/>
        <w:spacing w:before="0" w:after="0"/>
        <w:jc w:val="left"/>
        <w:rPr/>
      </w:pPr>
      <w:r>
        <w:rPr/>
        <w:t> </w:t>
      </w:r>
    </w:p>
    <w:p>
      <w:pPr>
        <w:pStyle w:val="TextBody"/>
        <w:bidi w:val="0"/>
        <w:spacing w:before="0" w:after="0"/>
        <w:jc w:val="left"/>
        <w:rPr/>
      </w:pPr>
      <w:r>
        <w:rPr/>
        <w:t>•</w:t>
      </w:r>
    </w:p>
    <w:p>
      <w:pPr>
        <w:pStyle w:val="TextBody"/>
        <w:bidi w:val="0"/>
        <w:spacing w:before="0" w:after="0"/>
        <w:jc w:val="left"/>
        <w:rPr/>
      </w:pPr>
      <w:r>
        <w:rPr>
          <w:rFonts w:ascii="Times New Roman;serif" w:hAnsi="Times New Roman;serif"/>
          <w:b w:val="false"/>
          <w:sz w:val="20"/>
          <w:u w:val="single"/>
        </w:rPr>
        <w:t>Remedies</w:t>
      </w:r>
      <w:r>
        <w:rPr>
          <w:rFonts w:ascii="Times New Roman;serif" w:hAnsi="Times New Roman;serif"/>
          <w:b w:val="false"/>
          <w:sz w:val="20"/>
        </w:rPr>
        <w:t>. The Executive acknowledges that (i) the Executive has had an opportunity to seek the advice of counsel in connection with this Agreement; (ii) the provisions of this Section 4 are reasonable in scope and in all other respects; (iii) any violation of these provisions will result in irreparable injury to the Company; (iv) money damages may not be an adequate remedy for the Company in the event of a breach of any of these provisions by the Executive; and (v) specific performance in the form of injunctive relief would be an appropriate remedy for the Company. If the Executive breaches or threatens to breach any of these provisions, the Company shall be entitled, in addition to all other remedies, to seek an injunction restraining any such breach, without any bond or other security being required and without the necessity of showing actual damages.</w:t>
      </w:r>
    </w:p>
    <w:p>
      <w:pPr>
        <w:pStyle w:val="TextBody"/>
        <w:bidi w:val="0"/>
        <w:spacing w:before="200" w:after="0"/>
        <w:jc w:val="left"/>
        <w:rPr>
          <w:rFonts w:ascii="Times New Roman" w:hAnsi="Times New Roman"/>
          <w:b/>
          <w:sz w:val="20"/>
        </w:rPr>
      </w:pPr>
      <w:r>
        <w:rPr>
          <w:rFonts w:ascii="Times New Roman" w:hAnsi="Times New Roman"/>
          <w:b/>
          <w:sz w:val="20"/>
        </w:rPr>
        <w:t>5.</w:t>
      </w:r>
    </w:p>
    <w:p>
      <w:pPr>
        <w:pStyle w:val="TextBody"/>
        <w:bidi w:val="0"/>
        <w:spacing w:before="200" w:after="283"/>
        <w:jc w:val="left"/>
        <w:rPr>
          <w:rFonts w:ascii="Times New Roman;serif" w:hAnsi="Times New Roman;serif"/>
          <w:b/>
          <w:sz w:val="20"/>
        </w:rPr>
      </w:pPr>
      <w:r>
        <w:rPr>
          <w:rFonts w:ascii="Times New Roman;serif" w:hAnsi="Times New Roman;serif"/>
          <w:b/>
          <w:sz w:val="20"/>
        </w:rPr>
        <w:t>Assignment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This Agreement is personal in nature, and neither this Agreement nor any part of any obligation herein shall be assignable by Executive. The Company shall be entitled to assign this Agreement to any subsidiary or affiliate of the Company or any entity that assumes the ownership and control of the business of the Company.</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6.</w:t>
      </w:r>
    </w:p>
    <w:p>
      <w:pPr>
        <w:pStyle w:val="TextBody"/>
        <w:bidi w:val="0"/>
        <w:jc w:val="left"/>
        <w:rPr>
          <w:rFonts w:ascii="Times New Roman;serif" w:hAnsi="Times New Roman;serif"/>
          <w:b/>
          <w:sz w:val="20"/>
        </w:rPr>
      </w:pPr>
      <w:r>
        <w:rPr>
          <w:rFonts w:ascii="Times New Roman;serif" w:hAnsi="Times New Roman;serif"/>
          <w:b/>
          <w:sz w:val="20"/>
        </w:rPr>
        <w:t>Severability</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Should any term, provision, covenant or condition of this Agreement be held to be void or invalid, the same shall not affect any other term, provision, covenant or condition of this Agreement, but such remainder shall continue in full force and effect as though each such voided term, provision, covenant or condition is not contained herein.</w:t>
      </w:r>
    </w:p>
    <w:p>
      <w:pPr>
        <w:pStyle w:val="TextBody"/>
        <w:bidi w:val="0"/>
        <w:spacing w:before="1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7.</w:t>
      </w:r>
    </w:p>
    <w:p>
      <w:pPr>
        <w:pStyle w:val="TextBody"/>
        <w:bidi w:val="0"/>
        <w:jc w:val="left"/>
        <w:rPr>
          <w:rFonts w:ascii="Times New Roman;serif" w:hAnsi="Times New Roman;serif"/>
          <w:b/>
          <w:sz w:val="20"/>
        </w:rPr>
      </w:pPr>
      <w:r>
        <w:rPr>
          <w:rFonts w:ascii="Times New Roman;serif" w:hAnsi="Times New Roman;serif"/>
          <w:b/>
          <w:sz w:val="20"/>
        </w:rPr>
        <w:t>Binding Arbitration</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Any and all disputes which involve or relate in any way to this Agreement and/or to Executive’s employment or termination of employment as Chief Financial Officer of the Company, whether initiated by Executive or by the Company and whether based on contract, tort, statute, or common law, shall be submitted to and resolved by final, binding and confidential arbitration as the exclusive method for resolving all such disputes. The arbitration shall be private and confidential and conducted in Los Angeles, California pursuant to the Federal Arbitration Act and applicable California law, and pursuant to the applicable rules of the Judicial Arbitration and Mediation Services (“JAMS”) relating to employment disputes, unless the parties otherwise mutually agree to modify the JAMS Rules. A copy of the AAA Employment Rules are available for review at </w:t>
      </w:r>
      <w:r>
        <w:rPr>
          <w:rFonts w:ascii="Times New Roman;serif" w:hAnsi="Times New Roman;serif"/>
          <w:b w:val="false"/>
          <w:sz w:val="20"/>
          <w:u w:val="single"/>
        </w:rPr>
        <w:t>https:/</w:t>
      </w:r>
      <w:r>
        <w:rPr>
          <w:rFonts w:ascii="Times New Roman;serif" w:hAnsi="Times New Roman;serif"/>
          <w:b w:val="false"/>
          <w:sz w:val="20"/>
        </w:rPr>
        <w:t>/www.jamsadr.com/rule</w:t>
      </w:r>
      <w:r>
        <w:rPr>
          <w:rFonts w:ascii="Times New Roman;serif" w:hAnsi="Times New Roman;serif"/>
          <w:b w:val="false"/>
          <w:sz w:val="20"/>
          <w:u w:val="single"/>
        </w:rPr>
        <w:t>s</w:t>
      </w:r>
      <w:r>
        <w:rPr>
          <w:rFonts w:ascii="Times New Roman;serif" w:hAnsi="Times New Roman;serif"/>
          <w:b w:val="false"/>
          <w:sz w:val="20"/>
        </w:rPr>
        <w:t>-employment-arbitration</w:t>
      </w:r>
      <w:r>
        <w:rPr>
          <w:rFonts w:ascii="Times New Roman" w:hAnsi="Times New Roman"/>
          <w:sz w:val="20"/>
        </w:rPr>
        <w:t xml:space="preserve"> </w:t>
      </w:r>
      <w:r>
        <w:rPr>
          <w:rFonts w:ascii="Times New Roman;serif" w:hAnsi="Times New Roman;serif"/>
          <w:b w:val="false"/>
          <w:sz w:val="20"/>
        </w:rPr>
        <w:t>and are incorporated herein by reference.</w:t>
      </w:r>
    </w:p>
    <w:p>
      <w:pPr>
        <w:pStyle w:val="TextBody"/>
        <w:bidi w:val="0"/>
        <w:spacing w:before="11"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party demanding arbitration shall submit a written claim to the other party, setting out the basis of the claim or claims, within the time period of any applicable statute of limitations relating to such claim(s). If the parties cannot mutually agree upon an arbitrator, then the parties shall select a neutral arbitrator through the procedures established by the AAA. The arbitrator shall have the powers provided under the Federal Arbitration Act relating to the arbitration of disputes, except as expressly limited or otherwise provided in this Agreement. The parties shall have the right to reasonable discovery. The parties agree that the Company shall pay the administration costs of the AAA arbitration, including payment of the fees for the Arbitrator, and any other costs directly related to the administration of the arbitration. The parties shall otherwise be responsible for their own respective costs and attorneys' fees relating to the dispute, such as deposition costs, expert witnesses and similar expenses, except as otherwise provided in this Agreement to the prevailing party.</w:t>
      </w:r>
    </w:p>
    <w:p>
      <w:pPr>
        <w:pStyle w:val="TextBody"/>
        <w:bidi w:val="0"/>
        <w:spacing w:before="11"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Arbitrator may award, if properly proven, any damages or remedy that a party could recover in a civil litigation and shall award costs and reasonable attorneys’ fees to the prevailing party as provided by law. The award of the Arbitrator shall be issued in writing, setting forth the basis for the decision, and shall be binding on the parties to the fullest extent permitted by law, subject to any limited statutory right to appeal as provided by law. Judgment upon the award of the Arbitrator may be entered in any state or federal court sitting in Los Angeles, California.</w:t>
      </w:r>
    </w:p>
    <w:p>
      <w:pPr>
        <w:pStyle w:val="TextBody"/>
        <w:bidi w:val="0"/>
        <w:spacing w:before="1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Nothing in this Section shall prevent Executive from filing or maintaining a claim for workers’ compensation, state disability insurance, or unemployment insurance benefits, and nothing in this section shall be construed to prevent or excuse Executive or the Company from using existing internal procedures for the resolution of complaints. Employee may bring claims before administrative agencies when the law permits the agency to adjudicate those claims, even when there is an agreement to arbitrate; examples include claims or charges with the United States Equal Employment Opportunity Commission (or comparable state agency), the National Labor Relations Board, the U.S. Department of Labor, or the Office of Federal Contract Compliance Programs. Nothing in this Section shall require arbitration of disputes that are excluded from coverage by this section or by law.</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Company and Executive agree that any dispute in arbitration will be brought on an individual basis only, and not on a class, collective, or representative basis on behalf of others (this agreement to be referred to hereafter as the “Class Action Waiver”). The Class Action Waiver does not apply to any claim that Executive brings on behalf of both herself and others under the California Private Attorney General Act of 2004. Executive will not be subject to any retaliation or discrimination if Executive seeks to challenge this arbitration provision or participate in a class, collective, or representative action in any forum, but Company may lawfully seek enforcement of this Agreement under the Federal Arbitration Act and seek dismissal of any class, collective, or representative actions or claims to the fullest extent allowed by law.</w:t>
      </w:r>
    </w:p>
    <w:p>
      <w:pPr>
        <w:pStyle w:val="TextBody"/>
        <w:bidi w:val="0"/>
        <w:spacing w:before="10" w:after="0"/>
        <w:jc w:val="left"/>
        <w:rPr/>
      </w:pPr>
      <w:r>
        <w:rPr/>
        <w:t>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8.</w:t>
      </w:r>
    </w:p>
    <w:p>
      <w:pPr>
        <w:pStyle w:val="TextBody"/>
        <w:bidi w:val="0"/>
        <w:jc w:val="left"/>
        <w:rPr>
          <w:rFonts w:ascii="Times New Roman;serif" w:hAnsi="Times New Roman;serif"/>
          <w:b/>
          <w:sz w:val="20"/>
        </w:rPr>
      </w:pPr>
      <w:r>
        <w:rPr>
          <w:rFonts w:ascii="Times New Roman;serif" w:hAnsi="Times New Roman;serif"/>
          <w:b/>
          <w:sz w:val="20"/>
        </w:rPr>
        <w:t>Governing Law</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This Agreement shall be governed by and construed in accordance with the laws of the State of California applicable to contracts made and to be carried out in California. Each of the parties agrees to submit to the personal jurisdiction of any state or federal court sitting in Los Angeles, California in any action or proceeding arising out of or relating to this Agreement.</w:t>
      </w:r>
    </w:p>
    <w:p>
      <w:pPr>
        <w:pStyle w:val="TextBody"/>
        <w:bidi w:val="0"/>
        <w:spacing w:before="0" w:after="0"/>
        <w:jc w:val="left"/>
        <w:rPr/>
      </w:pPr>
      <w:r>
        <w:rPr/>
        <w:t> </w:t>
      </w:r>
    </w:p>
    <w:p>
      <w:pPr>
        <w:pStyle w:val="TextBody"/>
        <w:bidi w:val="0"/>
        <w:spacing w:before="200" w:after="0"/>
        <w:jc w:val="left"/>
        <w:rPr>
          <w:rFonts w:ascii="Times New Roman" w:hAnsi="Times New Roman"/>
          <w:b/>
          <w:sz w:val="20"/>
        </w:rPr>
      </w:pPr>
      <w:r>
        <w:rPr>
          <w:rFonts w:ascii="Times New Roman" w:hAnsi="Times New Roman"/>
          <w:b/>
          <w:sz w:val="20"/>
        </w:rPr>
        <w:t>9.</w:t>
      </w:r>
    </w:p>
    <w:p>
      <w:pPr>
        <w:pStyle w:val="TextBody"/>
        <w:bidi w:val="0"/>
        <w:spacing w:before="200" w:after="283"/>
        <w:jc w:val="left"/>
        <w:rPr>
          <w:rFonts w:ascii="Times New Roman;serif" w:hAnsi="Times New Roman;serif"/>
          <w:b/>
          <w:sz w:val="20"/>
        </w:rPr>
      </w:pPr>
      <w:r>
        <w:rPr>
          <w:rFonts w:ascii="Times New Roman;serif" w:hAnsi="Times New Roman;serif"/>
          <w:b/>
          <w:sz w:val="20"/>
        </w:rPr>
        <w:t>Notice</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All notices and other communications under this Agreement shall be in writing and mailed, telegraphed, telecopied, or delivered by hand (by a party or a recognized courier service) to the other party at the following address (or to such other address as such party may have specified by notice given to the other party pursuant to this provision):</w:t>
      </w:r>
    </w:p>
    <w:p>
      <w:pPr>
        <w:pStyle w:val="TextBody"/>
        <w:bidi w:val="0"/>
        <w:spacing w:before="0" w:after="0"/>
        <w:jc w:val="left"/>
        <w:rPr/>
      </w:pPr>
      <w:r>
        <w:rPr/>
        <w:t> </w:t>
      </w:r>
    </w:p>
    <w:p>
      <w:pPr>
        <w:pStyle w:val="TextBody"/>
        <w:bidi w:val="0"/>
        <w:spacing w:before="39" w:after="0"/>
        <w:jc w:val="left"/>
        <w:rPr>
          <w:rFonts w:ascii="Times New Roman;serif" w:hAnsi="Times New Roman;serif"/>
          <w:b w:val="false"/>
          <w:sz w:val="20"/>
        </w:rPr>
      </w:pPr>
      <w:r>
        <w:rPr>
          <w:rFonts w:ascii="Times New Roman;serif" w:hAnsi="Times New Roman;serif"/>
          <w:b w:val="false"/>
          <w:sz w:val="20"/>
        </w:rPr>
        <w:t>If to the Company:</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AVITA Medical Americas, LLC Attn: General Counsel</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28159 Avenue Stanford</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Suite 220</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Valencia, CA 91355</w:t>
      </w:r>
    </w:p>
    <w:p>
      <w:pPr>
        <w:pStyle w:val="TextBody"/>
        <w:bidi w:val="0"/>
        <w:spacing w:before="1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If to Executive:</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David O’Toole</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At current home address on file with the Company</w:t>
      </w:r>
    </w:p>
    <w:p>
      <w:pPr>
        <w:pStyle w:val="TextBody"/>
        <w:bidi w:val="0"/>
        <w:spacing w:before="200" w:after="0"/>
        <w:jc w:val="left"/>
        <w:rPr>
          <w:rFonts w:ascii="Times New Roman" w:hAnsi="Times New Roman"/>
          <w:b/>
          <w:sz w:val="20"/>
        </w:rPr>
      </w:pPr>
      <w:r>
        <w:rPr>
          <w:rFonts w:ascii="Times New Roman" w:hAnsi="Times New Roman"/>
          <w:b/>
          <w:sz w:val="20"/>
        </w:rPr>
        <w:t>10.</w:t>
      </w:r>
    </w:p>
    <w:p>
      <w:pPr>
        <w:pStyle w:val="TextBody"/>
        <w:bidi w:val="0"/>
        <w:spacing w:before="200" w:after="0"/>
        <w:jc w:val="left"/>
        <w:rPr>
          <w:rFonts w:ascii="Times New Roman;serif" w:hAnsi="Times New Roman;serif"/>
          <w:b/>
          <w:sz w:val="20"/>
        </w:rPr>
      </w:pPr>
      <w:r>
        <w:rPr>
          <w:rFonts w:ascii="Times New Roman;serif" w:hAnsi="Times New Roman;serif"/>
          <w:b/>
          <w:sz w:val="20"/>
        </w:rPr>
        <w:t>Miscellaneous</w:t>
      </w:r>
    </w:p>
    <w:p>
      <w:pPr>
        <w:pStyle w:val="TextBody"/>
        <w:bidi w:val="0"/>
        <w:spacing w:before="200" w:after="0"/>
        <w:jc w:val="left"/>
        <w:rPr>
          <w:rFonts w:ascii="Times New Roman" w:hAnsi="Times New Roman"/>
          <w:b w:val="false"/>
          <w:sz w:val="20"/>
        </w:rPr>
      </w:pPr>
      <w:r>
        <w:rPr>
          <w:rFonts w:ascii="Times New Roman" w:hAnsi="Times New Roman"/>
          <w:b w:val="false"/>
          <w:sz w:val="20"/>
        </w:rPr>
        <w:t>10.1</w:t>
      </w:r>
    </w:p>
    <w:p>
      <w:pPr>
        <w:pStyle w:val="TextBody"/>
        <w:bidi w:val="0"/>
        <w:spacing w:before="200" w:after="0"/>
        <w:jc w:val="left"/>
        <w:rPr/>
      </w:pPr>
      <w:r>
        <w:rPr>
          <w:rFonts w:ascii="Times New Roman;serif" w:hAnsi="Times New Roman;serif"/>
          <w:b w:val="false"/>
          <w:sz w:val="20"/>
          <w:u w:val="single"/>
        </w:rPr>
        <w:t>Binding Agreement</w:t>
      </w:r>
      <w:r>
        <w:rPr>
          <w:rFonts w:ascii="Times New Roman;serif" w:hAnsi="Times New Roman;serif"/>
          <w:b w:val="false"/>
          <w:sz w:val="20"/>
        </w:rPr>
        <w:t>. This Agreement shall inure to the benefit of and shall be binding upon the Company, its successors and assigns.</w:t>
      </w:r>
    </w:p>
    <w:p>
      <w:pPr>
        <w:pStyle w:val="TextBody"/>
        <w:bidi w:val="0"/>
        <w:spacing w:before="200" w:after="0"/>
        <w:jc w:val="left"/>
        <w:rPr>
          <w:rFonts w:ascii="Times New Roman" w:hAnsi="Times New Roman"/>
          <w:b w:val="false"/>
          <w:sz w:val="20"/>
        </w:rPr>
      </w:pPr>
      <w:r>
        <w:rPr>
          <w:rFonts w:ascii="Times New Roman" w:hAnsi="Times New Roman"/>
          <w:b w:val="false"/>
          <w:sz w:val="20"/>
        </w:rPr>
        <w:t>10.2</w:t>
      </w:r>
    </w:p>
    <w:p>
      <w:pPr>
        <w:pStyle w:val="TextBody"/>
        <w:bidi w:val="0"/>
        <w:spacing w:before="200" w:after="0"/>
        <w:jc w:val="left"/>
        <w:rPr/>
      </w:pPr>
      <w:r>
        <w:rPr>
          <w:rFonts w:ascii="Times New Roman;serif" w:hAnsi="Times New Roman;serif"/>
          <w:b w:val="false"/>
          <w:sz w:val="20"/>
          <w:u w:val="single"/>
        </w:rPr>
        <w:t>Entire Agreement</w:t>
      </w:r>
      <w:r>
        <w:rPr>
          <w:rFonts w:ascii="Times New Roman;serif" w:hAnsi="Times New Roman;serif"/>
          <w:b w:val="false"/>
          <w:sz w:val="20"/>
        </w:rPr>
        <w:t>. This Agreement contains the entire agreement of the parties relating to the subject matter hereof, and the parties hereto have made no agreements, representations or warranties relating to the subject matter of this Agreement that are not set forth otherwise herein. In this regard, each of the parties represents and warrants to the other party that such party is not relying on any promises or representations that do not appear in writing herein. This Agreement supersedes any prior verbal or written agreements with the Company regarding Executive’s employment or offer of employment, except as specifically referenced herein. Each of the parties further agrees and understands that this Agreement can be amended or modified only by a written agreement signed by all parties.</w:t>
      </w:r>
    </w:p>
    <w:p>
      <w:pPr>
        <w:pStyle w:val="TextBody"/>
        <w:bidi w:val="0"/>
        <w:spacing w:before="200" w:after="0"/>
        <w:jc w:val="left"/>
        <w:rPr>
          <w:rFonts w:ascii="Times New Roman" w:hAnsi="Times New Roman"/>
          <w:b w:val="false"/>
          <w:sz w:val="20"/>
        </w:rPr>
      </w:pPr>
      <w:r>
        <w:rPr>
          <w:rFonts w:ascii="Times New Roman" w:hAnsi="Times New Roman"/>
          <w:b w:val="false"/>
          <w:sz w:val="20"/>
        </w:rPr>
        <w:t>10.3</w:t>
      </w:r>
    </w:p>
    <w:p>
      <w:pPr>
        <w:pStyle w:val="TextBody"/>
        <w:bidi w:val="0"/>
        <w:spacing w:before="200" w:after="0"/>
        <w:jc w:val="left"/>
        <w:rPr/>
      </w:pPr>
      <w:r>
        <w:rPr>
          <w:rFonts w:ascii="Times New Roman;serif" w:hAnsi="Times New Roman;serif"/>
          <w:b w:val="false"/>
          <w:sz w:val="20"/>
          <w:u w:val="single"/>
        </w:rPr>
        <w:t>Representations and Warranties</w:t>
      </w:r>
      <w:r>
        <w:rPr>
          <w:rFonts w:ascii="Times New Roman;serif" w:hAnsi="Times New Roman;serif"/>
          <w:b w:val="false"/>
          <w:sz w:val="20"/>
        </w:rPr>
        <w:t>. Executive and the Company hereby represent and warrant to the other that: (a) he or it has full power, authority and capacity to execute and deliver this Agreement, and to perform his or its obligations hereunder; (b) such execution, delivery and performance will not (and with the giving of notice or lapse of time or both would not) result in the breach of any agreements or other obligations to which he or it is a party or he or it is otherwise bound; (c) this Agreement is a valid and binding obligation in accordance with its terms for both parties; (d) Executive represents and warrants that he is under no other obligations, contractual or otherwise, that could impair his ability to perform fully and satisfactorily all of his obligations under this Agreement; (e) Executive has had full opportunity to review this Agreement, to obtain all legal advice he has deemed necessary or appropriate and has either done so, or voluntarily and knowingly declined to do so; and (f) neither party has been induced to enter into this Agreement through any promises, threats, coercion, or benefits not set forth expressly in writing in this Agreement.</w:t>
      </w:r>
    </w:p>
    <w:p>
      <w:pPr>
        <w:pStyle w:val="TextBody"/>
        <w:bidi w:val="0"/>
        <w:spacing w:before="200" w:after="0"/>
        <w:jc w:val="left"/>
        <w:rPr>
          <w:rFonts w:ascii="Times New Roman" w:hAnsi="Times New Roman"/>
          <w:b w:val="false"/>
          <w:sz w:val="20"/>
        </w:rPr>
      </w:pPr>
      <w:r>
        <w:rPr>
          <w:rFonts w:ascii="Times New Roman" w:hAnsi="Times New Roman"/>
          <w:b w:val="false"/>
          <w:sz w:val="20"/>
        </w:rPr>
        <w:t>10.4</w:t>
      </w:r>
    </w:p>
    <w:p>
      <w:pPr>
        <w:pStyle w:val="TextBody"/>
        <w:bidi w:val="0"/>
        <w:spacing w:before="200" w:after="0"/>
        <w:jc w:val="left"/>
        <w:rPr/>
      </w:pPr>
      <w:r>
        <w:rPr>
          <w:rFonts w:ascii="Times New Roman;serif" w:hAnsi="Times New Roman;serif"/>
          <w:b w:val="false"/>
          <w:sz w:val="20"/>
          <w:u w:val="single"/>
        </w:rPr>
        <w:t>Attorney’s Fees</w:t>
      </w:r>
      <w:r>
        <w:rPr>
          <w:rFonts w:ascii="Times New Roman;serif" w:hAnsi="Times New Roman;serif"/>
          <w:b w:val="false"/>
          <w:sz w:val="20"/>
        </w:rPr>
        <w:t>. In the event that any party shall bring an action or proceeding in connection with the performance, breach or interpretation of this Agreement, then the prevailing party in any such action or proceeding, as determined by the court, arbitrator or other body having jurisdiction, shall be entitled to recover from the losing party all reasonable costs and expenses of such action or proceeding, including reasonable attorneys’ fees and court costs.</w:t>
      </w:r>
    </w:p>
    <w:p>
      <w:pPr>
        <w:pStyle w:val="TextBody"/>
        <w:bidi w:val="0"/>
        <w:spacing w:before="200" w:after="0"/>
        <w:jc w:val="left"/>
        <w:rPr/>
      </w:pPr>
      <w:r>
        <w:rPr/>
        <w:t>•</w:t>
      </w:r>
    </w:p>
    <w:p>
      <w:pPr>
        <w:pStyle w:val="TextBody"/>
        <w:bidi w:val="0"/>
        <w:spacing w:before="200" w:after="283"/>
        <w:jc w:val="left"/>
        <w:rPr/>
      </w:pPr>
      <w:r>
        <w:rPr>
          <w:rFonts w:ascii="Times New Roman;serif" w:hAnsi="Times New Roman;serif"/>
          <w:b w:val="false"/>
          <w:sz w:val="20"/>
          <w:u w:val="single"/>
        </w:rPr>
        <w:t>Counterparts</w:t>
      </w:r>
      <w:r>
        <w:rPr>
          <w:rFonts w:ascii="Times New Roman;serif" w:hAnsi="Times New Roman;serif"/>
          <w:b w:val="false"/>
          <w:sz w:val="20"/>
        </w:rPr>
        <w:t>. This Agreement may be executed on separate copies, any one of which need not contain signatures of more than one party but all of which taken together shall constitute one and the same Agreement.</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[Signatures to follow on next page]</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IN WITNESS WHEREOF, this Agreement is executed as of June </w:t>
      </w:r>
      <w:r>
        <w:rPr>
          <w:rFonts w:ascii="Times New Roman;serif" w:hAnsi="Times New Roman;serif"/>
          <w:b w:val="false"/>
          <w:sz w:val="20"/>
          <w:u w:val="single"/>
        </w:rPr>
        <w:t>14</w:t>
      </w:r>
      <w:r>
        <w:rPr>
          <w:rFonts w:ascii="Times New Roman" w:hAnsi="Times New Roman"/>
          <w:sz w:val="20"/>
        </w:rPr>
        <w:t xml:space="preserve"> </w:t>
      </w:r>
      <w:r>
        <w:rPr>
          <w:rFonts w:ascii="Times New Roman;serif" w:hAnsi="Times New Roman;serif"/>
          <w:b w:val="false"/>
          <w:sz w:val="20"/>
        </w:rPr>
        <w:t>, 2023.</w:t>
      </w:r>
    </w:p>
    <w:p>
      <w:pPr>
        <w:pStyle w:val="TextBody"/>
        <w:bidi w:val="0"/>
        <w:spacing w:before="0" w:after="0"/>
        <w:jc w:val="left"/>
        <w:rPr/>
      </w:pPr>
      <w:r>
        <w:rPr/>
        <w:t> </w:t>
      </w:r>
    </w:p>
    <w:p>
      <w:pPr>
        <w:pStyle w:val="TextBody"/>
        <w:bidi w:val="0"/>
        <w:spacing w:before="0" w:after="0"/>
        <w:jc w:val="left"/>
        <w:rPr/>
      </w:pPr>
      <w:r>
        <w:rPr/>
        <w:t> </w:t>
      </w:r>
    </w:p>
    <w:tbl>
      <w:tblPr>
        <w:tblW w:w="3609" w:type="dxa"/>
        <w:jc w:val="left"/>
        <w:tblInd w:w="0" w:type="dxa"/>
        <w:tblLayout w:type="fixed"/>
        <w:tblCellMar>
          <w:top w:w="28" w:type="dxa"/>
          <w:left w:w="28" w:type="dxa"/>
          <w:bottom w:w="28" w:type="dxa"/>
          <w:right w:w="28" w:type="dxa"/>
        </w:tblCellMar>
      </w:tblPr>
      <w:tblGrid>
        <w:gridCol w:w="421"/>
        <w:gridCol w:w="218"/>
        <w:gridCol w:w="767"/>
        <w:gridCol w:w="2203"/>
      </w:tblGrid>
      <w:tr>
        <w:trPr/>
        <w:tc>
          <w:tcPr>
            <w:tcW w:w="4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ind w:left="0" w:right="0" w:firstLine="50"/>
              <w:jc w:val="left"/>
              <w:rPr>
                <w:sz w:val="4"/>
                <w:szCs w:val="4"/>
              </w:rPr>
            </w:pPr>
            <w:r>
              <w:rPr>
                <w:sz w:val="4"/>
                <w:szCs w:val="4"/>
              </w:rPr>
            </w:r>
          </w:p>
        </w:tc>
      </w:tr>
      <w:tr>
        <w:trPr/>
        <w:tc>
          <w:tcPr>
            <w:tcW w:w="421" w:type="dxa"/>
            <w:tcBorders/>
            <w:vAlign w:val="center"/>
          </w:tcPr>
          <w:p>
            <w:pPr>
              <w:pStyle w:val="TableContents"/>
              <w:bidi w:val="0"/>
              <w:spacing w:before="0" w:after="0"/>
              <w:ind w:left="50" w:right="0" w:hanging="0"/>
              <w:jc w:val="left"/>
              <w:rPr/>
            </w:pPr>
            <w:r>
              <w:rPr/>
              <w:t> </w:t>
            </w:r>
          </w:p>
        </w:tc>
        <w:tc>
          <w:tcPr>
            <w:tcW w:w="218" w:type="dxa"/>
            <w:tcBorders/>
            <w:vAlign w:val="center"/>
          </w:tcPr>
          <w:p>
            <w:pPr>
              <w:pStyle w:val="TableContents"/>
              <w:bidi w:val="0"/>
              <w:spacing w:before="0" w:after="0"/>
              <w:ind w:left="0" w:right="0" w:hanging="0"/>
              <w:jc w:val="both"/>
              <w:rPr/>
            </w:pPr>
            <w:r>
              <w:rPr/>
              <w:t> </w:t>
            </w:r>
          </w:p>
        </w:tc>
        <w:tc>
          <w:tcPr>
            <w:tcW w:w="2970" w:type="dxa"/>
            <w:gridSpan w:val="2"/>
            <w:tcBorders/>
            <w:vAlign w:val="center"/>
          </w:tcPr>
          <w:p>
            <w:pPr>
              <w:pStyle w:val="TableContents"/>
              <w:bidi w:val="0"/>
              <w:spacing w:before="0" w:after="0"/>
              <w:ind w:left="0" w:right="0" w:firstLine="50"/>
              <w:jc w:val="left"/>
              <w:rPr/>
            </w:pPr>
            <w:r>
              <w:rPr/>
              <w:t>“</w:t>
            </w:r>
            <w:r>
              <w:rPr>
                <w:rFonts w:ascii="Times New Roman;serif" w:hAnsi="Times New Roman;serif"/>
                <w:b w:val="false"/>
                <w:sz w:val="20"/>
              </w:rPr>
              <w:t>COMPANY”</w:t>
            </w:r>
          </w:p>
        </w:tc>
      </w:tr>
      <w:tr>
        <w:trPr/>
        <w:tc>
          <w:tcPr>
            <w:tcW w:w="421" w:type="dxa"/>
            <w:tcBorders/>
            <w:vAlign w:val="center"/>
          </w:tcPr>
          <w:p>
            <w:pPr>
              <w:pStyle w:val="TableContents"/>
              <w:bidi w:val="0"/>
              <w:spacing w:before="0" w:after="0"/>
              <w:ind w:left="50" w:right="0" w:hanging="0"/>
              <w:jc w:val="left"/>
              <w:rPr/>
            </w:pPr>
            <w:r>
              <w:rPr/>
              <w:t> </w:t>
            </w:r>
          </w:p>
        </w:tc>
        <w:tc>
          <w:tcPr>
            <w:tcW w:w="218" w:type="dxa"/>
            <w:tcBorders/>
            <w:vAlign w:val="center"/>
          </w:tcPr>
          <w:p>
            <w:pPr>
              <w:pStyle w:val="TableContents"/>
              <w:bidi w:val="0"/>
              <w:spacing w:before="0" w:after="0"/>
              <w:ind w:left="0" w:right="0" w:hanging="0"/>
              <w:jc w:val="both"/>
              <w:rPr/>
            </w:pPr>
            <w:r>
              <w:rPr/>
              <w:t> </w:t>
            </w:r>
          </w:p>
        </w:tc>
        <w:tc>
          <w:tcPr>
            <w:tcW w:w="2970"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sz w:val="20"/>
              </w:rPr>
              <w:t>AVITA Medical, Inc. and AVITA</w:t>
            </w:r>
            <w:r>
              <w:rPr>
                <w:rFonts w:ascii="Times New Roman" w:hAnsi="Times New Roman"/>
                <w:sz w:val="20"/>
              </w:rPr>
              <w:t xml:space="preserve"> </w:t>
            </w:r>
          </w:p>
          <w:p>
            <w:pPr>
              <w:pStyle w:val="TableContents"/>
              <w:bidi w:val="0"/>
              <w:spacing w:before="0" w:after="0"/>
              <w:ind w:left="0" w:right="0" w:firstLine="50"/>
              <w:jc w:val="left"/>
              <w:rPr>
                <w:rFonts w:ascii="Times New Roman;serif" w:hAnsi="Times New Roman;serif"/>
                <w:b/>
                <w:sz w:val="20"/>
              </w:rPr>
            </w:pPr>
            <w:r>
              <w:rPr>
                <w:rFonts w:ascii="Times New Roman;serif" w:hAnsi="Times New Roman;serif"/>
                <w:b/>
                <w:sz w:val="20"/>
              </w:rPr>
              <w:t>Medical Americas, LLC</w:t>
            </w:r>
          </w:p>
        </w:tc>
      </w:tr>
      <w:tr>
        <w:trPr/>
        <w:tc>
          <w:tcPr>
            <w:tcW w:w="421" w:type="dxa"/>
            <w:tcBorders/>
            <w:vAlign w:val="center"/>
          </w:tcPr>
          <w:p>
            <w:pPr>
              <w:pStyle w:val="TableContents"/>
              <w:bidi w:val="0"/>
              <w:spacing w:before="0" w:after="0"/>
              <w:ind w:left="50" w:right="0" w:hanging="0"/>
              <w:jc w:val="left"/>
              <w:rPr/>
            </w:pPr>
            <w:r>
              <w:rPr/>
              <w:t> </w:t>
            </w:r>
          </w:p>
        </w:tc>
        <w:tc>
          <w:tcPr>
            <w:tcW w:w="218" w:type="dxa"/>
            <w:tcBorders/>
            <w:vAlign w:val="center"/>
          </w:tcPr>
          <w:p>
            <w:pPr>
              <w:pStyle w:val="TableContents"/>
              <w:bidi w:val="0"/>
              <w:spacing w:before="0" w:after="0"/>
              <w:ind w:left="0" w:right="0" w:hanging="0"/>
              <w:jc w:val="both"/>
              <w:rPr/>
            </w:pPr>
            <w:r>
              <w:rPr/>
              <w:t> </w:t>
            </w:r>
          </w:p>
        </w:tc>
        <w:tc>
          <w:tcPr>
            <w:tcW w:w="2970" w:type="dxa"/>
            <w:gridSpan w:val="2"/>
            <w:tcBorders/>
            <w:vAlign w:val="center"/>
          </w:tcPr>
          <w:p>
            <w:pPr>
              <w:pStyle w:val="TableContents"/>
              <w:bidi w:val="0"/>
              <w:spacing w:before="0" w:after="0"/>
              <w:ind w:left="0" w:right="0" w:firstLine="50"/>
              <w:jc w:val="left"/>
              <w:rPr/>
            </w:pPr>
            <w:r>
              <w:rPr/>
              <w:t> </w:t>
            </w:r>
          </w:p>
        </w:tc>
      </w:tr>
      <w:tr>
        <w:trPr/>
        <w:tc>
          <w:tcPr>
            <w:tcW w:w="421" w:type="dxa"/>
            <w:tcBorders/>
            <w:vAlign w:val="center"/>
          </w:tcPr>
          <w:p>
            <w:pPr>
              <w:pStyle w:val="TableContents"/>
              <w:bidi w:val="0"/>
              <w:spacing w:before="0" w:after="0"/>
              <w:ind w:left="50" w:right="0" w:hanging="0"/>
              <w:jc w:val="left"/>
              <w:rPr>
                <w:rFonts w:ascii="Times New Roman;serif" w:hAnsi="Times New Roman;serif"/>
                <w:b w:val="false"/>
                <w:sz w:val="20"/>
              </w:rPr>
            </w:pPr>
            <w:r>
              <w:rPr>
                <w:rFonts w:ascii="Times New Roman;serif" w:hAnsi="Times New Roman;serif"/>
                <w:b w:val="false"/>
                <w:sz w:val="20"/>
              </w:rPr>
              <w:t>By:</w:t>
            </w:r>
          </w:p>
        </w:tc>
        <w:tc>
          <w:tcPr>
            <w:tcW w:w="218" w:type="dxa"/>
            <w:tcBorders/>
            <w:vAlign w:val="center"/>
          </w:tcPr>
          <w:p>
            <w:pPr>
              <w:pStyle w:val="TableContents"/>
              <w:bidi w:val="0"/>
              <w:spacing w:before="0" w:after="0"/>
              <w:ind w:left="0" w:right="0" w:hanging="0"/>
              <w:jc w:val="both"/>
              <w:rPr/>
            </w:pPr>
            <w:r>
              <w:rPr/>
              <w:t> </w:t>
            </w:r>
          </w:p>
        </w:tc>
        <w:tc>
          <w:tcPr>
            <w:tcW w:w="2970" w:type="dxa"/>
            <w:gridSpan w:val="2"/>
            <w:tcBorders/>
            <w:vAlign w:val="center"/>
          </w:tcPr>
          <w:p>
            <w:pPr>
              <w:pStyle w:val="TableContents"/>
              <w:pBdr>
                <w:bottom w:val="single" w:sz="6" w:space="1" w:color="000000"/>
              </w:pBdr>
              <w:bidi w:val="0"/>
              <w:spacing w:before="0" w:after="0"/>
              <w:ind w:left="0" w:right="0" w:hanging="0"/>
              <w:jc w:val="left"/>
              <w:rPr/>
            </w:pPr>
            <w:r>
              <w:rPr/>
              <w:drawing>
                <wp:inline distT="0" distB="0" distL="0" distR="0">
                  <wp:extent cx="1685925" cy="561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8"/>
                          <a:stretch>
                            <a:fillRect/>
                          </a:stretch>
                        </pic:blipFill>
                        <pic:spPr bwMode="auto">
                          <a:xfrm>
                            <a:off x="0" y="0"/>
                            <a:ext cx="1685925" cy="561975"/>
                          </a:xfrm>
                          <a:prstGeom prst="rect">
                            <a:avLst/>
                          </a:prstGeom>
                        </pic:spPr>
                      </pic:pic>
                    </a:graphicData>
                  </a:graphic>
                </wp:inline>
              </w:drawing>
            </w:r>
            <w:r>
              <w:rPr/>
              <w:t> </w:t>
            </w:r>
          </w:p>
        </w:tc>
      </w:tr>
      <w:tr>
        <w:trPr/>
        <w:tc>
          <w:tcPr>
            <w:tcW w:w="421" w:type="dxa"/>
            <w:tcBorders/>
            <w:vAlign w:val="center"/>
          </w:tcPr>
          <w:p>
            <w:pPr>
              <w:pStyle w:val="TableContents"/>
              <w:bidi w:val="0"/>
              <w:spacing w:before="0" w:after="0"/>
              <w:ind w:left="0" w:right="0" w:hanging="0"/>
              <w:jc w:val="both"/>
              <w:rPr/>
            </w:pPr>
            <w:r>
              <w:rPr/>
              <w:t> </w:t>
            </w:r>
          </w:p>
        </w:tc>
        <w:tc>
          <w:tcPr>
            <w:tcW w:w="218" w:type="dxa"/>
            <w:tcBorders/>
            <w:vAlign w:val="center"/>
          </w:tcPr>
          <w:p>
            <w:pPr>
              <w:pStyle w:val="TableContents"/>
              <w:bidi w:val="0"/>
              <w:spacing w:before="0" w:after="0"/>
              <w:ind w:left="0" w:right="0" w:firstLine="72"/>
              <w:jc w:val="both"/>
              <w:rPr/>
            </w:pPr>
            <w:r>
              <w:rPr/>
              <w:t> </w:t>
            </w:r>
          </w:p>
        </w:tc>
        <w:tc>
          <w:tcPr>
            <w:tcW w:w="767" w:type="dxa"/>
            <w:tcBorders/>
            <w:vAlign w:val="center"/>
          </w:tcPr>
          <w:p>
            <w:pPr>
              <w:pStyle w:val="TableContents"/>
              <w:bidi w:val="0"/>
              <w:spacing w:before="30" w:after="0"/>
              <w:ind w:left="0" w:right="0" w:firstLine="90"/>
              <w:jc w:val="left"/>
              <w:rPr>
                <w:rFonts w:ascii="Times New Roman;serif" w:hAnsi="Times New Roman;serif"/>
                <w:b w:val="false"/>
                <w:sz w:val="20"/>
              </w:rPr>
            </w:pPr>
            <w:r>
              <w:rPr>
                <w:rFonts w:ascii="Times New Roman;serif" w:hAnsi="Times New Roman;serif"/>
                <w:b w:val="false"/>
                <w:sz w:val="20"/>
              </w:rPr>
              <w:t>Name:</w:t>
            </w:r>
          </w:p>
        </w:tc>
        <w:tc>
          <w:tcPr>
            <w:tcW w:w="2203" w:type="dxa"/>
            <w:tcBorders/>
            <w:vAlign w:val="center"/>
          </w:tcPr>
          <w:p>
            <w:pPr>
              <w:pStyle w:val="TableContents"/>
              <w:bidi w:val="0"/>
              <w:spacing w:before="30" w:after="0"/>
              <w:ind w:left="90" w:right="0" w:hanging="0"/>
              <w:jc w:val="left"/>
              <w:rPr>
                <w:rFonts w:ascii="Times New Roman;serif" w:hAnsi="Times New Roman;serif"/>
                <w:b w:val="false"/>
                <w:sz w:val="20"/>
              </w:rPr>
            </w:pPr>
            <w:r>
              <w:rPr>
                <w:rFonts w:ascii="Times New Roman;serif" w:hAnsi="Times New Roman;serif"/>
                <w:b w:val="false"/>
                <w:sz w:val="20"/>
              </w:rPr>
              <w:t>James Corbett</w:t>
            </w:r>
          </w:p>
        </w:tc>
      </w:tr>
      <w:tr>
        <w:trPr/>
        <w:tc>
          <w:tcPr>
            <w:tcW w:w="421" w:type="dxa"/>
            <w:tcBorders/>
            <w:vAlign w:val="center"/>
          </w:tcPr>
          <w:p>
            <w:pPr>
              <w:pStyle w:val="TableContents"/>
              <w:bidi w:val="0"/>
              <w:spacing w:before="0" w:after="0"/>
              <w:ind w:left="0" w:right="0" w:hanging="0"/>
              <w:jc w:val="both"/>
              <w:rPr/>
            </w:pPr>
            <w:r>
              <w:rPr/>
              <w:t> </w:t>
            </w:r>
          </w:p>
        </w:tc>
        <w:tc>
          <w:tcPr>
            <w:tcW w:w="218" w:type="dxa"/>
            <w:tcBorders/>
            <w:vAlign w:val="center"/>
          </w:tcPr>
          <w:p>
            <w:pPr>
              <w:pStyle w:val="TableContents"/>
              <w:bidi w:val="0"/>
              <w:spacing w:before="0" w:after="0"/>
              <w:ind w:left="0" w:right="0" w:hanging="0"/>
              <w:jc w:val="both"/>
              <w:rPr/>
            </w:pPr>
            <w:r>
              <w:rPr/>
              <w:t> </w:t>
            </w:r>
          </w:p>
        </w:tc>
        <w:tc>
          <w:tcPr>
            <w:tcW w:w="767" w:type="dxa"/>
            <w:tcBorders/>
            <w:vAlign w:val="center"/>
          </w:tcPr>
          <w:p>
            <w:pPr>
              <w:pStyle w:val="TableContents"/>
              <w:bidi w:val="0"/>
              <w:spacing w:before="0" w:after="0"/>
              <w:ind w:left="0" w:right="0" w:hanging="0"/>
              <w:jc w:val="both"/>
              <w:rPr/>
            </w:pPr>
            <w:r>
              <w:rPr/>
              <w:t> </w:t>
            </w:r>
          </w:p>
        </w:tc>
        <w:tc>
          <w:tcPr>
            <w:tcW w:w="2203" w:type="dxa"/>
            <w:tcBorders/>
            <w:vAlign w:val="center"/>
          </w:tcPr>
          <w:p>
            <w:pPr>
              <w:pStyle w:val="TableContents"/>
              <w:bidi w:val="0"/>
              <w:spacing w:before="0" w:after="0"/>
              <w:ind w:left="0" w:right="0" w:hanging="0"/>
              <w:jc w:val="both"/>
              <w:rPr/>
            </w:pPr>
            <w:r>
              <w:rPr/>
              <w:t> </w:t>
            </w:r>
          </w:p>
        </w:tc>
      </w:tr>
      <w:tr>
        <w:trPr/>
        <w:tc>
          <w:tcPr>
            <w:tcW w:w="421" w:type="dxa"/>
            <w:tcBorders/>
            <w:vAlign w:val="center"/>
          </w:tcPr>
          <w:p>
            <w:pPr>
              <w:pStyle w:val="TableContents"/>
              <w:bidi w:val="0"/>
              <w:spacing w:before="0" w:after="0"/>
              <w:ind w:left="0" w:right="0" w:hanging="0"/>
              <w:jc w:val="both"/>
              <w:rPr/>
            </w:pPr>
            <w:r>
              <w:rPr/>
              <w:t> </w:t>
            </w:r>
          </w:p>
        </w:tc>
        <w:tc>
          <w:tcPr>
            <w:tcW w:w="218" w:type="dxa"/>
            <w:tcBorders/>
            <w:vAlign w:val="center"/>
          </w:tcPr>
          <w:p>
            <w:pPr>
              <w:pStyle w:val="TableContents"/>
              <w:bidi w:val="0"/>
              <w:spacing w:before="0" w:after="0"/>
              <w:ind w:left="0" w:right="0" w:firstLine="72"/>
              <w:jc w:val="both"/>
              <w:rPr/>
            </w:pPr>
            <w:r>
              <w:rPr/>
              <w:t> </w:t>
            </w:r>
          </w:p>
        </w:tc>
        <w:tc>
          <w:tcPr>
            <w:tcW w:w="767" w:type="dxa"/>
            <w:tcBorders/>
            <w:vAlign w:val="center"/>
          </w:tcPr>
          <w:p>
            <w:pPr>
              <w:pStyle w:val="TableContents"/>
              <w:bidi w:val="0"/>
              <w:spacing w:before="0" w:after="0"/>
              <w:ind w:left="72" w:right="0" w:hanging="0"/>
              <w:jc w:val="left"/>
              <w:rPr>
                <w:rFonts w:ascii="Times New Roman;serif" w:hAnsi="Times New Roman;serif"/>
                <w:b w:val="false"/>
                <w:sz w:val="20"/>
              </w:rPr>
            </w:pPr>
            <w:r>
              <w:rPr>
                <w:rFonts w:ascii="Times New Roman;serif" w:hAnsi="Times New Roman;serif"/>
                <w:b w:val="false"/>
                <w:sz w:val="20"/>
              </w:rPr>
              <w:t>Title:</w:t>
            </w:r>
          </w:p>
        </w:tc>
        <w:tc>
          <w:tcPr>
            <w:tcW w:w="2203" w:type="dxa"/>
            <w:tcBorders/>
            <w:vAlign w:val="center"/>
          </w:tcPr>
          <w:p>
            <w:pPr>
              <w:pStyle w:val="TableContents"/>
              <w:pBdr>
                <w:bottom w:val="single" w:sz="6" w:space="1" w:color="000000"/>
              </w:pBdr>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r>
        <w:trPr/>
        <w:tc>
          <w:tcPr>
            <w:tcW w:w="421" w:type="dxa"/>
            <w:tcBorders/>
            <w:vAlign w:val="center"/>
          </w:tcPr>
          <w:p>
            <w:pPr>
              <w:pStyle w:val="TableContents"/>
              <w:bidi w:val="0"/>
              <w:spacing w:before="0" w:after="0"/>
              <w:ind w:left="0" w:right="0" w:hanging="0"/>
              <w:jc w:val="both"/>
              <w:rPr/>
            </w:pPr>
            <w:r>
              <w:rPr/>
              <w:t> </w:t>
            </w:r>
          </w:p>
        </w:tc>
        <w:tc>
          <w:tcPr>
            <w:tcW w:w="218" w:type="dxa"/>
            <w:tcBorders/>
            <w:vAlign w:val="center"/>
          </w:tcPr>
          <w:p>
            <w:pPr>
              <w:pStyle w:val="TableContents"/>
              <w:bidi w:val="0"/>
              <w:spacing w:before="0" w:after="0"/>
              <w:ind w:left="0" w:right="0" w:hanging="0"/>
              <w:jc w:val="both"/>
              <w:rPr/>
            </w:pPr>
            <w:r>
              <w:rPr/>
              <w:t> </w:t>
            </w:r>
          </w:p>
        </w:tc>
        <w:tc>
          <w:tcPr>
            <w:tcW w:w="767" w:type="dxa"/>
            <w:tcBorders/>
            <w:vAlign w:val="center"/>
          </w:tcPr>
          <w:p>
            <w:pPr>
              <w:pStyle w:val="TableContents"/>
              <w:bidi w:val="0"/>
              <w:spacing w:before="0" w:after="0"/>
              <w:ind w:left="0" w:right="0" w:hanging="0"/>
              <w:jc w:val="both"/>
              <w:rPr/>
            </w:pPr>
            <w:r>
              <w:rPr/>
              <w:t> </w:t>
            </w:r>
          </w:p>
        </w:tc>
        <w:tc>
          <w:tcPr>
            <w:tcW w:w="2203" w:type="dxa"/>
            <w:tcBorders/>
            <w:vAlign w:val="center"/>
          </w:tcPr>
          <w:p>
            <w:pPr>
              <w:pStyle w:val="TableContents"/>
              <w:bidi w:val="0"/>
              <w:spacing w:before="0" w:after="0"/>
              <w:ind w:left="0" w:right="0" w:hanging="0"/>
              <w:jc w:val="both"/>
              <w:rPr/>
            </w:pPr>
            <w:r>
              <w:rPr/>
              <w:t> </w:t>
            </w:r>
          </w:p>
        </w:tc>
      </w:tr>
      <w:tr>
        <w:trPr/>
        <w:tc>
          <w:tcPr>
            <w:tcW w:w="421" w:type="dxa"/>
            <w:tcBorders/>
            <w:vAlign w:val="center"/>
          </w:tcPr>
          <w:p>
            <w:pPr>
              <w:pStyle w:val="TableContents"/>
              <w:bidi w:val="0"/>
              <w:spacing w:before="0" w:after="0"/>
              <w:ind w:left="0" w:right="0" w:hanging="0"/>
              <w:jc w:val="both"/>
              <w:rPr/>
            </w:pPr>
            <w:r>
              <w:rPr/>
              <w:t> </w:t>
            </w:r>
          </w:p>
        </w:tc>
        <w:tc>
          <w:tcPr>
            <w:tcW w:w="218" w:type="dxa"/>
            <w:tcBorders/>
            <w:vAlign w:val="center"/>
          </w:tcPr>
          <w:p>
            <w:pPr>
              <w:pStyle w:val="TableContents"/>
              <w:bidi w:val="0"/>
              <w:spacing w:before="0" w:after="0"/>
              <w:ind w:left="0" w:right="0" w:firstLine="72"/>
              <w:jc w:val="both"/>
              <w:rPr/>
            </w:pPr>
            <w:r>
              <w:rPr/>
              <w:t> </w:t>
            </w:r>
          </w:p>
        </w:tc>
        <w:tc>
          <w:tcPr>
            <w:tcW w:w="767" w:type="dxa"/>
            <w:tcBorders/>
            <w:vAlign w:val="center"/>
          </w:tcPr>
          <w:p>
            <w:pPr>
              <w:pStyle w:val="TableContents"/>
              <w:bidi w:val="0"/>
              <w:spacing w:before="0" w:after="0"/>
              <w:ind w:left="72" w:right="0" w:hanging="0"/>
              <w:jc w:val="left"/>
              <w:rPr>
                <w:rFonts w:ascii="Times New Roman;serif" w:hAnsi="Times New Roman;serif"/>
                <w:b w:val="false"/>
                <w:sz w:val="20"/>
              </w:rPr>
            </w:pPr>
            <w:r>
              <w:rPr>
                <w:rFonts w:ascii="Times New Roman;serif" w:hAnsi="Times New Roman;serif"/>
                <w:b w:val="false"/>
                <w:sz w:val="20"/>
              </w:rPr>
              <w:t>Date:</w:t>
            </w:r>
          </w:p>
        </w:tc>
        <w:tc>
          <w:tcPr>
            <w:tcW w:w="2203" w:type="dxa"/>
            <w:tcBorders/>
            <w:vAlign w:val="center"/>
          </w:tcPr>
          <w:p>
            <w:pPr>
              <w:pStyle w:val="TableContents"/>
              <w:pBdr>
                <w:bottom w:val="single" w:sz="6" w:space="1" w:color="000000"/>
              </w:pBdr>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06/14/2023</w:t>
            </w:r>
          </w:p>
        </w:tc>
      </w:tr>
      <w:tr>
        <w:trPr/>
        <w:tc>
          <w:tcPr>
            <w:tcW w:w="421" w:type="dxa"/>
            <w:tcBorders/>
            <w:vAlign w:val="center"/>
          </w:tcPr>
          <w:p>
            <w:pPr>
              <w:pStyle w:val="TableContents"/>
              <w:bidi w:val="0"/>
              <w:spacing w:before="0" w:after="0"/>
              <w:ind w:left="0" w:right="0" w:hanging="0"/>
              <w:jc w:val="both"/>
              <w:rPr/>
            </w:pPr>
            <w:r>
              <w:rPr/>
              <w:t> </w:t>
            </w:r>
          </w:p>
        </w:tc>
        <w:tc>
          <w:tcPr>
            <w:tcW w:w="218" w:type="dxa"/>
            <w:tcBorders/>
            <w:vAlign w:val="center"/>
          </w:tcPr>
          <w:p>
            <w:pPr>
              <w:pStyle w:val="TableContents"/>
              <w:bidi w:val="0"/>
              <w:spacing w:before="0" w:after="0"/>
              <w:ind w:left="0" w:right="0" w:hanging="0"/>
              <w:jc w:val="both"/>
              <w:rPr/>
            </w:pPr>
            <w:r>
              <w:rPr/>
              <w:t> </w:t>
            </w:r>
          </w:p>
        </w:tc>
        <w:tc>
          <w:tcPr>
            <w:tcW w:w="767" w:type="dxa"/>
            <w:tcBorders/>
            <w:vAlign w:val="center"/>
          </w:tcPr>
          <w:p>
            <w:pPr>
              <w:pStyle w:val="TableContents"/>
              <w:bidi w:val="0"/>
              <w:spacing w:before="0" w:after="0"/>
              <w:ind w:left="0" w:right="0" w:hanging="0"/>
              <w:jc w:val="both"/>
              <w:rPr/>
            </w:pPr>
            <w:r>
              <w:rPr/>
              <w:t> </w:t>
            </w:r>
          </w:p>
        </w:tc>
        <w:tc>
          <w:tcPr>
            <w:tcW w:w="2203" w:type="dxa"/>
            <w:tcBorders/>
            <w:vAlign w:val="center"/>
          </w:tcPr>
          <w:p>
            <w:pPr>
              <w:pStyle w:val="TableContents"/>
              <w:bidi w:val="0"/>
              <w:spacing w:before="0" w:after="0"/>
              <w:ind w:left="0" w:right="0" w:hanging="0"/>
              <w:jc w:val="both"/>
              <w:rPr/>
            </w:pPr>
            <w:r>
              <w:rPr/>
              <w:t> </w:t>
            </w:r>
          </w:p>
        </w:tc>
      </w:tr>
      <w:tr>
        <w:trPr/>
        <w:tc>
          <w:tcPr>
            <w:tcW w:w="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and</w:t>
            </w:r>
          </w:p>
        </w:tc>
        <w:tc>
          <w:tcPr>
            <w:tcW w:w="218" w:type="dxa"/>
            <w:tcBorders/>
            <w:vAlign w:val="center"/>
          </w:tcPr>
          <w:p>
            <w:pPr>
              <w:pStyle w:val="TableContents"/>
              <w:bidi w:val="0"/>
              <w:spacing w:before="0" w:after="0"/>
              <w:ind w:left="0" w:right="0" w:hanging="0"/>
              <w:jc w:val="both"/>
              <w:rPr/>
            </w:pPr>
            <w:r>
              <w:rPr/>
              <w:t> </w:t>
            </w:r>
          </w:p>
        </w:tc>
        <w:tc>
          <w:tcPr>
            <w:tcW w:w="767" w:type="dxa"/>
            <w:tcBorders/>
            <w:vAlign w:val="center"/>
          </w:tcPr>
          <w:p>
            <w:pPr>
              <w:pStyle w:val="TableContents"/>
              <w:bidi w:val="0"/>
              <w:spacing w:before="0" w:after="0"/>
              <w:ind w:left="0" w:right="0" w:hanging="0"/>
              <w:jc w:val="both"/>
              <w:rPr/>
            </w:pPr>
            <w:r>
              <w:rPr/>
              <w:t> </w:t>
            </w:r>
          </w:p>
        </w:tc>
        <w:tc>
          <w:tcPr>
            <w:tcW w:w="2203" w:type="dxa"/>
            <w:tcBorders/>
            <w:vAlign w:val="center"/>
          </w:tcPr>
          <w:p>
            <w:pPr>
              <w:pStyle w:val="TableContents"/>
              <w:bidi w:val="0"/>
              <w:spacing w:before="0" w:after="0"/>
              <w:ind w:left="0" w:right="0" w:hanging="0"/>
              <w:jc w:val="both"/>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3173" w:type="dxa"/>
        <w:jc w:val="left"/>
        <w:tblInd w:w="0" w:type="dxa"/>
        <w:tblLayout w:type="fixed"/>
        <w:tblCellMar>
          <w:top w:w="28" w:type="dxa"/>
          <w:left w:w="28" w:type="dxa"/>
          <w:bottom w:w="28" w:type="dxa"/>
          <w:right w:w="28" w:type="dxa"/>
        </w:tblCellMar>
      </w:tblPr>
      <w:tblGrid>
        <w:gridCol w:w="421"/>
        <w:gridCol w:w="146"/>
        <w:gridCol w:w="1088"/>
        <w:gridCol w:w="1518"/>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606" w:type="dxa"/>
            <w:gridSpan w:val="2"/>
            <w:tcBorders/>
            <w:vAlign w:val="center"/>
          </w:tcPr>
          <w:p>
            <w:pPr>
              <w:pStyle w:val="TableContents"/>
              <w:bidi w:val="0"/>
              <w:spacing w:before="0" w:after="0"/>
              <w:ind w:left="0" w:right="0" w:hanging="0"/>
              <w:jc w:val="left"/>
              <w:rPr/>
            </w:pPr>
            <w:r>
              <w:rPr/>
              <w:t>“</w:t>
            </w:r>
            <w:r>
              <w:rPr>
                <w:rFonts w:ascii="Times New Roman;serif" w:hAnsi="Times New Roman;serif"/>
                <w:b w:val="false"/>
                <w:sz w:val="20"/>
              </w:rPr>
              <w:t>EXECUTIVE”</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606" w:type="dxa"/>
            <w:gridSpan w:val="2"/>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David O’Toole</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606" w:type="dxa"/>
            <w:gridSpan w:val="2"/>
            <w:tcBorders/>
            <w:vAlign w:val="center"/>
          </w:tcPr>
          <w:p>
            <w:pPr>
              <w:pStyle w:val="TableContents"/>
              <w:bidi w:val="0"/>
              <w:spacing w:before="0" w:after="0"/>
              <w:ind w:left="0" w:right="0" w:hanging="0"/>
              <w:jc w:val="left"/>
              <w:rPr/>
            </w:pPr>
            <w:r>
              <w:rPr/>
              <w:t> </w:t>
            </w:r>
          </w:p>
        </w:tc>
      </w:tr>
      <w:tr>
        <w:trPr/>
        <w:tc>
          <w:tcPr>
            <w:tcW w:w="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0"/>
              <w:ind w:left="0" w:right="0" w:hanging="0"/>
              <w:jc w:val="both"/>
              <w:rPr/>
            </w:pPr>
            <w:r>
              <w:rPr/>
              <w:t> </w:t>
            </w:r>
          </w:p>
        </w:tc>
        <w:tc>
          <w:tcPr>
            <w:tcW w:w="2606" w:type="dxa"/>
            <w:gridSpan w:val="2"/>
            <w:tcBorders/>
            <w:vAlign w:val="center"/>
          </w:tcPr>
          <w:p>
            <w:pPr>
              <w:pStyle w:val="TableContents"/>
              <w:pBdr>
                <w:bottom w:val="single" w:sz="6" w:space="1" w:color="000000"/>
              </w:pBdr>
              <w:bidi w:val="0"/>
              <w:spacing w:before="0" w:after="0"/>
              <w:ind w:left="0" w:right="0" w:hanging="0"/>
              <w:jc w:val="left"/>
              <w:rPr/>
            </w:pPr>
            <w:r>
              <w:rPr/>
              <w:drawing>
                <wp:inline distT="0" distB="0" distL="0" distR="0">
                  <wp:extent cx="1533525" cy="400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9"/>
                          <a:stretch>
                            <a:fillRect/>
                          </a:stretch>
                        </pic:blipFill>
                        <pic:spPr bwMode="auto">
                          <a:xfrm>
                            <a:off x="0" y="0"/>
                            <a:ext cx="1533525" cy="400050"/>
                          </a:xfrm>
                          <a:prstGeom prst="rect">
                            <a:avLst/>
                          </a:prstGeom>
                        </pic:spPr>
                      </pic:pic>
                    </a:graphicData>
                  </a:graphic>
                </wp:inline>
              </w:drawing>
            </w:r>
            <w:r>
              <w:rPr/>
              <w:t> </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10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15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David O'Toole</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1088" w:type="dxa"/>
            <w:tcBorders/>
            <w:vAlign w:val="center"/>
          </w:tcPr>
          <w:p>
            <w:pPr>
              <w:pStyle w:val="TableContents"/>
              <w:bidi w:val="0"/>
              <w:spacing w:before="0" w:after="0"/>
              <w:ind w:left="0" w:right="0" w:hanging="0"/>
              <w:jc w:val="both"/>
              <w:rPr/>
            </w:pPr>
            <w:r>
              <w:rPr/>
              <w:t> </w:t>
            </w:r>
          </w:p>
        </w:tc>
        <w:tc>
          <w:tcPr>
            <w:tcW w:w="1518" w:type="dxa"/>
            <w:tcBorders/>
            <w:vAlign w:val="center"/>
          </w:tcPr>
          <w:p>
            <w:pPr>
              <w:pStyle w:val="TableContents"/>
              <w:bidi w:val="0"/>
              <w:spacing w:before="0" w:after="0"/>
              <w:ind w:left="0" w:right="0" w:hanging="0"/>
              <w:jc w:val="both"/>
              <w:rPr/>
            </w:pPr>
            <w:r>
              <w:rPr/>
              <w:t> </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10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5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06/14/2023</w:t>
            </w:r>
          </w:p>
        </w:tc>
      </w:tr>
    </w:tbl>
    <w:p>
      <w:pPr>
        <w:pStyle w:val="TextBody"/>
        <w:bidi w:val="0"/>
        <w:spacing w:before="0" w:after="0"/>
        <w:jc w:val="left"/>
        <w:rPr/>
      </w:pPr>
      <w:r>
        <w:rPr/>
        <w:t>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5" w:name="rcel-ex31_1.htm"/>
      <w:bookmarkStart w:id="26" w:name="ksrcelex31_1"/>
      <w:bookmarkEnd w:id="25"/>
      <w:bookmarkEnd w:id="26"/>
      <w:r>
        <w:rPr/>
        <w:t> </w:t>
      </w:r>
      <w:r>
        <w:br w:type="page"/>
      </w:r>
    </w:p>
    <w:p>
      <w:pPr>
        <w:pStyle w:val="TextBody"/>
        <w:bidi w:val="0"/>
        <w:spacing w:before="0" w:after="0"/>
        <w:jc w:val="right"/>
        <w:rPr>
          <w:rFonts w:ascii="Times New Roman" w:hAnsi="Times New Roman"/>
          <w:sz w:val="20"/>
        </w:rPr>
      </w:pPr>
      <w:r>
        <w:rPr>
          <w:rFonts w:ascii="Times New Roman;serif" w:hAnsi="Times New Roman;serif"/>
          <w:b/>
          <w:sz w:val="20"/>
          <w:u w:val="single"/>
        </w:rPr>
        <w:t>Exhibit 31.1</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sz w:val="20"/>
        </w:rPr>
        <w:t>CERTIFICATION PURSUANT TO SECTION 302 OF THE SARBANES-OXLEY ACT OF 2002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 James Corbett, certify that:</w:t>
      </w:r>
      <w:r>
        <w:rPr>
          <w:rFonts w:ascii="Times New Roman" w:hAnsi="Times New Roman"/>
          <w:sz w:val="20"/>
        </w:rPr>
        <w:t xml:space="preserve"> </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 have reviewed this quarterly report on Form 10-Q of AVITA Medical, Inc. </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 </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120" w:after="0"/>
        <w:jc w:val="left"/>
        <w:rPr>
          <w:rFonts w:ascii="Times New Roman" w:hAnsi="Times New Roman"/>
          <w:b w:val="false"/>
          <w:sz w:val="20"/>
        </w:rPr>
      </w:pPr>
      <w:r>
        <w:rPr>
          <w:rFonts w:ascii="Times New Roman" w:hAnsi="Times New Roman"/>
          <w:b w:val="false"/>
          <w:sz w:val="20"/>
        </w:rPr>
        <w:t>5.</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any fraud, whether or not material, that involves management or other employees who have a significant role in the registrant’s internal control over financial reporting. </w:t>
      </w:r>
    </w:p>
    <w:tbl>
      <w:tblPr>
        <w:tblW w:w="6022" w:type="dxa"/>
        <w:jc w:val="left"/>
        <w:tblInd w:w="0" w:type="dxa"/>
        <w:tblLayout w:type="fixed"/>
        <w:tblCellMar>
          <w:top w:w="28" w:type="dxa"/>
          <w:left w:w="28" w:type="dxa"/>
          <w:bottom w:w="28" w:type="dxa"/>
          <w:right w:w="28" w:type="dxa"/>
        </w:tblCellMar>
      </w:tblPr>
      <w:tblGrid>
        <w:gridCol w:w="1951"/>
        <w:gridCol w:w="109"/>
        <w:gridCol w:w="631"/>
        <w:gridCol w:w="33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10,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9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James Corbett</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333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James Corbett</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333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President and Chief Executive Officer</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3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(Principal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7" w:name="rcel-ex31_2.htm"/>
      <w:bookmarkStart w:id="28" w:name="ksrcelex31_2"/>
      <w:bookmarkEnd w:id="27"/>
      <w:bookmarkEnd w:id="28"/>
      <w:r>
        <w:rPr/>
        <w:t> </w:t>
      </w:r>
      <w:r>
        <w:br w:type="page"/>
      </w:r>
    </w:p>
    <w:p>
      <w:pPr>
        <w:pStyle w:val="TextBody"/>
        <w:bidi w:val="0"/>
        <w:spacing w:before="0" w:after="0"/>
        <w:jc w:val="right"/>
        <w:rPr>
          <w:rFonts w:ascii="Times New Roman" w:hAnsi="Times New Roman"/>
          <w:sz w:val="20"/>
        </w:rPr>
      </w:pPr>
      <w:r>
        <w:rPr>
          <w:rFonts w:ascii="Times New Roman;serif" w:hAnsi="Times New Roman;serif"/>
          <w:b/>
          <w:sz w:val="20"/>
          <w:u w:val="single"/>
        </w:rPr>
        <w:t>Exhibit 31.2</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sz w:val="20"/>
        </w:rPr>
        <w:t>CERTIFICATION PURSUANT TO SECTION 302 OF THE SARBANES-OXLEY ACT OF 2002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 David O'Toole, certify that:</w:t>
      </w:r>
      <w:r>
        <w:rPr>
          <w:rFonts w:ascii="Times New Roman" w:hAnsi="Times New Roman"/>
          <w:sz w:val="20"/>
        </w:rPr>
        <w:t xml:space="preserve"> </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 have reviewed this quarterly report on Form 10-Q of AVITA Medical, Inc. </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 </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120" w:after="0"/>
        <w:jc w:val="left"/>
        <w:rPr>
          <w:rFonts w:ascii="Times New Roman" w:hAnsi="Times New Roman"/>
          <w:b w:val="false"/>
          <w:sz w:val="20"/>
        </w:rPr>
      </w:pPr>
      <w:r>
        <w:rPr>
          <w:rFonts w:ascii="Times New Roman" w:hAnsi="Times New Roman"/>
          <w:b w:val="false"/>
          <w:sz w:val="20"/>
        </w:rPr>
        <w:t>5.</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any fraud, whether or not material, that involves management or other employees who have a significant role in the registrant’s internal control over financial reporting. </w:t>
      </w:r>
    </w:p>
    <w:tbl>
      <w:tblPr>
        <w:tblW w:w="6494" w:type="dxa"/>
        <w:jc w:val="left"/>
        <w:tblInd w:w="0" w:type="dxa"/>
        <w:tblLayout w:type="fixed"/>
        <w:tblCellMar>
          <w:top w:w="28" w:type="dxa"/>
          <w:left w:w="28" w:type="dxa"/>
          <w:bottom w:w="28" w:type="dxa"/>
          <w:right w:w="28" w:type="dxa"/>
        </w:tblCellMar>
      </w:tblPr>
      <w:tblGrid>
        <w:gridCol w:w="1951"/>
        <w:gridCol w:w="146"/>
        <w:gridCol w:w="631"/>
        <w:gridCol w:w="376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10, 2023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3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David O'Toole</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37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David O'Toole</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37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9" w:name="rcel-ex32.htm"/>
      <w:bookmarkStart w:id="30" w:name="ksrcelex32"/>
      <w:bookmarkEnd w:id="29"/>
      <w:bookmarkEnd w:id="30"/>
      <w:r>
        <w:rPr/>
        <w:t> </w:t>
      </w:r>
      <w:r>
        <w:br w:type="page"/>
      </w:r>
    </w:p>
    <w:p>
      <w:pPr>
        <w:pStyle w:val="TextBody"/>
        <w:bidi w:val="0"/>
        <w:spacing w:before="0" w:after="0"/>
        <w:jc w:val="right"/>
        <w:rPr>
          <w:rFonts w:ascii="Times New Roman" w:hAnsi="Times New Roman"/>
          <w:sz w:val="20"/>
        </w:rPr>
      </w:pPr>
      <w:r>
        <w:rPr>
          <w:rFonts w:ascii="Times New Roman;serif" w:hAnsi="Times New Roman;serif"/>
          <w:b/>
          <w:sz w:val="20"/>
          <w:u w:val="single"/>
        </w:rPr>
        <w:t>Exhibit 32</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sz w:val="20"/>
        </w:rPr>
        <w:t>CERTIFICATION PURSUANT TO 18 U.S.C. SECTION 1350,</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AS ADOPTED PURSUANT TO</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SECTION 906 OF THE SARBANES-OXLEY ACT OF 2002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Pursuant to Section 906 of the Sarbanes-Oxley Act of 2002 (subsections (a) and (b) of Section 1350, Chapter 63 of Title 18, United States Code), each of the undersigned officers of AVITA Medical, Inc. (the “Company”), does hereby certify, to such officer’s knowledge, that: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Quarterly Report on Form 10-Q for the period ended June 30, 2023 of the Company fully complies with the requirements of Section 13(a) or 15(d) of the Securities Exchange Act of 1934 and information contained in the Form 10-Q fairly presents, in all material respects, the financial condition and results of operations of the Company.</w:t>
      </w:r>
      <w:r>
        <w:rPr>
          <w:rFonts w:ascii="Times New Roman" w:hAnsi="Times New Roman"/>
          <w:sz w:val="20"/>
        </w:rPr>
        <w:t xml:space="preserve"> </w:t>
      </w:r>
    </w:p>
    <w:tbl>
      <w:tblPr>
        <w:tblW w:w="6599" w:type="dxa"/>
        <w:jc w:val="left"/>
        <w:tblInd w:w="0" w:type="dxa"/>
        <w:tblLayout w:type="fixed"/>
        <w:tblCellMar>
          <w:top w:w="28" w:type="dxa"/>
          <w:left w:w="28" w:type="dxa"/>
          <w:bottom w:w="28" w:type="dxa"/>
          <w:right w:w="28" w:type="dxa"/>
        </w:tblCellMar>
      </w:tblPr>
      <w:tblGrid>
        <w:gridCol w:w="2056"/>
        <w:gridCol w:w="146"/>
        <w:gridCol w:w="631"/>
        <w:gridCol w:w="3766"/>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pPr>
            <w:r>
              <w:rPr/>
              <w:t> </w:t>
            </w:r>
          </w:p>
        </w:tc>
      </w:tr>
      <w:tr>
        <w:trPr/>
        <w:tc>
          <w:tcPr>
            <w:tcW w:w="20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Dated: August 10,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397"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James Corbett</w:t>
            </w:r>
          </w:p>
        </w:tc>
      </w:tr>
      <w:tr>
        <w:trPr/>
        <w:tc>
          <w:tcPr>
            <w:tcW w:w="20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37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James Corbett</w:t>
            </w:r>
          </w:p>
        </w:tc>
      </w:tr>
      <w:tr>
        <w:trPr/>
        <w:tc>
          <w:tcPr>
            <w:tcW w:w="20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37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and Chief Executive Officer</w:t>
            </w:r>
          </w:p>
        </w:tc>
      </w:tr>
      <w:tr>
        <w:trPr/>
        <w:tc>
          <w:tcPr>
            <w:tcW w:w="20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r>
        <w:trPr/>
        <w:tc>
          <w:tcPr>
            <w:tcW w:w="205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397"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Dated: August 10,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397"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David O'Toole</w:t>
            </w:r>
          </w:p>
        </w:tc>
      </w:tr>
      <w:tr>
        <w:trPr/>
        <w:tc>
          <w:tcPr>
            <w:tcW w:w="20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37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David O'Toole</w:t>
            </w:r>
          </w:p>
        </w:tc>
      </w:tr>
      <w:tr>
        <w:trPr/>
        <w:tc>
          <w:tcPr>
            <w:tcW w:w="20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37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20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bidi w:val="0"/>
        <w:spacing w:before="240" w:after="0"/>
        <w:jc w:val="left"/>
        <w:rPr>
          <w:rFonts w:ascii="Times New Roman" w:hAnsi="Times New Roman"/>
          <w:sz w:val="20"/>
        </w:rPr>
      </w:pPr>
      <w:r>
        <w:rPr>
          <w:rFonts w:ascii="Times New Roman;serif" w:hAnsi="Times New Roman;serif"/>
          <w:b/>
          <w:sz w:val="20"/>
        </w:rPr>
        <w:t>These certifications are furnished pursuant to Section 906 of the Sarbanes-Oxley Act of 2002 and shall not, except to the extent required by such Act, be deemed filed by the Company for purposes of Section 18 of the Securities Exchange Act of 1934, as amended (the “Exchange Act”). Such certifications will not be deemed to be incorporated by reference in any filing under the Securities Act of 1933, as amended, or the Exchange Act, except to the extent that the Company specifically incorporates them by reference.</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62303/000119312520183429/d75062dex31.htm" TargetMode="External"/><Relationship Id="rId4" Type="http://schemas.openxmlformats.org/officeDocument/2006/relationships/hyperlink" Target="https://www.sec.gov/Archives/edgar/data/1762303/000156459022007617/rcel-ex32_14.htm" TargetMode="External"/><Relationship Id="rId5" Type="http://schemas.openxmlformats.org/officeDocument/2006/relationships/hyperlink" Target="https://www.sec.gov/Archives/edgar/data/1762303/000156459022007617/rcel-ex33_530.htm" TargetMode="External"/><Relationship Id="rId6" Type="http://schemas.openxmlformats.org/officeDocument/2006/relationships/hyperlink" Target="https://www.sec.gov/Archives/edgar/data/1762303/000119312523162334/d488776dex101.htm" TargetMode="External"/><Relationship Id="rId7" Type="http://schemas.openxmlformats.org/officeDocument/2006/relationships/hyperlink" Target="https://www.sec.gov/Archives/edgar/data/1762303/000119312523162334/d488776dex102.htm" TargetMode="External"/><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27331</Words>
  <Characters>146684</Characters>
  <CharactersWithSpaces>175648</CharactersWithSpaces>
  <Paragraphs>7406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