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02928d8k.htm"/>
      <w:bookmarkStart w:id="1" w:name="ksd302928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February 28, 2022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AVITA Medical, Inc.</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530" w:type="dxa"/>
        <w:jc w:val="left"/>
        <w:tblInd w:w="0" w:type="dxa"/>
        <w:tblCellMar>
          <w:top w:w="0" w:type="dxa"/>
          <w:left w:w="0" w:type="dxa"/>
          <w:bottom w:w="0" w:type="dxa"/>
          <w:right w:w="0" w:type="dxa"/>
        </w:tblCellMar>
      </w:tblPr>
      <w:tblGrid>
        <w:gridCol w:w="1985"/>
        <w:gridCol w:w="60"/>
        <w:gridCol w:w="1055"/>
        <w:gridCol w:w="60"/>
        <w:gridCol w:w="1370"/>
      </w:tblGrid>
      <w:tr>
        <w:trPr/>
        <w:tc>
          <w:tcPr>
            <w:tcW w:w="19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001-39059</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85-1021707</w:t>
            </w:r>
          </w:p>
        </w:tc>
      </w:tr>
      <w:tr>
        <w:trPr/>
        <w:tc>
          <w:tcPr>
            <w:tcW w:w="19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w:t>
            </w:r>
          </w:p>
          <w:p>
            <w:pPr>
              <w:pStyle w:val="TableContents"/>
              <w:spacing w:before="0" w:after="20"/>
              <w:jc w:val="center"/>
              <w:rPr>
                <w:rFonts w:ascii="Times New Roman" w:hAnsi="Times New Roman"/>
                <w:b/>
                <w:sz w:val="16"/>
              </w:rPr>
            </w:pPr>
            <w:r>
              <w:rPr>
                <w:rFonts w:ascii="Times New Roman" w:hAnsi="Times New Roman"/>
                <w:b/>
                <w:sz w:val="16"/>
              </w:rPr>
              <w:t>of incorporation)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5304"/>
        <w:gridCol w:w="60"/>
        <w:gridCol w:w="4841"/>
      </w:tblGrid>
      <w:tr>
        <w:trPr/>
        <w:tc>
          <w:tcPr>
            <w:tcW w:w="53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41" w:type="dxa"/>
            <w:tcBorders/>
            <w:shd w:fill="auto" w:val="clear"/>
            <w:vAlign w:val="center"/>
          </w:tcPr>
          <w:p>
            <w:pPr>
              <w:pStyle w:val="TableContents"/>
              <w:spacing w:before="0" w:after="283"/>
              <w:rPr>
                <w:sz w:val="4"/>
                <w:szCs w:val="4"/>
              </w:rPr>
            </w:pPr>
            <w:r>
              <w:rPr>
                <w:sz w:val="4"/>
                <w:szCs w:val="4"/>
              </w:rPr>
            </w:r>
          </w:p>
        </w:tc>
      </w:tr>
      <w:tr>
        <w:trPr/>
        <w:tc>
          <w:tcPr>
            <w:tcW w:w="5304" w:type="dxa"/>
            <w:tcBorders/>
            <w:shd w:fill="auto" w:val="clear"/>
            <w:vAlign w:val="center"/>
          </w:tcPr>
          <w:p>
            <w:pPr>
              <w:pStyle w:val="TableContents"/>
              <w:spacing w:before="0" w:after="283"/>
              <w:jc w:val="center"/>
              <w:rPr>
                <w:b/>
              </w:rPr>
            </w:pPr>
            <w:r>
              <w:rPr>
                <w:b/>
              </w:rPr>
              <w:t>28159 Avenue Stanford, Suite 220, Valencia, CA 91355</w:t>
            </w:r>
          </w:p>
        </w:tc>
        <w:tc>
          <w:tcPr>
            <w:tcW w:w="60" w:type="dxa"/>
            <w:tcBorders/>
            <w:shd w:fill="auto" w:val="clear"/>
            <w:vAlign w:val="center"/>
          </w:tcPr>
          <w:p>
            <w:pPr>
              <w:pStyle w:val="TableContents"/>
              <w:spacing w:before="0" w:after="283"/>
              <w:rPr/>
            </w:pPr>
            <w:r>
              <w:rPr/>
              <w:t> </w:t>
            </w:r>
          </w:p>
        </w:tc>
        <w:tc>
          <w:tcPr>
            <w:tcW w:w="4841" w:type="dxa"/>
            <w:tcBorders/>
            <w:shd w:fill="auto" w:val="clear"/>
            <w:vAlign w:val="center"/>
          </w:tcPr>
          <w:p>
            <w:pPr>
              <w:pStyle w:val="TableContents"/>
              <w:spacing w:before="0" w:after="283"/>
              <w:jc w:val="center"/>
              <w:rPr>
                <w:b/>
              </w:rPr>
            </w:pPr>
            <w:r>
              <w:rPr>
                <w:b/>
              </w:rPr>
              <w:t>661.367.9170</w:t>
            </w:r>
          </w:p>
        </w:tc>
      </w:tr>
      <w:tr>
        <w:trPr/>
        <w:tc>
          <w:tcPr>
            <w:tcW w:w="5304" w:type="dxa"/>
            <w:tcBorders/>
            <w:shd w:fill="auto" w:val="clear"/>
            <w:vAlign w:val="center"/>
          </w:tcPr>
          <w:p>
            <w:pPr>
              <w:pStyle w:val="TableContents"/>
              <w:spacing w:before="0" w:after="283"/>
              <w:jc w:val="center"/>
              <w:rPr>
                <w:b/>
              </w:rPr>
            </w:pPr>
            <w:r>
              <w:rPr>
                <w:b/>
              </w:rPr>
              <w:t>(Address of principal executive offices, including Zip Code)</w:t>
            </w:r>
          </w:p>
        </w:tc>
        <w:tc>
          <w:tcPr>
            <w:tcW w:w="60" w:type="dxa"/>
            <w:tcBorders/>
            <w:shd w:fill="auto" w:val="clear"/>
            <w:vAlign w:val="center"/>
          </w:tcPr>
          <w:p>
            <w:pPr>
              <w:pStyle w:val="TableContents"/>
              <w:spacing w:before="0" w:after="283"/>
              <w:rPr/>
            </w:pPr>
            <w:r>
              <w:rPr/>
              <w:t> </w:t>
            </w:r>
          </w:p>
        </w:tc>
        <w:tc>
          <w:tcPr>
            <w:tcW w:w="4841" w:type="dxa"/>
            <w:tcBorders/>
            <w:shd w:fill="auto" w:val="clear"/>
            <w:vAlign w:val="center"/>
          </w:tcPr>
          <w:p>
            <w:pPr>
              <w:pStyle w:val="TableContents"/>
              <w:spacing w:before="0" w:after="283"/>
              <w:jc w:val="center"/>
              <w:rPr>
                <w:b/>
              </w:rPr>
            </w:pPr>
            <w:r>
              <w:rPr>
                <w:b/>
              </w:rPr>
              <w:t>(Registrant’s telephone number, including area code)</w:t>
            </w:r>
          </w:p>
        </w:tc>
      </w:tr>
    </w:tbl>
    <w:p>
      <w:pPr>
        <w:pStyle w:val="TextBody"/>
        <w:spacing w:before="240" w:after="0"/>
        <w:jc w:val="center"/>
        <w:rPr>
          <w:rFonts w:ascii="Times New Roman" w:hAnsi="Times New Roman"/>
          <w:b/>
          <w:sz w:val="20"/>
        </w:rPr>
      </w:pPr>
      <w:r>
        <w:rPr>
          <w:rFonts w:ascii="Times New Roman" w:hAnsi="Times New Roman"/>
          <w:b/>
          <w:sz w:val="20"/>
        </w:rPr>
        <w:t>N/A</w:t>
      </w:r>
    </w:p>
    <w:p>
      <w:pPr>
        <w:pStyle w:val="TextBody"/>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8715" w:type="dxa"/>
        <w:jc w:val="left"/>
        <w:tblInd w:w="0" w:type="dxa"/>
        <w:tblCellMar>
          <w:top w:w="0" w:type="dxa"/>
          <w:left w:w="0" w:type="dxa"/>
          <w:bottom w:w="0" w:type="dxa"/>
          <w:right w:w="0" w:type="dxa"/>
        </w:tblCellMar>
      </w:tblPr>
      <w:tblGrid>
        <w:gridCol w:w="4550"/>
        <w:gridCol w:w="60"/>
        <w:gridCol w:w="740"/>
        <w:gridCol w:w="60"/>
        <w:gridCol w:w="3305"/>
      </w:tblGrid>
      <w:tr>
        <w:trPr/>
        <w:tc>
          <w:tcPr>
            <w:tcW w:w="45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05" w:type="dxa"/>
            <w:tcBorders/>
            <w:shd w:fill="auto" w:val="clear"/>
            <w:vAlign w:val="center"/>
          </w:tcPr>
          <w:p>
            <w:pPr>
              <w:pStyle w:val="TableContents"/>
              <w:spacing w:before="0" w:after="283"/>
              <w:rPr>
                <w:sz w:val="4"/>
                <w:szCs w:val="4"/>
              </w:rPr>
            </w:pPr>
            <w:r>
              <w:rPr>
                <w:sz w:val="4"/>
                <w:szCs w:val="4"/>
              </w:rPr>
            </w:r>
          </w:p>
        </w:tc>
      </w:tr>
      <w:tr>
        <w:trPr/>
        <w:tc>
          <w:tcPr>
            <w:tcW w:w="455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each class</w:t>
            </w:r>
          </w:p>
        </w:tc>
        <w:tc>
          <w:tcPr>
            <w:tcW w:w="60" w:type="dxa"/>
            <w:tcBorders/>
            <w:shd w:fill="auto" w:val="clear"/>
            <w:vAlign w:val="center"/>
          </w:tcPr>
          <w:p>
            <w:pPr>
              <w:pStyle w:val="TableContents"/>
              <w:spacing w:before="0" w:after="283"/>
              <w:rPr/>
            </w:pPr>
            <w:r>
              <w:rPr/>
              <w:t> </w:t>
            </w:r>
          </w:p>
        </w:tc>
        <w:tc>
          <w:tcPr>
            <w:tcW w:w="740"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Symbol(s)</w:t>
            </w:r>
          </w:p>
        </w:tc>
        <w:tc>
          <w:tcPr>
            <w:tcW w:w="60" w:type="dxa"/>
            <w:tcBorders/>
            <w:shd w:fill="auto" w:val="clear"/>
            <w:vAlign w:val="center"/>
          </w:tcPr>
          <w:p>
            <w:pPr>
              <w:pStyle w:val="TableContents"/>
              <w:spacing w:before="0" w:after="283"/>
              <w:rPr/>
            </w:pPr>
            <w:r>
              <w:rPr/>
              <w:t> </w:t>
            </w:r>
          </w:p>
        </w:tc>
        <w:tc>
          <w:tcPr>
            <w:tcW w:w="330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Name of each 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4550" w:type="dxa"/>
            <w:tcBorders/>
            <w:shd w:fill="auto" w:val="clear"/>
            <w:vAlign w:val="center"/>
          </w:tcPr>
          <w:p>
            <w:pPr>
              <w:pStyle w:val="TableContents"/>
              <w:spacing w:before="0" w:after="283"/>
              <w:jc w:val="center"/>
              <w:rPr>
                <w:b/>
              </w:rPr>
            </w:pPr>
            <w:r>
              <w:rPr>
                <w:b/>
              </w:rPr>
              <w:t>Common Stock, par value $0.0001 per share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283"/>
              <w:jc w:val="center"/>
              <w:rPr>
                <w:b/>
              </w:rPr>
            </w:pPr>
            <w:r>
              <w:rPr>
                <w:b/>
              </w:rPr>
              <w:t>RCEL</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283"/>
              <w:jc w:val="center"/>
              <w:rPr>
                <w:b/>
              </w:rPr>
            </w:pPr>
            <w:r>
              <w:rPr>
                <w:b/>
              </w:rPr>
              <w:t>The Nasdaq Stock Market LLC</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or Rule 12b-2 of the Securities Exchange Act of 1934. 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065" w:type="dxa"/>
        <w:jc w:val="left"/>
        <w:tblInd w:w="0" w:type="dxa"/>
        <w:tblCellMar>
          <w:top w:w="0" w:type="dxa"/>
          <w:left w:w="0" w:type="dxa"/>
          <w:bottom w:w="0" w:type="dxa"/>
          <w:right w:w="0" w:type="dxa"/>
        </w:tblCellMar>
      </w:tblPr>
      <w:tblGrid>
        <w:gridCol w:w="1040"/>
        <w:gridCol w:w="4025"/>
      </w:tblGrid>
      <w:tr>
        <w:trPr/>
        <w:tc>
          <w:tcPr>
            <w:tcW w:w="1040" w:type="dxa"/>
            <w:tcBorders/>
            <w:shd w:fill="auto" w:val="clear"/>
            <w:vAlign w:val="center"/>
          </w:tcPr>
          <w:p>
            <w:pPr>
              <w:pStyle w:val="TableContents"/>
              <w:spacing w:before="0" w:after="283"/>
              <w:jc w:val="left"/>
              <w:rPr>
                <w:b/>
              </w:rPr>
            </w:pPr>
            <w:r>
              <w:rPr>
                <w:b/>
              </w:rPr>
              <w:t>Item 2.02.</w:t>
            </w:r>
          </w:p>
        </w:tc>
        <w:tc>
          <w:tcPr>
            <w:tcW w:w="4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120" w:after="0"/>
        <w:jc w:val="left"/>
        <w:rPr>
          <w:rFonts w:ascii="Times New Roman" w:hAnsi="Times New Roman"/>
          <w:sz w:val="20"/>
        </w:rPr>
      </w:pPr>
      <w:r>
        <w:rPr>
          <w:rFonts w:ascii="Times New Roman" w:hAnsi="Times New Roman"/>
          <w:sz w:val="20"/>
        </w:rPr>
        <w:t>On February 28, 2022, AVITA Medical, Inc. (the “</w:t>
      </w:r>
      <w:r>
        <w:rPr>
          <w:rFonts w:ascii="Times New Roman" w:hAnsi="Times New Roman"/>
          <w:sz w:val="20"/>
          <w:u w:val="single"/>
        </w:rPr>
        <w:t>Company</w:t>
      </w:r>
      <w:r>
        <w:rPr>
          <w:rFonts w:ascii="Times New Roman" w:hAnsi="Times New Roman"/>
          <w:sz w:val="20"/>
        </w:rPr>
        <w:t xml:space="preserve">”) issued a press release announcing its financial results for the quarter ending December 31, 2021, and its transition period fiscal year (“Transition Period”) from July 1, 2021, to December 31, 2021. A copy of the Company’s press release is attached hereto as Exhibit 99.1 and is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spacing w:before="0" w:after="0"/>
        <w:jc w:val="left"/>
        <w:rPr/>
      </w:pPr>
      <w:r>
        <w:rPr/>
        <w:t> </w:t>
      </w:r>
    </w:p>
    <w:tbl>
      <w:tblPr>
        <w:tblW w:w="3985" w:type="dxa"/>
        <w:jc w:val="left"/>
        <w:tblInd w:w="0" w:type="dxa"/>
        <w:tblCellMar>
          <w:top w:w="0" w:type="dxa"/>
          <w:left w:w="0" w:type="dxa"/>
          <w:bottom w:w="0" w:type="dxa"/>
          <w:right w:w="0" w:type="dxa"/>
        </w:tblCellMar>
      </w:tblPr>
      <w:tblGrid>
        <w:gridCol w:w="980"/>
        <w:gridCol w:w="3005"/>
      </w:tblGrid>
      <w:tr>
        <w:trPr/>
        <w:tc>
          <w:tcPr>
            <w:tcW w:w="98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10205" w:type="dxa"/>
        <w:jc w:val="left"/>
        <w:tblInd w:w="0" w:type="dxa"/>
        <w:tblCellMar>
          <w:top w:w="0" w:type="dxa"/>
          <w:left w:w="0" w:type="dxa"/>
          <w:bottom w:w="0" w:type="dxa"/>
          <w:right w:w="0" w:type="dxa"/>
        </w:tblCellMar>
      </w:tblPr>
      <w:tblGrid>
        <w:gridCol w:w="710"/>
        <w:gridCol w:w="120"/>
        <w:gridCol w:w="9375"/>
      </w:tblGrid>
      <w:tr>
        <w:trPr/>
        <w:tc>
          <w:tcPr>
            <w:tcW w:w="7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75" w:type="dxa"/>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jc w:val="center"/>
              <w:rPr/>
            </w:pPr>
            <w:r>
              <w:rPr/>
              <w:t>    </w:t>
            </w:r>
            <w:r>
              <w:rPr>
                <w:rFonts w:ascii="Times New Roman" w:hAnsi="Times New Roman"/>
                <w:b/>
                <w:sz w:val="16"/>
              </w:rPr>
              <w:t>No.    </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Description of Exhibit</w:t>
            </w:r>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hyperlink w:anchor="d302928dex991.htm">
              <w:r>
                <w:rPr>
                  <w:rStyle w:val="InternetLink"/>
                </w:rPr>
                <w:t xml:space="preserve">Press release, titled “AVITA Medical Reports Quarter Ending December 31, 2021, and Transition Period July 1, 2021, to December 31, 2021, Financial Results” </w:t>
              </w:r>
            </w:hyperlink>
          </w:p>
        </w:tc>
      </w:tr>
      <w:tr>
        <w:trPr/>
        <w:tc>
          <w:tcPr>
            <w:tcW w:w="710" w:type="dxa"/>
            <w:tcBorders/>
            <w:shd w:fill="auto" w:val="clear"/>
            <w:vAlign w:val="center"/>
          </w:tcPr>
          <w:p>
            <w:pPr>
              <w:pStyle w:val="TableContents"/>
              <w:spacing w:before="0" w:after="283"/>
              <w:rPr>
                <w:sz w:val="4"/>
                <w:szCs w:val="4"/>
              </w:rPr>
            </w:pPr>
            <w:r>
              <w:rPr>
                <w:sz w:val="4"/>
                <w:szCs w:val="4"/>
              </w:rPr>
            </w:r>
          </w:p>
        </w:tc>
        <w:tc>
          <w:tcPr>
            <w:tcW w:w="9495" w:type="dxa"/>
            <w:gridSpan w:val="2"/>
            <w:tcBorders/>
            <w:shd w:fill="auto" w:val="clear"/>
            <w:vAlign w:val="center"/>
          </w:tcPr>
          <w:p>
            <w:pPr>
              <w:pStyle w:val="TableContents"/>
              <w:spacing w:before="0" w:after="283"/>
              <w:rPr>
                <w:sz w:val="4"/>
                <w:szCs w:val="4"/>
              </w:rPr>
            </w:pPr>
            <w:r>
              <w:rPr>
                <w:sz w:val="4"/>
                <w:szCs w:val="4"/>
              </w:rPr>
            </w:r>
          </w:p>
        </w:tc>
      </w:tr>
      <w:tr>
        <w:trPr/>
        <w:tc>
          <w:tcPr>
            <w:tcW w:w="710"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375" w:type="dxa"/>
            <w:tcBorders/>
            <w:shd w:fill="auto" w:val="clear"/>
            <w:vAlign w:val="center"/>
          </w:tcPr>
          <w:p>
            <w:pPr>
              <w:pStyle w:val="TableContents"/>
              <w:spacing w:before="0" w:after="283"/>
              <w:rPr/>
            </w:pPr>
            <w:r>
              <w:rPr/>
              <w:t>Cover Page Interactive Data File (embedded within the Inline XBRL document)</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240" w:after="0"/>
        <w:jc w:val="left"/>
        <w:rPr>
          <w:rFonts w:ascii="Times New Roman" w:hAnsi="Times New Roman"/>
          <w:sz w:val="20"/>
        </w:rPr>
      </w:pPr>
      <w:r>
        <w:rPr>
          <w:rFonts w:ascii="Times New Roman" w:hAnsi="Times New Roman"/>
          <w:sz w:val="20"/>
        </w:rPr>
        <w:t xml:space="preserve">Date: March 1, 2022 </w:t>
      </w:r>
    </w:p>
    <w:p>
      <w:pPr>
        <w:pStyle w:val="TextBody"/>
        <w:spacing w:before="0" w:after="0"/>
        <w:jc w:val="left"/>
        <w:rPr/>
      </w:pPr>
      <w:r>
        <w:rPr/>
        <w:t> </w:t>
      </w:r>
    </w:p>
    <w:tbl>
      <w:tblPr>
        <w:tblW w:w="2290" w:type="dxa"/>
        <w:jc w:val="left"/>
        <w:tblInd w:w="0" w:type="dxa"/>
        <w:tblCellMar>
          <w:top w:w="0" w:type="dxa"/>
          <w:left w:w="0" w:type="dxa"/>
          <w:bottom w:w="0" w:type="dxa"/>
          <w:right w:w="0" w:type="dxa"/>
        </w:tblCellMar>
      </w:tblPr>
      <w:tblGrid>
        <w:gridCol w:w="665"/>
        <w:gridCol w:w="60"/>
        <w:gridCol w:w="1565"/>
      </w:tblGrid>
      <w:tr>
        <w:trPr/>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r>
      <w:tr>
        <w:trPr/>
        <w:tc>
          <w:tcPr>
            <w:tcW w:w="2290" w:type="dxa"/>
            <w:gridSpan w:val="3"/>
            <w:tcBorders/>
            <w:shd w:fill="auto" w:val="clear"/>
            <w:vAlign w:val="center"/>
          </w:tcPr>
          <w:p>
            <w:pPr>
              <w:pStyle w:val="TableContents"/>
              <w:spacing w:before="0" w:after="20"/>
              <w:rPr>
                <w:rFonts w:ascii="Times New Roman" w:hAnsi="Times New Roman"/>
                <w:b/>
                <w:sz w:val="20"/>
              </w:rPr>
            </w:pPr>
            <w:r>
              <w:rPr>
                <w:rFonts w:ascii="Times New Roman" w:hAnsi="Times New Roman"/>
                <w:b/>
                <w:sz w:val="20"/>
              </w:rPr>
              <w:t>AVITA MEDICAL, INC.</w:t>
            </w:r>
          </w:p>
        </w:tc>
      </w:tr>
      <w:tr>
        <w:trPr/>
        <w:tc>
          <w:tcPr>
            <w:tcW w:w="665" w:type="dxa"/>
            <w:tcBorders/>
            <w:shd w:fill="auto" w:val="clear"/>
            <w:vAlign w:val="center"/>
          </w:tcPr>
          <w:p>
            <w:pPr>
              <w:pStyle w:val="TableContents"/>
              <w:spacing w:before="0" w:after="283"/>
              <w:rPr>
                <w:sz w:val="4"/>
                <w:szCs w:val="4"/>
              </w:rPr>
            </w:pPr>
            <w:r>
              <w:rPr>
                <w:sz w:val="4"/>
                <w:szCs w:val="4"/>
              </w:rPr>
            </w:r>
          </w:p>
        </w:tc>
        <w:tc>
          <w:tcPr>
            <w:tcW w:w="1625" w:type="dxa"/>
            <w:gridSpan w:val="2"/>
            <w:tcBorders/>
            <w:shd w:fill="auto" w:val="clear"/>
            <w:vAlign w:val="center"/>
          </w:tcPr>
          <w:p>
            <w:pPr>
              <w:pStyle w:val="TableContents"/>
              <w:spacing w:before="0" w:after="283"/>
              <w:rPr>
                <w:sz w:val="4"/>
                <w:szCs w:val="4"/>
              </w:rPr>
            </w:pPr>
            <w:r>
              <w:rPr>
                <w:sz w:val="4"/>
                <w:szCs w:val="4"/>
              </w:rPr>
            </w:r>
          </w:p>
        </w:tc>
      </w:tr>
      <w:tr>
        <w:trPr/>
        <w:tc>
          <w:tcPr>
            <w:tcW w:w="665"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 xml:space="preserve">/s/ </w:t>
            </w:r>
            <w:r>
              <w:rPr>
                <w:rFonts w:ascii="Times New Roman" w:hAnsi="Times New Roman"/>
                <w:i/>
                <w:sz w:val="20"/>
              </w:rPr>
              <w:t>Donna Shiroma</w:t>
            </w:r>
          </w:p>
        </w:tc>
      </w:tr>
      <w:tr>
        <w:trPr/>
        <w:tc>
          <w:tcPr>
            <w:tcW w:w="665" w:type="dxa"/>
            <w:tcBorders/>
            <w:shd w:fill="auto" w:val="clear"/>
            <w:vAlign w:val="center"/>
          </w:tcPr>
          <w:p>
            <w:pPr>
              <w:pStyle w:val="TableContents"/>
              <w:spacing w:before="0" w:after="283"/>
              <w:rPr/>
            </w:pPr>
            <w:r>
              <w:rPr/>
              <w:t>Name:</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283"/>
              <w:rPr/>
            </w:pPr>
            <w:r>
              <w:rPr/>
              <w:t>Donna Shiroma</w:t>
            </w:r>
          </w:p>
        </w:tc>
      </w:tr>
      <w:tr>
        <w:trPr/>
        <w:tc>
          <w:tcPr>
            <w:tcW w:w="6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Title:</w:t>
            </w:r>
          </w:p>
        </w:tc>
        <w:tc>
          <w:tcPr>
            <w:tcW w:w="60" w:type="dxa"/>
            <w:tcBorders/>
            <w:shd w:fill="auto" w:val="clear"/>
            <w:vAlign w:val="center"/>
          </w:tcPr>
          <w:p>
            <w:pPr>
              <w:pStyle w:val="TableContents"/>
              <w:spacing w:before="0" w:after="283"/>
              <w:rPr/>
            </w:pPr>
            <w:r>
              <w:rPr/>
              <w:t> </w:t>
            </w:r>
          </w:p>
        </w:tc>
        <w:tc>
          <w:tcPr>
            <w:tcW w:w="156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General Counsel</w:t>
            </w:r>
          </w:p>
        </w:tc>
      </w:tr>
    </w:tbl>
    <w:p>
      <w:pPr>
        <w:pStyle w:val="TextBody"/>
        <w:spacing w:before="0" w:after="0"/>
        <w:jc w:val="right"/>
        <w:rPr>
          <w:rFonts w:ascii="Times New Roman" w:hAnsi="Times New Roman"/>
          <w:b/>
          <w:sz w:val="20"/>
        </w:rPr>
      </w:pPr>
      <w:r>
        <w:br w:type="page"/>
      </w:r>
      <w:bookmarkStart w:id="2" w:name="d302928dex991.htm"/>
      <w:bookmarkStart w:id="3" w:name="ksd302928dex991"/>
      <w:bookmarkEnd w:id="2"/>
      <w:bookmarkEnd w:id="3"/>
      <w:r>
        <w:rPr>
          <w:rFonts w:ascii="Times New Roman" w:hAnsi="Times New Roman"/>
          <w:b/>
          <w:sz w:val="20"/>
        </w:rPr>
        <w:t xml:space="preserve">Exhibit 99.1 </w:t>
      </w:r>
    </w:p>
    <w:p>
      <w:pPr>
        <w:pStyle w:val="TextBody"/>
        <w:spacing w:before="0" w:after="0"/>
        <w:jc w:val="center"/>
        <w:rPr/>
      </w:pPr>
      <w:r>
        <w:rPr/>
        <w:drawing>
          <wp:inline distT="0" distB="0" distL="0" distR="0">
            <wp:extent cx="21145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14550" cy="96202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0"/>
        </w:rPr>
      </w:pPr>
      <w:r>
        <w:rPr>
          <w:rFonts w:ascii="Times New Roman" w:hAnsi="Times New Roman"/>
          <w:b/>
          <w:sz w:val="20"/>
        </w:rPr>
        <w:t xml:space="preserve">AVITA Medical Reports Quarter Ending December 31, 2021, and Transition Period </w:t>
      </w:r>
    </w:p>
    <w:p>
      <w:pPr>
        <w:pStyle w:val="TextBody"/>
        <w:spacing w:before="0" w:after="0"/>
        <w:jc w:val="center"/>
        <w:rPr>
          <w:rFonts w:ascii="Times New Roman" w:hAnsi="Times New Roman"/>
          <w:b/>
          <w:sz w:val="20"/>
        </w:rPr>
      </w:pPr>
      <w:r>
        <w:rPr>
          <w:rFonts w:ascii="Times New Roman" w:hAnsi="Times New Roman"/>
          <w:b/>
          <w:sz w:val="20"/>
        </w:rPr>
        <w:t xml:space="preserve">July 1, 2021, to December 31, 2021, Financial Results </w:t>
      </w:r>
    </w:p>
    <w:p>
      <w:pPr>
        <w:pStyle w:val="TextBody"/>
        <w:pBdr>
          <w:bottom w:val="single" w:sz="2" w:space="1" w:color="000000"/>
        </w:pBdr>
        <w:spacing w:lineRule="atLeast" w:line="141" w:before="0" w:after="40"/>
        <w:jc w:val="left"/>
        <w:rPr/>
      </w:pPr>
      <w:r>
        <w:rPr/>
        <w:t> </w:t>
      </w:r>
    </w:p>
    <w:p>
      <w:pPr>
        <w:pStyle w:val="TextBody"/>
        <w:spacing w:before="240" w:after="0"/>
        <w:jc w:val="left"/>
        <w:rPr>
          <w:rFonts w:ascii="Times New Roman" w:hAnsi="Times New Roman"/>
          <w:sz w:val="20"/>
        </w:rPr>
      </w:pPr>
      <w:r>
        <w:rPr>
          <w:rFonts w:ascii="Times New Roman" w:hAnsi="Times New Roman"/>
          <w:b/>
          <w:sz w:val="20"/>
        </w:rPr>
        <w:t>VALENCIA, Calif, February</w:t>
      </w:r>
      <w:r>
        <w:rPr>
          <w:rFonts w:ascii="Times New Roman" w:hAnsi="Times New Roman"/>
          <w:sz w:val="20"/>
        </w:rPr>
        <w:t> </w:t>
      </w:r>
      <w:r>
        <w:rPr>
          <w:rFonts w:ascii="Times New Roman" w:hAnsi="Times New Roman"/>
          <w:b/>
          <w:sz w:val="20"/>
        </w:rPr>
        <w:t>28, 2022 and MELBOURNE, Australia, March</w:t>
      </w:r>
      <w:r>
        <w:rPr>
          <w:rFonts w:ascii="Times New Roman" w:hAnsi="Times New Roman"/>
          <w:sz w:val="20"/>
        </w:rPr>
        <w:t> </w:t>
      </w:r>
      <w:r>
        <w:rPr>
          <w:rFonts w:ascii="Times New Roman" w:hAnsi="Times New Roman"/>
          <w:b/>
          <w:sz w:val="20"/>
        </w:rPr>
        <w:t xml:space="preserve">1, 2022 </w:t>
      </w:r>
      <w:r>
        <w:rPr>
          <w:rFonts w:ascii="Times New Roman" w:hAnsi="Times New Roman"/>
          <w:sz w:val="20"/>
        </w:rPr>
        <w:t> AVITA Medical, Inc. (NASDAQ: RCEL, ASX:AVH) (the </w:t>
      </w:r>
      <w:r>
        <w:rPr>
          <w:rFonts w:ascii="Times New Roman" w:hAnsi="Times New Roman"/>
          <w:b/>
          <w:sz w:val="20"/>
        </w:rPr>
        <w:t>Company</w:t>
      </w:r>
      <w:r>
        <w:rPr>
          <w:rFonts w:ascii="Times New Roman" w:hAnsi="Times New Roman"/>
          <w:sz w:val="20"/>
        </w:rPr>
        <w:t>), a regenerative medicine company that is developing and commercializing a technology platform that enables point-of-care autologous skin restoration for multiple unmet needs, today reported its financial results for the quarter ending December 31, 2021, and its transition period fiscal year (</w:t>
      </w:r>
      <w:r>
        <w:rPr>
          <w:rFonts w:ascii="Times New Roman" w:hAnsi="Times New Roman"/>
          <w:b/>
          <w:sz w:val="20"/>
        </w:rPr>
        <w:t>Transition Period</w:t>
      </w:r>
      <w:r>
        <w:rPr>
          <w:rFonts w:ascii="Times New Roman" w:hAnsi="Times New Roman"/>
          <w:sz w:val="20"/>
        </w:rPr>
        <w:t xml:space="preserve">) from July 1, 2021, to December 31, 2021. </w:t>
      </w:r>
    </w:p>
    <w:p>
      <w:pPr>
        <w:pStyle w:val="TextBody"/>
        <w:spacing w:before="240" w:after="0"/>
        <w:jc w:val="left"/>
        <w:rPr>
          <w:rFonts w:ascii="Times New Roman" w:hAnsi="Times New Roman"/>
          <w:sz w:val="20"/>
        </w:rPr>
      </w:pPr>
      <w:r>
        <w:rPr>
          <w:rFonts w:ascii="Times New Roman" w:hAnsi="Times New Roman"/>
          <w:sz w:val="20"/>
        </w:rPr>
        <w:t xml:space="preserve">As announced in December 2021, the Company determined to change the Companys fiscal year from June 30 to December 31. As a result of this change, the Company is reporting a six-month Transition Period. </w:t>
      </w:r>
    </w:p>
    <w:p>
      <w:pPr>
        <w:pStyle w:val="TextBody"/>
        <w:spacing w:before="240" w:after="0"/>
        <w:jc w:val="left"/>
        <w:rPr>
          <w:rFonts w:ascii="Times New Roman" w:hAnsi="Times New Roman"/>
          <w:b/>
          <w:sz w:val="20"/>
        </w:rPr>
      </w:pPr>
      <w:r>
        <w:rPr>
          <w:rFonts w:ascii="Times New Roman" w:hAnsi="Times New Roman"/>
          <w:b/>
          <w:sz w:val="20"/>
        </w:rPr>
        <w:t xml:space="preserve">Financial Highlights and Recent Updates: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increased 37% to $14.0 million in the Transition Period ended December 31, 2021, compared to $10.2 million over the six-month corresponding period in the prior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 increased 35% to $6.9 million in the fourth quarter of 2021, compared to $5.1 million in the corresponding period in the prior year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102"/>
        <w:gridCol w:w="9287"/>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Completed enrollment in two clinical trials with the goal of submitting premarket approval (PMA) supplements in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December 2021, completed enrollment of pivotal clinical trial evaluating the safety and effectiveness of the RECELL® System for the repigmentation of stable vitiligo lesions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January 2022, completed enrollment of pivotal study of the RECELL System for soft tissue reconstruction (trauma)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101"/>
        <w:gridCol w:w="9290"/>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January 2022, successfully established proof of concept with preclinical data in two key areas of cell-based gene therapy  skin rejuvenation and epidermolysis bullosa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1"/>
        <w:gridCol w:w="9291"/>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February 2022, received FDA approval of the premarket approval application (PMA) supplement for RECELL® Autologous Cell Harvesting Device, an enhanced RECELL system aimed at providing clinicians a more efficient user experience and simplified workflow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0"/>
        <w:gridCol w:w="92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February 2022, Japans Pharmaceuticals and Medical Devices Agency (PMDA) approved our application for commercialization of the RECELL system with an initial burns indication in Japan to be commercialized in a marketing and distribution partnership with COSMOTEC (an M3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102"/>
        <w:gridCol w:w="9287"/>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of December 31, 2021, the Company had approximately $55.5 million in cash and cash equivalents and $49.3 million in short-term and long-term marketable securities, and no debt </w:t>
            </w:r>
          </w:p>
        </w:tc>
      </w:tr>
    </w:tbl>
    <w:p>
      <w:pPr>
        <w:pStyle w:val="TextBody"/>
        <w:spacing w:before="240" w:after="0"/>
        <w:jc w:val="left"/>
        <w:rPr>
          <w:rFonts w:ascii="Times New Roman" w:hAnsi="Times New Roman"/>
          <w:sz w:val="20"/>
        </w:rPr>
      </w:pPr>
      <w:r>
        <w:rPr>
          <w:rFonts w:ascii="Times New Roman" w:hAnsi="Times New Roman"/>
          <w:sz w:val="20"/>
        </w:rPr>
        <w:t xml:space="preserve">We are pleased with the terrific results that we are achieving with RECELL in US burn centers, as well as with our recent achievement of many key corporate milestones. said Dr. Mike Perry, AVITA Medical Chief Executive Officer. Our success in burns will help us prepare for and is expected to increase our future adoption with respect to commercialization in much larger markets for soft tissue reconstruction and vitiligo in the second half of 2023.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3"/>
        <w:gridCol w:w="134"/>
        <w:gridCol w:w="698"/>
      </w:tblGrid>
      <w:tr>
        <w:trPr/>
        <w:tc>
          <w:tcPr>
            <w:tcW w:w="93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9373" w:type="dxa"/>
            <w:tcBorders/>
            <w:shd w:fill="auto" w:val="clear"/>
          </w:tcPr>
          <w:p>
            <w:pPr>
              <w:pStyle w:val="TableContents"/>
              <w:spacing w:before="0" w:after="283"/>
              <w:rPr/>
            </w:pPr>
            <w:r>
              <w:rPr/>
              <w:t>AVITA Medical, Inc. | 28159 Avenue Stanford, Suite 220 Valencia, CA 91355</w:t>
            </w:r>
          </w:p>
        </w:tc>
        <w:tc>
          <w:tcPr>
            <w:tcW w:w="134"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right"/>
              <w:rPr/>
            </w:pPr>
            <w:r>
              <w:rPr/>
              <w:t>Page 1</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Financial Results for the Three-Months Ended December 31, 2021, compared to the Three-Months Ended December 31, 2020 </w:t>
      </w:r>
    </w:p>
    <w:p>
      <w:pPr>
        <w:pStyle w:val="TextBody"/>
        <w:spacing w:before="120" w:after="0"/>
        <w:jc w:val="left"/>
        <w:rPr>
          <w:rFonts w:ascii="Times New Roman" w:hAnsi="Times New Roman"/>
          <w:sz w:val="20"/>
        </w:rPr>
      </w:pPr>
      <w:r>
        <w:rPr>
          <w:rFonts w:ascii="Times New Roman" w:hAnsi="Times New Roman"/>
          <w:sz w:val="20"/>
        </w:rPr>
        <w:t xml:space="preserve">Revenue increased 35% to $6.9 million, compared to $5.1 million in the corresponding period in the prior year. The increase was largely driven by broader utilization among our customer base as well as deeper penetration within individual customer accounts. </w:t>
      </w:r>
    </w:p>
    <w:p>
      <w:pPr>
        <w:pStyle w:val="TextBody"/>
        <w:spacing w:before="240" w:after="0"/>
        <w:jc w:val="left"/>
        <w:rPr>
          <w:rFonts w:ascii="Times New Roman" w:hAnsi="Times New Roman"/>
          <w:sz w:val="20"/>
        </w:rPr>
      </w:pPr>
      <w:r>
        <w:rPr>
          <w:rFonts w:ascii="Times New Roman" w:hAnsi="Times New Roman"/>
          <w:sz w:val="20"/>
        </w:rPr>
        <w:t xml:space="preserve">Gross profit margin was 88% compared with 84% in the corresponding period in the prior year. Higher gross margin was driven by increased production at our Ventura facility and the extension of our shelf-life. </w:t>
      </w:r>
    </w:p>
    <w:p>
      <w:pPr>
        <w:pStyle w:val="TextBody"/>
        <w:spacing w:before="240" w:after="0"/>
        <w:jc w:val="left"/>
        <w:rPr>
          <w:rFonts w:ascii="Times New Roman" w:hAnsi="Times New Roman"/>
          <w:sz w:val="20"/>
        </w:rPr>
      </w:pPr>
      <w:r>
        <w:rPr>
          <w:rFonts w:ascii="Times New Roman" w:hAnsi="Times New Roman"/>
          <w:sz w:val="20"/>
        </w:rPr>
        <w:t xml:space="preserve">Total operating expenses increased 42% to $14.8 million, compared to $10.4 million in the corresponding period in the prior year. The increase in operating expenses was primarily driven by higher share-based compensation costs, higher costs with ongoing development of a next generation automated skin preparation device, pre-commercialization planning for RECELL launches in soft tissue reconstruction and vitiligo, as well as increased hands-on professional education and training events. Higher share-based compensation costs in the current year were due to the reversal of a previously recognized expense for unvested awards related to the resignation of an executive officer in the prior year. A decrease in COVID-19 related travel restrictions in the current year enabled more in-person professional education and training events. </w:t>
      </w:r>
    </w:p>
    <w:p>
      <w:pPr>
        <w:pStyle w:val="TextBody"/>
        <w:spacing w:before="240" w:after="0"/>
        <w:jc w:val="left"/>
        <w:rPr>
          <w:rFonts w:ascii="Times New Roman" w:hAnsi="Times New Roman"/>
          <w:sz w:val="20"/>
        </w:rPr>
      </w:pPr>
      <w:r>
        <w:rPr>
          <w:rFonts w:ascii="Times New Roman" w:hAnsi="Times New Roman"/>
          <w:sz w:val="20"/>
        </w:rPr>
        <w:t xml:space="preserve">Net loss increased 52% or $2.9 million to $8.5 million, over the $5.6 million recognized in the corresponding period in the prior year. The increase in net loss was driven by higher operating expenses as described above, partially offset by higher revenue during the year. </w:t>
      </w:r>
    </w:p>
    <w:p>
      <w:pPr>
        <w:pStyle w:val="TextBody"/>
        <w:spacing w:before="240" w:after="0"/>
        <w:jc w:val="left"/>
        <w:rPr>
          <w:rFonts w:ascii="Times New Roman" w:hAnsi="Times New Roman"/>
          <w:sz w:val="20"/>
        </w:rPr>
      </w:pPr>
      <w:r>
        <w:rPr>
          <w:rFonts w:ascii="Times New Roman" w:hAnsi="Times New Roman"/>
          <w:sz w:val="20"/>
        </w:rPr>
        <w:t xml:space="preserve">Adjusted EBITDA* loss increased by 13%, or $0.7 million to $6.5 million, over the $5.8 million recognized in the corresponding period in the prior year. A table reconciling non-GAAP measures is included in this press release for reference. </w:t>
      </w:r>
    </w:p>
    <w:p>
      <w:pPr>
        <w:pStyle w:val="TextBody"/>
        <w:spacing w:before="360" w:after="0"/>
        <w:jc w:val="left"/>
        <w:rPr>
          <w:rFonts w:ascii="Times New Roman" w:hAnsi="Times New Roman"/>
          <w:b/>
          <w:sz w:val="20"/>
        </w:rPr>
      </w:pPr>
      <w:r>
        <w:rPr>
          <w:rFonts w:ascii="Times New Roman" w:hAnsi="Times New Roman"/>
          <w:b/>
          <w:sz w:val="20"/>
        </w:rPr>
        <w:t xml:space="preserve">Financial Results for the Transition Period Ended December 31, 2021, compared to the Six Months Ended December 31, 2020 </w:t>
      </w:r>
    </w:p>
    <w:p>
      <w:pPr>
        <w:pStyle w:val="TextBody"/>
        <w:spacing w:before="120" w:after="0"/>
        <w:jc w:val="left"/>
        <w:rPr>
          <w:rFonts w:ascii="Times New Roman" w:hAnsi="Times New Roman"/>
          <w:sz w:val="20"/>
        </w:rPr>
      </w:pPr>
      <w:r>
        <w:rPr>
          <w:rFonts w:ascii="Times New Roman" w:hAnsi="Times New Roman"/>
          <w:sz w:val="20"/>
        </w:rPr>
        <w:t>Revenue increased 37% to $14.0 million, compared to $10.2 million in the corresponding period in the prior year. RECELL® commercial revenues were $13.8 million, while RECELL revenues associated with U.S. Department of Health and Human Services Biomedical Advanced Research and Development Authority within the Office of the Assistant Secretary for Preparedness and Response (</w:t>
      </w:r>
      <w:r>
        <w:rPr>
          <w:rFonts w:ascii="Times New Roman" w:hAnsi="Times New Roman"/>
          <w:b/>
          <w:sz w:val="20"/>
        </w:rPr>
        <w:t>BARDA</w:t>
      </w:r>
      <w:r>
        <w:rPr>
          <w:rFonts w:ascii="Times New Roman" w:hAnsi="Times New Roman"/>
          <w:sz w:val="20"/>
        </w:rPr>
        <w:t xml:space="preserve">) were $0.2 million. Revenues associated with BARDA were attributable to our services over the vendor managed inventory for RECELL units purchased in the prior year. </w:t>
      </w:r>
    </w:p>
    <w:p>
      <w:pPr>
        <w:pStyle w:val="TextBody"/>
        <w:spacing w:before="240" w:after="0"/>
        <w:jc w:val="left"/>
        <w:rPr>
          <w:rFonts w:ascii="Times New Roman" w:hAnsi="Times New Roman"/>
          <w:sz w:val="20"/>
        </w:rPr>
      </w:pPr>
      <w:r>
        <w:rPr>
          <w:rFonts w:ascii="Times New Roman" w:hAnsi="Times New Roman"/>
          <w:sz w:val="20"/>
        </w:rPr>
        <w:t xml:space="preserve">Gross profit margin was 86% compared with 83% in the corresponding period in the prior year, driven largely by the extension of our shelf-life. </w:t>
      </w:r>
    </w:p>
    <w:p>
      <w:pPr>
        <w:pStyle w:val="TextBody"/>
        <w:spacing w:before="240" w:after="0"/>
        <w:jc w:val="left"/>
        <w:rPr>
          <w:rFonts w:ascii="Times New Roman" w:hAnsi="Times New Roman"/>
          <w:sz w:val="20"/>
        </w:rPr>
      </w:pPr>
      <w:r>
        <w:rPr>
          <w:rFonts w:ascii="Times New Roman" w:hAnsi="Times New Roman"/>
          <w:sz w:val="20"/>
        </w:rPr>
        <w:t xml:space="preserve">Total operating expenses increased 7% to $27.1 million, compared to $25.3 million in the corresponding period in the prior year. The increase in operating expenses was primarily driven by ongoing development of a next generation automated skin preparation device, pre-commercialization planning for RECELL launches in soft tissue reconstruction and vitiligo, as well as increased hands-on professional education and training events. These higher costs were partially offset by certain one-time professional services to establish the Company as a domestic filer with the SEC following completion of the AVITA corporate groups redomiciliation to the United States, and severance costs associated with a former executive employee incurred in the prior year. </w:t>
      </w:r>
    </w:p>
    <w:p>
      <w:pPr>
        <w:pStyle w:val="TextBody"/>
        <w:spacing w:before="240" w:after="0"/>
        <w:jc w:val="left"/>
        <w:rPr>
          <w:rFonts w:ascii="Times New Roman" w:hAnsi="Times New Roman"/>
          <w:sz w:val="20"/>
        </w:rPr>
      </w:pPr>
      <w:r>
        <w:rPr>
          <w:rFonts w:ascii="Times New Roman" w:hAnsi="Times New Roman"/>
          <w:sz w:val="20"/>
        </w:rPr>
        <w:t xml:space="preserve">Net loss decreased 9%, or $1.5 million to $14.4 million compared to the $15.9 million recognized in the corresponding period in the prior year. The decrease in net loss was driven by higher revenue during the year, partially offset by higher operating expenses as described above.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3"/>
        <w:gridCol w:w="134"/>
        <w:gridCol w:w="698"/>
      </w:tblGrid>
      <w:tr>
        <w:trPr/>
        <w:tc>
          <w:tcPr>
            <w:tcW w:w="93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9373" w:type="dxa"/>
            <w:tcBorders/>
            <w:shd w:fill="auto" w:val="clear"/>
          </w:tcPr>
          <w:p>
            <w:pPr>
              <w:pStyle w:val="TableContents"/>
              <w:spacing w:before="0" w:after="283"/>
              <w:rPr/>
            </w:pPr>
            <w:r>
              <w:rPr/>
              <w:t>AVITA Medical, Inc. | 28159 Avenue Stanford, Suite 220 Valencia, CA 91355</w:t>
            </w:r>
          </w:p>
        </w:tc>
        <w:tc>
          <w:tcPr>
            <w:tcW w:w="134"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right"/>
              <w:rPr/>
            </w:pPr>
            <w:r>
              <w:rPr/>
              <w:t>Page 2</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Adjusted EBITDA* loss decreased by 17%, or $2.1 million to $10.4 million compared to $12.5 million recognized over the corresponding period in the prior year. A table reconciling non-GAAP measures is included in this press release for reference. </w:t>
      </w:r>
    </w:p>
    <w:p>
      <w:pPr>
        <w:pStyle w:val="TextBody"/>
        <w:spacing w:before="360" w:after="0"/>
        <w:jc w:val="left"/>
        <w:rPr>
          <w:rFonts w:ascii="Times New Roman" w:hAnsi="Times New Roman"/>
          <w:b/>
          <w:sz w:val="20"/>
        </w:rPr>
      </w:pPr>
      <w:r>
        <w:rPr>
          <w:rFonts w:ascii="Times New Roman" w:hAnsi="Times New Roman"/>
          <w:b/>
          <w:sz w:val="20"/>
        </w:rPr>
        <w:t xml:space="preserve">Calendar Year 2022 Revenue Guidance </w:t>
      </w:r>
    </w:p>
    <w:p>
      <w:pPr>
        <w:pStyle w:val="TextBody"/>
        <w:spacing w:before="120" w:after="0"/>
        <w:jc w:val="left"/>
        <w:rPr>
          <w:rFonts w:ascii="Times New Roman" w:hAnsi="Times New Roman"/>
          <w:sz w:val="20"/>
        </w:rPr>
      </w:pPr>
      <w:r>
        <w:rPr>
          <w:rFonts w:ascii="Times New Roman" w:hAnsi="Times New Roman"/>
          <w:sz w:val="20"/>
        </w:rPr>
        <w:t xml:space="preserve">Total revenues in calendar year 2022 are projected to be approximately $30 million, excluding BARDA revenues, which represents a 20% increase year-over year. We project BARDA revenues of approximately $0.3 million in calendar year 2022, as compared to $7.9 million in calendar year 2021, since we completed delivery of RECELL units into the national stockpile in 2021. As we emerge from COVID-19, we expect further RECELL adoption in US burn centers where we are focusing our commercial efforts. The adoption of RECELL, and its positive patient outcomes and safety profile, positions us very well for broader commercial expansion planned for soft tissue reconstruction and vitiligo indications in the second half of 2023 following anticipated FDA approval.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Adjusted EBITDA is a non-GAAP financial measure. See the appendix to this release for a discussion of Non-GAAP financial measures, including a reconciliation to the most closely correlated GAAP measure. </w:t>
            </w:r>
          </w:p>
        </w:tc>
      </w:tr>
    </w:tbl>
    <w:p>
      <w:pPr>
        <w:pStyle w:val="TextBody"/>
        <w:spacing w:before="240" w:after="0"/>
        <w:jc w:val="center"/>
        <w:rPr>
          <w:rFonts w:ascii="Times New Roman" w:hAnsi="Times New Roman"/>
          <w:sz w:val="20"/>
        </w:rPr>
      </w:pPr>
      <w:r>
        <w:rPr>
          <w:rFonts w:ascii="Times New Roman" w:hAnsi="Times New Roman"/>
          <w:sz w:val="20"/>
        </w:rPr>
        <w:t xml:space="preserve">Authorized for release by the Chief Financial Officer of AVITA Medical, Inc. </w:t>
      </w:r>
    </w:p>
    <w:p>
      <w:pPr>
        <w:pStyle w:val="TextBody"/>
        <w:spacing w:before="240" w:after="0"/>
        <w:jc w:val="center"/>
        <w:rPr>
          <w:rFonts w:ascii="Times New Roman" w:hAnsi="Times New Roman"/>
          <w:sz w:val="20"/>
        </w:rPr>
      </w:pPr>
      <w:r>
        <w:rPr>
          <w:rFonts w:ascii="Times New Roman" w:hAnsi="Times New Roman"/>
          <w:sz w:val="20"/>
        </w:rPr>
        <w:t xml:space="preserve"># # # </w:t>
      </w:r>
    </w:p>
    <w:p>
      <w:pPr>
        <w:pStyle w:val="TextBody"/>
        <w:spacing w:before="360" w:after="0"/>
        <w:jc w:val="left"/>
        <w:rPr>
          <w:rFonts w:ascii="Times New Roman" w:hAnsi="Times New Roman"/>
          <w:b/>
          <w:sz w:val="20"/>
        </w:rPr>
      </w:pPr>
      <w:r>
        <w:rPr>
          <w:rFonts w:ascii="Times New Roman" w:hAnsi="Times New Roman"/>
          <w:b/>
          <w:sz w:val="20"/>
        </w:rPr>
        <w:t xml:space="preserve">ABOUT AVITA Medical, Inc. </w:t>
      </w:r>
    </w:p>
    <w:p>
      <w:pPr>
        <w:pStyle w:val="TextBody"/>
        <w:spacing w:before="120" w:after="0"/>
        <w:jc w:val="left"/>
        <w:rPr>
          <w:rFonts w:ascii="Times New Roman" w:hAnsi="Times New Roman"/>
          <w:sz w:val="20"/>
        </w:rPr>
      </w:pPr>
      <w:r>
        <w:rPr>
          <w:rFonts w:ascii="Times New Roman" w:hAnsi="Times New Roman"/>
          <w:sz w:val="20"/>
        </w:rPr>
        <w:t xml:space="preserve">AVITA Medical, Inc. is a regenerative medicine company with a technology platform positioned to address unmet medical needs in burns, chronic wounds, and aesthetics indications. AVITA Medical Inc. patented and proprietary collection and application technology provides innovative treatment solutions derived from the regenerative properties of a patients own skin. The medical devices work by preparing a RES® REGENERATIVE EPIDERMAL SUSPENSION, an autologous suspension comprised of the patients skin cells necessary to regenerate natural healthy epidermis. This autologous suspension is then sprayed onto the areas of the patient requiring treatment. </w:t>
      </w:r>
    </w:p>
    <w:p>
      <w:pPr>
        <w:pStyle w:val="TextBody"/>
        <w:spacing w:before="240" w:after="0"/>
        <w:jc w:val="left"/>
        <w:rPr>
          <w:rFonts w:ascii="Times New Roman" w:hAnsi="Times New Roman"/>
          <w:sz w:val="20"/>
        </w:rPr>
      </w:pPr>
      <w:r>
        <w:rPr>
          <w:rFonts w:ascii="Times New Roman" w:hAnsi="Times New Roman"/>
          <w:sz w:val="20"/>
        </w:rPr>
        <w:t xml:space="preserve">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The RECELL® System is used to prepare Spray-On Skin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 - RECELL® Autologous Cell Harvesting Device (https://recellsystem.com/) for a full description of indications for use and important safety information including contraindications, warnings, and precautions. </w:t>
      </w:r>
    </w:p>
    <w:p>
      <w:pPr>
        <w:pStyle w:val="TextBody"/>
        <w:spacing w:before="240" w:after="0"/>
        <w:jc w:val="left"/>
        <w:rPr>
          <w:rFonts w:ascii="Times New Roman" w:hAnsi="Times New Roman"/>
          <w:sz w:val="20"/>
        </w:rPr>
      </w:pPr>
      <w:r>
        <w:rPr>
          <w:rFonts w:ascii="Times New Roman" w:hAnsi="Times New Roman"/>
          <w:sz w:val="20"/>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w:t>
      </w:r>
    </w:p>
    <w:p>
      <w:pPr>
        <w:pStyle w:val="TextBody"/>
        <w:spacing w:before="240" w:after="0"/>
        <w:jc w:val="left"/>
        <w:rPr>
          <w:rFonts w:ascii="Times New Roman" w:hAnsi="Times New Roman"/>
          <w:sz w:val="20"/>
        </w:rPr>
      </w:pPr>
      <w:r>
        <w:rPr>
          <w:rFonts w:ascii="Times New Roman" w:hAnsi="Times New Roman"/>
          <w:sz w:val="20"/>
        </w:rPr>
        <w:t xml:space="preserve">To learn more, visit </w:t>
      </w:r>
      <w:r>
        <w:rPr>
          <w:rFonts w:ascii="Times New Roman" w:hAnsi="Times New Roman"/>
          <w:sz w:val="20"/>
          <w:u w:val="single"/>
        </w:rPr>
        <w:t>www.avitamedical.com</w:t>
      </w:r>
      <w:r>
        <w:rPr>
          <w:rFonts w:ascii="Times New Roman" w:hAnsi="Times New Roman"/>
          <w:sz w:val="20"/>
        </w:rPr>
        <w:t xml:space="preserve">. </w:t>
      </w:r>
    </w:p>
    <w:p>
      <w:pPr>
        <w:pStyle w:val="TextBody"/>
        <w:spacing w:before="360" w:after="0"/>
        <w:jc w:val="left"/>
        <w:rPr>
          <w:rFonts w:ascii="Times New Roman" w:hAnsi="Times New Roman"/>
          <w:b/>
          <w:sz w:val="20"/>
        </w:rPr>
      </w:pPr>
      <w:r>
        <w:rPr>
          <w:rFonts w:ascii="Times New Roman" w:hAnsi="Times New Roman"/>
          <w:b/>
          <w:sz w:val="20"/>
        </w:rPr>
        <w:t xml:space="preserve">Use of Non-GAAP Measure </w:t>
      </w:r>
    </w:p>
    <w:p>
      <w:pPr>
        <w:pStyle w:val="TextBody"/>
        <w:spacing w:before="120" w:after="0"/>
        <w:jc w:val="left"/>
        <w:rPr>
          <w:rFonts w:ascii="Times New Roman" w:hAnsi="Times New Roman"/>
          <w:sz w:val="20"/>
        </w:rPr>
      </w:pPr>
      <w:r>
        <w:rPr>
          <w:rFonts w:ascii="Times New Roman" w:hAnsi="Times New Roman"/>
          <w:sz w:val="20"/>
        </w:rPr>
        <w:t xml:space="preserve">AVITA Medicals reported earnings are prepared in accordance with generally accepted accounting principles in the United States, or GAAP, and represent earnings as reported to the Securities and Exchange Commission. AVITA Medical has provided in this release certain financial information that has not been prepared in accordance with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3"/>
        <w:gridCol w:w="134"/>
        <w:gridCol w:w="698"/>
      </w:tblGrid>
      <w:tr>
        <w:trPr/>
        <w:tc>
          <w:tcPr>
            <w:tcW w:w="93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9373" w:type="dxa"/>
            <w:tcBorders/>
            <w:shd w:fill="auto" w:val="clear"/>
          </w:tcPr>
          <w:p>
            <w:pPr>
              <w:pStyle w:val="TableContents"/>
              <w:spacing w:before="0" w:after="283"/>
              <w:rPr/>
            </w:pPr>
            <w:r>
              <w:rPr/>
              <w:t>AVITA Medical, Inc. | 28159 Avenue Stanford, Suite 220 Valencia, CA 91355</w:t>
            </w:r>
          </w:p>
        </w:tc>
        <w:tc>
          <w:tcPr>
            <w:tcW w:w="134"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right"/>
              <w:rPr/>
            </w:pPr>
            <w:r>
              <w:rPr/>
              <w:t>Page 3</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GAAP. AVITA Medicals management believes that the non-GAAP adjusted EBITDA described in the release, which includes adjustments for specific items that are generally not indicative of our core operations, provides additional information that is useful to investors in understanding AVITA Medicals underlying performance, business and performance trends, and helps facilitate period-to-period comparisons and comparisons of its financial measures with other companies in AVITA Medicals industry. However, the non-GAAP financial measures that AVITA Medical uses may differ from measures that other companies may use. Non-GAAP financial measures are not required to be uniformly applied, are not audited and should not be considered in isolation or as substitutes for results prepared in accordance with GAAP. </w:t>
      </w:r>
    </w:p>
    <w:p>
      <w:pPr>
        <w:pStyle w:val="TextBody"/>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spacing w:before="120" w:after="0"/>
        <w:jc w:val="left"/>
        <w:rPr>
          <w:rFonts w:ascii="Times New Roman" w:hAnsi="Times New Roman"/>
          <w:i/>
          <w:sz w:val="20"/>
        </w:rPr>
      </w:pPr>
      <w:r>
        <w:rPr>
          <w:rFonts w:ascii="Times New Roman" w:hAnsi="Times New Roman"/>
          <w:i/>
          <w:sz w:val="20"/>
        </w:rPr>
        <w:t xml:space="preserve">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goals. Forward-looking statements by their nature address matters that are, to different degrees, uncertain. Each forward- 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including, but not limited to the ongoing COVID-19 pandemic which are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 </w:t>
      </w:r>
    </w:p>
    <w:p>
      <w:pPr>
        <w:pStyle w:val="TextBody"/>
        <w:spacing w:before="360" w:after="0"/>
        <w:jc w:val="left"/>
        <w:rPr>
          <w:rFonts w:ascii="Times New Roman" w:hAnsi="Times New Roman"/>
          <w:b/>
          <w:sz w:val="20"/>
        </w:rPr>
      </w:pPr>
      <w:r>
        <w:rPr>
          <w:rFonts w:ascii="Times New Roman" w:hAnsi="Times New Roman"/>
          <w:b/>
          <w:sz w:val="20"/>
        </w:rPr>
        <w:t xml:space="preserve">FOR FURTHER INFORMATION: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48"/>
        <w:gridCol w:w="120"/>
        <w:gridCol w:w="4937"/>
      </w:tblGrid>
      <w:tr>
        <w:trPr/>
        <w:tc>
          <w:tcPr>
            <w:tcW w:w="51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37" w:type="dxa"/>
            <w:tcBorders/>
            <w:shd w:fill="auto" w:val="clear"/>
            <w:vAlign w:val="center"/>
          </w:tcPr>
          <w:p>
            <w:pPr>
              <w:pStyle w:val="TableContents"/>
              <w:spacing w:before="0" w:after="283"/>
              <w:rPr>
                <w:sz w:val="4"/>
                <w:szCs w:val="4"/>
              </w:rPr>
            </w:pPr>
            <w:r>
              <w:rPr>
                <w:sz w:val="4"/>
                <w:szCs w:val="4"/>
              </w:rPr>
            </w:r>
          </w:p>
        </w:tc>
      </w:tr>
      <w:tr>
        <w:trPr/>
        <w:tc>
          <w:tcPr>
            <w:tcW w:w="5148" w:type="dxa"/>
            <w:tcBorders/>
            <w:shd w:fill="auto" w:val="clear"/>
          </w:tcPr>
          <w:p>
            <w:pPr>
              <w:pStyle w:val="TableContents"/>
              <w:spacing w:before="0" w:after="0"/>
              <w:rPr>
                <w:rFonts w:ascii="Times New Roman" w:hAnsi="Times New Roman"/>
                <w:b/>
                <w:sz w:val="20"/>
              </w:rPr>
            </w:pPr>
            <w:r>
              <w:rPr>
                <w:rFonts w:ascii="Times New Roman" w:hAnsi="Times New Roman"/>
                <w:b/>
                <w:sz w:val="20"/>
              </w:rPr>
              <w:t>U.S. Media</w:t>
            </w:r>
          </w:p>
          <w:p>
            <w:pPr>
              <w:pStyle w:val="TableContents"/>
              <w:spacing w:before="0" w:after="0"/>
              <w:rPr>
                <w:rFonts w:ascii="Times New Roman" w:hAnsi="Times New Roman"/>
                <w:b/>
                <w:sz w:val="20"/>
              </w:rPr>
            </w:pPr>
            <w:r>
              <w:rPr>
                <w:rFonts w:ascii="Times New Roman" w:hAnsi="Times New Roman"/>
                <w:b/>
                <w:sz w:val="20"/>
              </w:rPr>
              <w:t>Sam Brown, Inc.</w:t>
            </w:r>
          </w:p>
          <w:p>
            <w:pPr>
              <w:pStyle w:val="TableContents"/>
              <w:spacing w:before="0" w:after="0"/>
              <w:rPr>
                <w:rFonts w:ascii="Times New Roman" w:hAnsi="Times New Roman"/>
                <w:sz w:val="20"/>
              </w:rPr>
            </w:pPr>
            <w:r>
              <w:rPr>
                <w:rFonts w:ascii="Times New Roman" w:hAnsi="Times New Roman"/>
                <w:sz w:val="20"/>
              </w:rPr>
              <w:t>Christy Curran</w:t>
            </w:r>
          </w:p>
          <w:p>
            <w:pPr>
              <w:pStyle w:val="TableContents"/>
              <w:spacing w:before="0" w:after="0"/>
              <w:rPr>
                <w:rFonts w:ascii="Times New Roman" w:hAnsi="Times New Roman"/>
                <w:sz w:val="20"/>
              </w:rPr>
            </w:pPr>
            <w:r>
              <w:rPr>
                <w:rFonts w:ascii="Times New Roman" w:hAnsi="Times New Roman"/>
                <w:sz w:val="20"/>
              </w:rPr>
              <w:t>Phone +1 615 414 8668</w:t>
            </w:r>
          </w:p>
          <w:p>
            <w:pPr>
              <w:pStyle w:val="TableContents"/>
              <w:spacing w:before="0" w:after="0"/>
              <w:rPr>
                <w:rFonts w:ascii="Times New Roman" w:hAnsi="Times New Roman"/>
                <w:sz w:val="20"/>
                <w:u w:val="single"/>
              </w:rPr>
            </w:pPr>
            <w:r>
              <w:rPr>
                <w:rFonts w:ascii="Times New Roman" w:hAnsi="Times New Roman"/>
                <w:sz w:val="20"/>
                <w:u w:val="single"/>
              </w:rPr>
              <w:t>christycurran@sambrown.com</w:t>
            </w:r>
          </w:p>
          <w:p>
            <w:pPr>
              <w:pStyle w:val="TableContents"/>
              <w:spacing w:before="0" w:after="0"/>
              <w:rPr/>
            </w:pPr>
            <w:r>
              <w:rPr/>
              <w:t> </w:t>
            </w:r>
          </w:p>
          <w:p>
            <w:pPr>
              <w:pStyle w:val="TableContents"/>
              <w:spacing w:before="0" w:after="0"/>
              <w:rPr>
                <w:rFonts w:ascii="Times New Roman" w:hAnsi="Times New Roman"/>
                <w:b/>
                <w:sz w:val="20"/>
              </w:rPr>
            </w:pPr>
            <w:r>
              <w:rPr>
                <w:rFonts w:ascii="Times New Roman" w:hAnsi="Times New Roman"/>
                <w:b/>
                <w:sz w:val="20"/>
              </w:rPr>
              <w:t>O.U.S Media</w:t>
            </w:r>
          </w:p>
          <w:p>
            <w:pPr>
              <w:pStyle w:val="TableContents"/>
              <w:spacing w:before="0" w:after="0"/>
              <w:rPr>
                <w:rFonts w:ascii="Times New Roman" w:hAnsi="Times New Roman"/>
                <w:b/>
                <w:sz w:val="20"/>
              </w:rPr>
            </w:pPr>
            <w:r>
              <w:rPr>
                <w:rFonts w:ascii="Times New Roman" w:hAnsi="Times New Roman"/>
                <w:b/>
                <w:sz w:val="20"/>
              </w:rPr>
              <w:t>Monsoon Communications</w:t>
            </w:r>
          </w:p>
          <w:p>
            <w:pPr>
              <w:pStyle w:val="TableContents"/>
              <w:spacing w:before="0" w:after="0"/>
              <w:rPr>
                <w:rFonts w:ascii="Times New Roman" w:hAnsi="Times New Roman"/>
                <w:sz w:val="20"/>
              </w:rPr>
            </w:pPr>
            <w:r>
              <w:rPr>
                <w:rFonts w:ascii="Times New Roman" w:hAnsi="Times New Roman"/>
                <w:sz w:val="20"/>
              </w:rPr>
              <w:t>Rudi Michelson</w:t>
            </w:r>
          </w:p>
          <w:p>
            <w:pPr>
              <w:pStyle w:val="TableContents"/>
              <w:spacing w:before="0" w:after="0"/>
              <w:rPr>
                <w:rFonts w:ascii="Times New Roman" w:hAnsi="Times New Roman"/>
                <w:sz w:val="20"/>
              </w:rPr>
            </w:pPr>
            <w:r>
              <w:rPr>
                <w:rFonts w:ascii="Times New Roman" w:hAnsi="Times New Roman"/>
                <w:sz w:val="20"/>
              </w:rPr>
              <w:t>Phone +61 (0)3 9620 3333</w:t>
            </w:r>
          </w:p>
          <w:p>
            <w:pPr>
              <w:pStyle w:val="TableContents"/>
              <w:spacing w:before="0" w:after="0"/>
              <w:rPr>
                <w:rFonts w:ascii="Times New Roman" w:hAnsi="Times New Roman"/>
                <w:sz w:val="20"/>
              </w:rPr>
            </w:pPr>
            <w:r>
              <w:rPr>
                <w:rFonts w:ascii="Times New Roman" w:hAnsi="Times New Roman"/>
                <w:sz w:val="20"/>
              </w:rPr>
              <w:t>Mobile +61 (0)411 402 737</w:t>
            </w:r>
          </w:p>
          <w:p>
            <w:pPr>
              <w:pStyle w:val="TableContents"/>
              <w:spacing w:before="0" w:after="20"/>
              <w:rPr>
                <w:rFonts w:ascii="Times New Roman" w:hAnsi="Times New Roman"/>
                <w:sz w:val="20"/>
                <w:u w:val="single"/>
              </w:rPr>
            </w:pPr>
            <w:r>
              <w:rPr>
                <w:rFonts w:ascii="Times New Roman" w:hAnsi="Times New Roman"/>
                <w:sz w:val="20"/>
                <w:u w:val="single"/>
              </w:rPr>
              <w:t>rudim@monsoon.com.au</w:t>
            </w:r>
          </w:p>
        </w:tc>
        <w:tc>
          <w:tcPr>
            <w:tcW w:w="120" w:type="dxa"/>
            <w:tcBorders/>
            <w:shd w:fill="auto" w:val="clear"/>
            <w:vAlign w:val="bottom"/>
          </w:tcPr>
          <w:p>
            <w:pPr>
              <w:pStyle w:val="TableContents"/>
              <w:spacing w:before="0" w:after="283"/>
              <w:rPr/>
            </w:pPr>
            <w:r>
              <w:rPr/>
              <w:t>  </w:t>
            </w:r>
          </w:p>
        </w:tc>
        <w:tc>
          <w:tcPr>
            <w:tcW w:w="4937" w:type="dxa"/>
            <w:tcBorders/>
            <w:shd w:fill="auto" w:val="clear"/>
          </w:tcPr>
          <w:p>
            <w:pPr>
              <w:pStyle w:val="TableContents"/>
              <w:spacing w:before="0" w:after="0"/>
              <w:rPr>
                <w:rFonts w:ascii="Times New Roman" w:hAnsi="Times New Roman"/>
                <w:b/>
                <w:sz w:val="20"/>
              </w:rPr>
            </w:pPr>
            <w:r>
              <w:rPr>
                <w:rFonts w:ascii="Times New Roman" w:hAnsi="Times New Roman"/>
                <w:b/>
                <w:sz w:val="20"/>
              </w:rPr>
              <w:t>Investors</w:t>
            </w:r>
          </w:p>
          <w:p>
            <w:pPr>
              <w:pStyle w:val="TableContents"/>
              <w:spacing w:before="0" w:after="0"/>
              <w:rPr>
                <w:rFonts w:ascii="Times New Roman" w:hAnsi="Times New Roman"/>
                <w:b/>
                <w:sz w:val="20"/>
              </w:rPr>
            </w:pPr>
            <w:r>
              <w:rPr>
                <w:rFonts w:ascii="Times New Roman" w:hAnsi="Times New Roman"/>
                <w:b/>
                <w:sz w:val="20"/>
              </w:rPr>
              <w:t>ICR Westwicke</w:t>
            </w:r>
          </w:p>
          <w:p>
            <w:pPr>
              <w:pStyle w:val="TableContents"/>
              <w:spacing w:before="0" w:after="0"/>
              <w:rPr>
                <w:rFonts w:ascii="Times New Roman" w:hAnsi="Times New Roman"/>
                <w:sz w:val="20"/>
              </w:rPr>
            </w:pPr>
            <w:r>
              <w:rPr>
                <w:rFonts w:ascii="Times New Roman" w:hAnsi="Times New Roman"/>
                <w:sz w:val="20"/>
              </w:rPr>
              <w:t>Caroline Corner</w:t>
            </w:r>
          </w:p>
          <w:p>
            <w:pPr>
              <w:pStyle w:val="TableContents"/>
              <w:spacing w:before="0" w:after="0"/>
              <w:rPr>
                <w:rFonts w:ascii="Times New Roman" w:hAnsi="Times New Roman"/>
                <w:sz w:val="20"/>
              </w:rPr>
            </w:pPr>
            <w:r>
              <w:rPr>
                <w:rFonts w:ascii="Times New Roman" w:hAnsi="Times New Roman"/>
                <w:sz w:val="20"/>
              </w:rPr>
              <w:t>Phone +1 415 202 5678</w:t>
            </w:r>
          </w:p>
          <w:p>
            <w:pPr>
              <w:pStyle w:val="TableContents"/>
              <w:spacing w:before="0" w:after="20"/>
              <w:rPr>
                <w:rFonts w:ascii="Times New Roman" w:hAnsi="Times New Roman"/>
                <w:sz w:val="20"/>
                <w:u w:val="single"/>
              </w:rPr>
            </w:pPr>
            <w:r>
              <w:rPr>
                <w:rFonts w:ascii="Times New Roman" w:hAnsi="Times New Roman"/>
                <w:sz w:val="20"/>
                <w:u w:val="single"/>
              </w:rPr>
              <w:t>caroline.corner@westwicke.com</w:t>
            </w:r>
          </w:p>
        </w:tc>
      </w:tr>
      <w:tr>
        <w:trPr>
          <w:trHeight w:val="240" w:hRule="atLeast"/>
        </w:trPr>
        <w:tc>
          <w:tcPr>
            <w:tcW w:w="5148" w:type="dxa"/>
            <w:tcBorders/>
            <w:shd w:fill="auto" w:val="clear"/>
            <w:vAlign w:val="center"/>
          </w:tcPr>
          <w:p>
            <w:pPr>
              <w:pStyle w:val="TableContents"/>
              <w:spacing w:before="0" w:after="283"/>
              <w:rPr>
                <w:sz w:val="4"/>
                <w:szCs w:val="4"/>
              </w:rPr>
            </w:pPr>
            <w:r>
              <w:rPr>
                <w:sz w:val="4"/>
                <w:szCs w:val="4"/>
              </w:rPr>
            </w:r>
          </w:p>
        </w:tc>
        <w:tc>
          <w:tcPr>
            <w:tcW w:w="5057" w:type="dxa"/>
            <w:gridSpan w:val="2"/>
            <w:tcBorders/>
            <w:shd w:fill="auto" w:val="clear"/>
            <w:vAlign w:val="center"/>
          </w:tcPr>
          <w:p>
            <w:pPr>
              <w:pStyle w:val="TableContents"/>
              <w:spacing w:before="0" w:after="283"/>
              <w:rPr>
                <w:sz w:val="4"/>
                <w:szCs w:val="4"/>
              </w:rPr>
            </w:pPr>
            <w:r>
              <w:rPr>
                <w:sz w:val="4"/>
                <w:szCs w:val="4"/>
              </w:rPr>
            </w:r>
          </w:p>
        </w:tc>
      </w:tr>
      <w:tr>
        <w:trPr/>
        <w:tc>
          <w:tcPr>
            <w:tcW w:w="5148" w:type="dxa"/>
            <w:tcBorders/>
            <w:shd w:fill="auto" w:val="clear"/>
          </w:tcPr>
          <w:p>
            <w:pPr>
              <w:pStyle w:val="TableContents"/>
              <w:spacing w:before="0" w:after="20"/>
              <w:jc w:val="right"/>
              <w:rPr>
                <w:rFonts w:ascii="Times New Roman" w:hAnsi="Times New Roman"/>
                <w:sz w:val="20"/>
              </w:rPr>
            </w:pPr>
            <w:r>
              <w:rPr>
                <w:rFonts w:ascii="Times New Roman" w:hAnsi="Times New Roman"/>
                <w:sz w:val="20"/>
              </w:rPr>
              <w:t># # #</w:t>
            </w:r>
          </w:p>
        </w:tc>
        <w:tc>
          <w:tcPr>
            <w:tcW w:w="120" w:type="dxa"/>
            <w:tcBorders/>
            <w:shd w:fill="auto" w:val="clear"/>
            <w:vAlign w:val="bottom"/>
          </w:tcPr>
          <w:p>
            <w:pPr>
              <w:pStyle w:val="TableContents"/>
              <w:spacing w:before="0" w:after="283"/>
              <w:rPr/>
            </w:pPr>
            <w:r>
              <w:rPr/>
              <w:t>  </w:t>
            </w:r>
          </w:p>
        </w:tc>
        <w:tc>
          <w:tcPr>
            <w:tcW w:w="4937" w:type="dxa"/>
            <w:tcBorders/>
            <w:shd w:fill="auto" w:val="clear"/>
          </w:tcPr>
          <w:p>
            <w:pPr>
              <w:pStyle w:val="TableContents"/>
              <w:spacing w:before="0" w:after="20"/>
              <w:jc w:val="right"/>
              <w:rPr>
                <w:rFonts w:ascii="Times New Roman" w:hAnsi="Times New Roman"/>
                <w:sz w:val="20"/>
              </w:rPr>
            </w:pPr>
            <w:r>
              <w:rPr>
                <w:rFonts w:ascii="Times New Roman" w:hAnsi="Times New Roman"/>
                <w:sz w:val="20"/>
              </w:rPr>
              <w:t>PR20220228</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3"/>
        <w:gridCol w:w="134"/>
        <w:gridCol w:w="698"/>
      </w:tblGrid>
      <w:tr>
        <w:trPr/>
        <w:tc>
          <w:tcPr>
            <w:tcW w:w="93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9373" w:type="dxa"/>
            <w:tcBorders/>
            <w:shd w:fill="auto" w:val="clear"/>
          </w:tcPr>
          <w:p>
            <w:pPr>
              <w:pStyle w:val="TableContents"/>
              <w:spacing w:before="0" w:after="283"/>
              <w:rPr/>
            </w:pPr>
            <w:r>
              <w:rPr/>
              <w:t>AVITA Medical, Inc. | 28159 Avenue Stanford, Suite 220 Valencia, CA 91355</w:t>
            </w:r>
          </w:p>
        </w:tc>
        <w:tc>
          <w:tcPr>
            <w:tcW w:w="134"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right"/>
              <w:rPr/>
            </w:pPr>
            <w:r>
              <w:rPr/>
              <w:t>Page 4</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AVITA MEDICAL, INC.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710"/>
        <w:gridCol w:w="208"/>
        <w:gridCol w:w="195"/>
        <w:gridCol w:w="1253"/>
        <w:gridCol w:w="155"/>
        <w:gridCol w:w="164"/>
        <w:gridCol w:w="140"/>
        <w:gridCol w:w="880"/>
        <w:gridCol w:w="155"/>
        <w:gridCol w:w="164"/>
        <w:gridCol w:w="140"/>
        <w:gridCol w:w="880"/>
        <w:gridCol w:w="161"/>
      </w:tblGrid>
      <w:tr>
        <w:trPr/>
        <w:tc>
          <w:tcPr>
            <w:tcW w:w="571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2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571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126" w:type="dxa"/>
            <w:gridSpan w:val="10"/>
            <w:tcBorders>
              <w:bottom w:val="single" w:sz="8" w:space="0" w:color="000000"/>
            </w:tcBorders>
            <w:shd w:fill="auto" w:val="clear"/>
            <w:tcMar>
              <w:bottom w:w="28" w:type="dxa"/>
            </w:tcMar>
            <w:vAlign w:val="bottom"/>
          </w:tcPr>
          <w:p>
            <w:pPr>
              <w:pStyle w:val="TableContents"/>
              <w:spacing w:before="0" w:after="283"/>
              <w:jc w:val="center"/>
              <w:rPr>
                <w:b/>
              </w:rPr>
            </w:pPr>
            <w:r>
              <w:rPr>
                <w:b/>
              </w:rPr>
              <w:t>As of</w:t>
            </w:r>
          </w:p>
        </w:tc>
        <w:tc>
          <w:tcPr>
            <w:tcW w:w="161" w:type="dxa"/>
            <w:tcBorders/>
            <w:shd w:fill="auto"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144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2021</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0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June 30,</w:t>
              <w:br/>
              <w:t>2021</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02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June 30,</w:t>
              <w:br/>
              <w:t>2020</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b/>
                <w:sz w:val="20"/>
              </w:rPr>
            </w:pPr>
            <w:r>
              <w:rPr>
                <w:rFonts w:ascii="Times New Roman" w:hAnsi="Times New Roman"/>
                <w:b/>
                <w:sz w:val="20"/>
              </w:rPr>
              <w:t>ASSETS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8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w:t>
            </w:r>
          </w:p>
        </w:tc>
        <w:tc>
          <w:tcPr>
            <w:tcW w:w="1253" w:type="dxa"/>
            <w:tcBorders/>
            <w:shd w:fill="auto" w:val="clear"/>
            <w:vAlign w:val="bottom"/>
          </w:tcPr>
          <w:p>
            <w:pPr>
              <w:pStyle w:val="TableContents"/>
              <w:spacing w:before="0" w:after="283"/>
              <w:jc w:val="right"/>
              <w:rPr/>
            </w:pPr>
            <w:r>
              <w:rPr/>
              <w:t>55,511</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0" w:type="dxa"/>
            <w:tcBorders/>
            <w:shd w:fill="auto" w:val="clear"/>
            <w:vAlign w:val="bottom"/>
          </w:tcPr>
          <w:p>
            <w:pPr>
              <w:pStyle w:val="TableContents"/>
              <w:spacing w:before="0" w:after="283"/>
              <w:jc w:val="right"/>
              <w:rPr/>
            </w:pPr>
            <w:r>
              <w:rPr/>
              <w:t>110,746</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80" w:type="dxa"/>
            <w:tcBorders/>
            <w:shd w:fill="auto" w:val="clear"/>
            <w:vAlign w:val="bottom"/>
          </w:tcPr>
          <w:p>
            <w:pPr>
              <w:pStyle w:val="TableContents"/>
              <w:spacing w:before="0" w:after="283"/>
              <w:jc w:val="right"/>
              <w:rPr/>
            </w:pPr>
            <w:r>
              <w:rPr/>
              <w:t>73,639</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Marketable securities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29,649</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Accounts receivable, net</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3,118</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3,467</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2,076</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BARDA receivables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308</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3,936</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356</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Prepaids and other current assets</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1,213</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1,333</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990</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Restricted cash</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201</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201</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201</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Inventory</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2,132</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1,647</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1,125</w:t>
            </w:r>
          </w:p>
        </w:tc>
        <w:tc>
          <w:tcPr>
            <w:tcW w:w="161" w:type="dxa"/>
            <w:tcBorders/>
            <w:shd w:fill="auto"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Total current assets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92,132</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121,330</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78,387</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Marketable securities long-term</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19,692</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Plant and equipment, net</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1,262</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1,458</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1,363</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right-of-use assets</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1,544</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1,480</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2,347</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Intangible assets, net</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443</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472</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364</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Other long-term assets</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942</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761</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w:t>
            </w:r>
          </w:p>
        </w:tc>
        <w:tc>
          <w:tcPr>
            <w:tcW w:w="161" w:type="dxa"/>
            <w:tcBorders/>
            <w:shd w:fill="auto"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assets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53" w:type="dxa"/>
            <w:tcBorders/>
            <w:shd w:fill="CCEEFF" w:val="clear"/>
            <w:vAlign w:val="bottom"/>
          </w:tcPr>
          <w:p>
            <w:pPr>
              <w:pStyle w:val="TableContents"/>
              <w:spacing w:before="0" w:after="283"/>
              <w:jc w:val="right"/>
              <w:rPr/>
            </w:pPr>
            <w:r>
              <w:rPr/>
              <w:t>116,015</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0" w:type="dxa"/>
            <w:tcBorders/>
            <w:shd w:fill="CCEEFF" w:val="clear"/>
            <w:vAlign w:val="bottom"/>
          </w:tcPr>
          <w:p>
            <w:pPr>
              <w:pStyle w:val="TableContents"/>
              <w:spacing w:before="0" w:after="283"/>
              <w:jc w:val="right"/>
              <w:rPr/>
            </w:pPr>
            <w:r>
              <w:rPr/>
              <w:t>125,501</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0" w:type="dxa"/>
            <w:tcBorders/>
            <w:shd w:fill="CCEEFF" w:val="clear"/>
            <w:vAlign w:val="bottom"/>
          </w:tcPr>
          <w:p>
            <w:pPr>
              <w:pStyle w:val="TableContents"/>
              <w:spacing w:before="0" w:after="283"/>
              <w:jc w:val="right"/>
              <w:rPr/>
            </w:pPr>
            <w:r>
              <w:rPr/>
              <w:t>82,462</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LIABILITIES AND SHAREHOLDERS EQUITY</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2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8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Accounts payable and accrued liabilities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2,708</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3,120</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4,333</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Accrued wages and fringe benefits</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5,363</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3,321</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2,816</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Other current liabilities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1,075</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949</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560</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Total current liabilities</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9,146</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7,390</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7,709</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Contract liabilities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952</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1,075</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435</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Operating lease liabilities, long term</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918</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878</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1,917</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Other long-term liabilities</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375</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503</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Total liabilities</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11,391</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9,846</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10,061</w:t>
            </w:r>
          </w:p>
        </w:tc>
        <w:tc>
          <w:tcPr>
            <w:tcW w:w="161" w:type="dxa"/>
            <w:tcBorders/>
            <w:shd w:fill="auto"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Contingencies (Note 10)</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25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8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80"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sz w:val="4"/>
                <w:szCs w:val="4"/>
              </w:rPr>
            </w:pPr>
            <w:r>
              <w:rPr>
                <w:sz w:val="4"/>
                <w:szCs w:val="4"/>
              </w:rPr>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Shareholders Equity:</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25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8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80"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 $0.0001 par value per share, 200,000,000 shares authorized, 24,925,743 and 24,895,864 shares issued and outstanding at December 31, 2021 and June 30, 2021, respectively</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Preferred stock, $0.0001 par value per share, 10,000,000 shares authorized, no shares issued or outstanding at June 30, 2021 and June 30, 2020</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  </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332,484</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328,889</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259,165</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Accumulated other comprehensive income</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8,060</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8,259</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8,146</w:t>
            </w:r>
          </w:p>
        </w:tc>
        <w:tc>
          <w:tcPr>
            <w:tcW w:w="161" w:type="dxa"/>
            <w:tcBorders/>
            <w:shd w:fill="auto" w:val="clear"/>
            <w:vAlign w:val="bottom"/>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Accumulated deficit</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253" w:type="dxa"/>
            <w:tcBorders/>
            <w:shd w:fill="CCEEFF" w:val="clear"/>
            <w:vAlign w:val="bottom"/>
          </w:tcPr>
          <w:p>
            <w:pPr>
              <w:pStyle w:val="TableContents"/>
              <w:spacing w:before="0" w:after="283"/>
              <w:jc w:val="right"/>
              <w:rPr/>
            </w:pPr>
            <w:r>
              <w:rPr/>
              <w:t>(235,923</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(221,496</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80" w:type="dxa"/>
            <w:tcBorders/>
            <w:shd w:fill="CCEEFF" w:val="clear"/>
            <w:vAlign w:val="bottom"/>
          </w:tcPr>
          <w:p>
            <w:pPr>
              <w:pStyle w:val="TableContents"/>
              <w:spacing w:before="0" w:after="283"/>
              <w:jc w:val="right"/>
              <w:rPr/>
            </w:pPr>
            <w:r>
              <w:rPr/>
              <w:t>(194,913</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tcPr>
          <w:p>
            <w:pPr>
              <w:pStyle w:val="TableContents"/>
              <w:spacing w:before="0" w:after="0"/>
              <w:rPr>
                <w:rFonts w:ascii="Times New Roman" w:hAnsi="Times New Roman"/>
                <w:sz w:val="20"/>
              </w:rPr>
            </w:pPr>
            <w:r>
              <w:rPr>
                <w:rFonts w:ascii="Times New Roman" w:hAnsi="Times New Roman"/>
                <w:sz w:val="20"/>
              </w:rPr>
              <w:t>Total shareholders equity</w:t>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253" w:type="dxa"/>
            <w:tcBorders/>
            <w:shd w:fill="auto" w:val="clear"/>
            <w:vAlign w:val="bottom"/>
          </w:tcPr>
          <w:p>
            <w:pPr>
              <w:pStyle w:val="TableContents"/>
              <w:spacing w:before="0" w:after="283"/>
              <w:jc w:val="right"/>
              <w:rPr/>
            </w:pPr>
            <w:r>
              <w:rPr/>
              <w:t>104,624</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115,655</w:t>
            </w:r>
          </w:p>
        </w:tc>
        <w:tc>
          <w:tcPr>
            <w:tcW w:w="155"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80" w:type="dxa"/>
            <w:tcBorders/>
            <w:shd w:fill="auto" w:val="clear"/>
            <w:vAlign w:val="bottom"/>
          </w:tcPr>
          <w:p>
            <w:pPr>
              <w:pStyle w:val="TableContents"/>
              <w:spacing w:before="0" w:after="283"/>
              <w:jc w:val="right"/>
              <w:rPr/>
            </w:pPr>
            <w:r>
              <w:rPr/>
              <w:t>72,401</w:t>
            </w:r>
          </w:p>
        </w:tc>
        <w:tc>
          <w:tcPr>
            <w:tcW w:w="161" w:type="dxa"/>
            <w:tcBorders/>
            <w:shd w:fill="auto"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single" w:sz="2" w:space="1" w:color="000000"/>
              </w:pBdr>
              <w:spacing w:before="0" w:after="0"/>
              <w:rPr/>
            </w:pPr>
            <w:r>
              <w:rPr/>
              <w:t> </w:t>
            </w:r>
          </w:p>
        </w:tc>
        <w:tc>
          <w:tcPr>
            <w:tcW w:w="125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80" w:type="dxa"/>
            <w:tcBorders/>
            <w:shd w:fill="auto" w:val="clear"/>
            <w:vAlign w:val="bottom"/>
          </w:tcPr>
          <w:p>
            <w:pPr>
              <w:pStyle w:val="TableContents"/>
              <w:pBdr>
                <w:top w:val="single" w:sz="2"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r>
        <w:trPr/>
        <w:tc>
          <w:tcPr>
            <w:tcW w:w="5710" w:type="dxa"/>
            <w:tcBorders/>
            <w:shd w:fill="CCEEFF" w:val="clear"/>
          </w:tcPr>
          <w:p>
            <w:pPr>
              <w:pStyle w:val="TableContents"/>
              <w:spacing w:before="0" w:after="0"/>
              <w:rPr>
                <w:rFonts w:ascii="Times New Roman" w:hAnsi="Times New Roman"/>
                <w:sz w:val="20"/>
              </w:rPr>
            </w:pPr>
            <w:r>
              <w:rPr>
                <w:rFonts w:ascii="Times New Roman" w:hAnsi="Times New Roman"/>
                <w:sz w:val="20"/>
              </w:rPr>
              <w:t>Total liabilities and shareholders equity</w:t>
            </w:r>
          </w:p>
        </w:tc>
        <w:tc>
          <w:tcPr>
            <w:tcW w:w="20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w:t>
            </w:r>
          </w:p>
        </w:tc>
        <w:tc>
          <w:tcPr>
            <w:tcW w:w="1253" w:type="dxa"/>
            <w:tcBorders/>
            <w:shd w:fill="CCEEFF" w:val="clear"/>
            <w:vAlign w:val="bottom"/>
          </w:tcPr>
          <w:p>
            <w:pPr>
              <w:pStyle w:val="TableContents"/>
              <w:spacing w:before="0" w:after="283"/>
              <w:jc w:val="right"/>
              <w:rPr/>
            </w:pPr>
            <w:r>
              <w:rPr/>
              <w:t>116,015</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0" w:type="dxa"/>
            <w:tcBorders/>
            <w:shd w:fill="CCEEFF" w:val="clear"/>
            <w:vAlign w:val="bottom"/>
          </w:tcPr>
          <w:p>
            <w:pPr>
              <w:pStyle w:val="TableContents"/>
              <w:spacing w:before="0" w:after="283"/>
              <w:jc w:val="right"/>
              <w:rPr/>
            </w:pPr>
            <w:r>
              <w:rPr/>
              <w:t>125,501</w:t>
            </w:r>
          </w:p>
        </w:tc>
        <w:tc>
          <w:tcPr>
            <w:tcW w:w="155"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80" w:type="dxa"/>
            <w:tcBorders/>
            <w:shd w:fill="CCEEFF" w:val="clear"/>
            <w:vAlign w:val="bottom"/>
          </w:tcPr>
          <w:p>
            <w:pPr>
              <w:pStyle w:val="TableContents"/>
              <w:spacing w:before="0" w:after="283"/>
              <w:jc w:val="right"/>
              <w:rPr/>
            </w:pPr>
            <w:r>
              <w:rPr/>
              <w:t>82,462</w:t>
            </w:r>
          </w:p>
        </w:tc>
        <w:tc>
          <w:tcPr>
            <w:tcW w:w="161" w:type="dxa"/>
            <w:tcBorders/>
            <w:shd w:fill="CCEEFF" w:val="clear"/>
            <w:vAlign w:val="bottom"/>
          </w:tcPr>
          <w:p>
            <w:pPr>
              <w:pStyle w:val="TableContents"/>
              <w:spacing w:before="0" w:after="283"/>
              <w:rPr/>
            </w:pPr>
            <w:r>
              <w:rPr/>
              <w:t> </w:t>
            </w:r>
          </w:p>
        </w:tc>
      </w:tr>
      <w:tr>
        <w:trPr/>
        <w:tc>
          <w:tcPr>
            <w:tcW w:w="5710" w:type="dxa"/>
            <w:tcBorders/>
            <w:shd w:fill="auto" w:val="clear"/>
            <w:vAlign w:val="bottom"/>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pBdr>
                <w:top w:val="double" w:sz="6" w:space="1" w:color="000000"/>
              </w:pBdr>
              <w:spacing w:before="0" w:after="0"/>
              <w:rPr/>
            </w:pPr>
            <w:r>
              <w:rPr/>
              <w:t> </w:t>
            </w:r>
          </w:p>
        </w:tc>
        <w:tc>
          <w:tcPr>
            <w:tcW w:w="125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8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80" w:type="dxa"/>
            <w:tcBorders/>
            <w:shd w:fill="auto" w:val="clear"/>
            <w:vAlign w:val="bottom"/>
          </w:tcPr>
          <w:p>
            <w:pPr>
              <w:pStyle w:val="TableContents"/>
              <w:pBdr>
                <w:top w:val="double" w:sz="6" w:space="1" w:color="000000"/>
              </w:pBdr>
              <w:spacing w:before="0" w:after="0"/>
              <w:rPr/>
            </w:pPr>
            <w:r>
              <w:rPr/>
              <w:t> </w:t>
            </w:r>
          </w:p>
        </w:tc>
        <w:tc>
          <w:tcPr>
            <w:tcW w:w="161"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3"/>
        <w:gridCol w:w="134"/>
        <w:gridCol w:w="698"/>
      </w:tblGrid>
      <w:tr>
        <w:trPr/>
        <w:tc>
          <w:tcPr>
            <w:tcW w:w="93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9373" w:type="dxa"/>
            <w:tcBorders/>
            <w:shd w:fill="auto" w:val="clear"/>
          </w:tcPr>
          <w:p>
            <w:pPr>
              <w:pStyle w:val="TableContents"/>
              <w:spacing w:before="0" w:after="283"/>
              <w:rPr/>
            </w:pPr>
            <w:r>
              <w:rPr/>
              <w:t>AVITA Medical, Inc. | 28159 Avenue Stanford, Suite 220 Valencia, CA 91355</w:t>
            </w:r>
          </w:p>
        </w:tc>
        <w:tc>
          <w:tcPr>
            <w:tcW w:w="134"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right"/>
              <w:rPr/>
            </w:pPr>
            <w:r>
              <w:rPr/>
              <w:t>Page 5</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AVITA MEDICAL, INC. </w:t>
      </w:r>
    </w:p>
    <w:p>
      <w:pPr>
        <w:pStyle w:val="TextBody"/>
        <w:spacing w:before="0" w:after="0"/>
        <w:jc w:val="center"/>
        <w:rPr>
          <w:rFonts w:ascii="Times New Roman" w:hAnsi="Times New Roman"/>
          <w:b/>
          <w:sz w:val="20"/>
        </w:rPr>
      </w:pPr>
      <w:r>
        <w:rPr>
          <w:rFonts w:ascii="Times New Roman" w:hAnsi="Times New Roman"/>
          <w:b/>
          <w:sz w:val="20"/>
        </w:rPr>
        <w:t xml:space="preserve">Condensed Consolidated Statements of Operations </w:t>
      </w:r>
    </w:p>
    <w:p>
      <w:pPr>
        <w:pStyle w:val="TextBody"/>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102"/>
        <w:gridCol w:w="221"/>
        <w:gridCol w:w="164"/>
        <w:gridCol w:w="1297"/>
        <w:gridCol w:w="155"/>
        <w:gridCol w:w="166"/>
        <w:gridCol w:w="164"/>
        <w:gridCol w:w="1297"/>
        <w:gridCol w:w="155"/>
        <w:gridCol w:w="166"/>
        <w:gridCol w:w="159"/>
        <w:gridCol w:w="1260"/>
        <w:gridCol w:w="155"/>
        <w:gridCol w:w="166"/>
        <w:gridCol w:w="159"/>
        <w:gridCol w:w="1260"/>
        <w:gridCol w:w="159"/>
      </w:tblGrid>
      <w:tr>
        <w:trPr/>
        <w:tc>
          <w:tcPr>
            <w:tcW w:w="310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3102"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Three-months</w:t>
              <w:br/>
              <w:t>ended</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Three-months</w:t>
              <w:br/>
              <w:t>ended</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Transition</w:t>
            </w:r>
            <w:r>
              <w:rPr/>
              <w:br/>
            </w:r>
            <w:r>
              <w:rPr>
                <w:b/>
              </w:rPr>
              <w:t>Period</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Six-Month</w:t>
            </w:r>
            <w:r>
              <w:rPr/>
              <w:br/>
            </w:r>
            <w:r>
              <w:rPr>
                <w:b/>
              </w:rPr>
              <w:t>Period</w:t>
            </w:r>
          </w:p>
        </w:tc>
        <w:tc>
          <w:tcPr>
            <w:tcW w:w="159" w:type="dxa"/>
            <w:tcBorders/>
            <w:shd w:fill="auto"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14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2021</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December 31,</w:t>
              <w:br/>
              <w:t>2020</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July 1 </w:t>
            </w:r>
            <w:r>
              <w:rPr/>
              <w:br/>
            </w:r>
            <w:r>
              <w:rPr>
                <w:b/>
              </w:rPr>
              <w:t>December 31,</w:t>
              <w:br/>
              <w:t>2021</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419"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July 1 </w:t>
            </w:r>
            <w:r>
              <w:rPr/>
              <w:br/>
            </w:r>
            <w:r>
              <w:rPr>
                <w:b/>
              </w:rPr>
              <w:t>December 31,</w:t>
              <w:br/>
              <w:t>2020</w:t>
            </w:r>
          </w:p>
        </w:tc>
        <w:tc>
          <w:tcPr>
            <w:tcW w:w="159" w:type="dxa"/>
            <w:tcBorders/>
            <w:shd w:fill="auto" w:val="clear"/>
            <w:vAlign w:val="bottom"/>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Revenues</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1297" w:type="dxa"/>
            <w:tcBorders/>
            <w:shd w:fill="CCEEFF" w:val="clear"/>
            <w:vAlign w:val="bottom"/>
          </w:tcPr>
          <w:p>
            <w:pPr>
              <w:pStyle w:val="TableContents"/>
              <w:spacing w:before="0" w:after="283"/>
              <w:jc w:val="right"/>
              <w:rPr/>
            </w:pPr>
            <w:r>
              <w:rPr/>
              <w:t>6,936</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1297" w:type="dxa"/>
            <w:tcBorders/>
            <w:shd w:fill="CCEEFF" w:val="clear"/>
            <w:vAlign w:val="bottom"/>
          </w:tcPr>
          <w:p>
            <w:pPr>
              <w:pStyle w:val="TableContents"/>
              <w:spacing w:before="0" w:after="283"/>
              <w:jc w:val="right"/>
              <w:rPr/>
            </w:pPr>
            <w:r>
              <w:rPr/>
              <w:t>5,103</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60" w:type="dxa"/>
            <w:tcBorders/>
            <w:shd w:fill="CCEEFF" w:val="clear"/>
            <w:vAlign w:val="bottom"/>
          </w:tcPr>
          <w:p>
            <w:pPr>
              <w:pStyle w:val="TableContents"/>
              <w:spacing w:before="0" w:after="283"/>
              <w:jc w:val="right"/>
              <w:rPr/>
            </w:pPr>
            <w:r>
              <w:rPr/>
              <w:t>13,956</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60" w:type="dxa"/>
            <w:tcBorders/>
            <w:shd w:fill="CCEEFF" w:val="clear"/>
            <w:vAlign w:val="bottom"/>
          </w:tcPr>
          <w:p>
            <w:pPr>
              <w:pStyle w:val="TableContents"/>
              <w:spacing w:before="0" w:after="283"/>
              <w:jc w:val="right"/>
              <w:rPr/>
            </w:pPr>
            <w:r>
              <w:rPr/>
              <w:t>10,163</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Cost of sales</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(817</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(821</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(1,905</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(1,750</w:t>
            </w:r>
          </w:p>
        </w:tc>
        <w:tc>
          <w:tcPr>
            <w:tcW w:w="159" w:type="dxa"/>
            <w:tcBorders/>
            <w:shd w:fill="auto"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Gross profit</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6,119</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4,282</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12,051</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8,413</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BARDA income</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206</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449</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580</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1,045</w:t>
            </w:r>
          </w:p>
        </w:tc>
        <w:tc>
          <w:tcPr>
            <w:tcW w:w="159" w:type="dxa"/>
            <w:tcBorders/>
            <w:shd w:fill="auto" w:val="clear"/>
            <w:vAlign w:val="bottom"/>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Operating expenses:</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12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12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Sales and marketing expenses (1)</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(4,954</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(3,600</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(8,472</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(6,865</w:t>
            </w:r>
          </w:p>
        </w:tc>
        <w:tc>
          <w:tcPr>
            <w:tcW w:w="159" w:type="dxa"/>
            <w:tcBorders/>
            <w:shd w:fill="auto" w:val="clear"/>
            <w:vAlign w:val="bottom"/>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General and administrative expenses (1)</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(5,647</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(3,401</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(10,996</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(11,703</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Research and development expenses (1)</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(4,198</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(3,361</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(7,586</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(6,735</w:t>
            </w:r>
          </w:p>
        </w:tc>
        <w:tc>
          <w:tcPr>
            <w:tcW w:w="159" w:type="dxa"/>
            <w:tcBorders/>
            <w:shd w:fill="auto"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(14,799</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(10,362</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(27,054</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(25,303_</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Operating loss</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(8,474</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(5,631</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(14,423</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(15,845</w:t>
            </w:r>
          </w:p>
        </w:tc>
        <w:tc>
          <w:tcPr>
            <w:tcW w:w="159" w:type="dxa"/>
            <w:tcBorders/>
            <w:shd w:fill="auto" w:val="clear"/>
            <w:vAlign w:val="bottom"/>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(8</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(3</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(17</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(10</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Other income</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22</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4</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38</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8</w:t>
            </w:r>
          </w:p>
        </w:tc>
        <w:tc>
          <w:tcPr>
            <w:tcW w:w="159" w:type="dxa"/>
            <w:tcBorders/>
            <w:shd w:fill="auto"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Loss before income taxes</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(8,460</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(5,630</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(14,402</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(15,847</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Income tax benefit/(expense)</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(19</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(11</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(25</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(21</w:t>
            </w:r>
          </w:p>
        </w:tc>
        <w:tc>
          <w:tcPr>
            <w:tcW w:w="159" w:type="dxa"/>
            <w:tcBorders/>
            <w:shd w:fill="auto"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9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260"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1297" w:type="dxa"/>
            <w:tcBorders/>
            <w:shd w:fill="CCEEFF" w:val="clear"/>
            <w:vAlign w:val="bottom"/>
          </w:tcPr>
          <w:p>
            <w:pPr>
              <w:pStyle w:val="TableContents"/>
              <w:spacing w:before="0" w:after="283"/>
              <w:jc w:val="right"/>
              <w:rPr/>
            </w:pPr>
            <w:r>
              <w:rPr/>
              <w:t>(8,479</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1297" w:type="dxa"/>
            <w:tcBorders/>
            <w:shd w:fill="CCEEFF" w:val="clear"/>
            <w:vAlign w:val="bottom"/>
          </w:tcPr>
          <w:p>
            <w:pPr>
              <w:pStyle w:val="TableContents"/>
              <w:spacing w:before="0" w:after="283"/>
              <w:jc w:val="right"/>
              <w:rPr/>
            </w:pPr>
            <w:r>
              <w:rPr/>
              <w:t>(5,641</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60" w:type="dxa"/>
            <w:tcBorders/>
            <w:shd w:fill="CCEEFF" w:val="clear"/>
            <w:vAlign w:val="bottom"/>
          </w:tcPr>
          <w:p>
            <w:pPr>
              <w:pStyle w:val="TableContents"/>
              <w:spacing w:before="0" w:after="283"/>
              <w:jc w:val="right"/>
              <w:rPr/>
            </w:pPr>
            <w:r>
              <w:rPr/>
              <w:t>(14,427</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60" w:type="dxa"/>
            <w:tcBorders/>
            <w:shd w:fill="CCEEFF" w:val="clear"/>
            <w:vAlign w:val="bottom"/>
          </w:tcPr>
          <w:p>
            <w:pPr>
              <w:pStyle w:val="TableContents"/>
              <w:spacing w:before="0" w:after="283"/>
              <w:jc w:val="right"/>
              <w:rPr/>
            </w:pPr>
            <w:r>
              <w:rPr/>
              <w:t>(15,868</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0"/>
              <w:rPr/>
            </w:pPr>
            <w:r>
              <w:rPr/>
              <w:t> </w:t>
            </w:r>
          </w:p>
        </w:tc>
        <w:tc>
          <w:tcPr>
            <w:tcW w:w="129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0"/>
              <w:rPr/>
            </w:pPr>
            <w:r>
              <w:rPr/>
              <w:t> </w:t>
            </w:r>
          </w:p>
        </w:tc>
        <w:tc>
          <w:tcPr>
            <w:tcW w:w="129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0"/>
              <w:rPr/>
            </w:pPr>
            <w:r>
              <w:rPr/>
              <w:t> </w:t>
            </w:r>
          </w:p>
        </w:tc>
        <w:tc>
          <w:tcPr>
            <w:tcW w:w="1260"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double" w:sz="6" w:space="1" w:color="000000"/>
              </w:pBdr>
              <w:spacing w:before="0" w:after="0"/>
              <w:rPr/>
            </w:pPr>
            <w:r>
              <w:rPr/>
              <w:t> </w:t>
            </w:r>
          </w:p>
        </w:tc>
        <w:tc>
          <w:tcPr>
            <w:tcW w:w="1260"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Net loss per common share:</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sz w:val="4"/>
                <w:szCs w:val="4"/>
              </w:rPr>
            </w:pPr>
            <w:r>
              <w:rPr>
                <w:sz w:val="4"/>
                <w:szCs w:val="4"/>
              </w:rPr>
            </w:r>
          </w:p>
        </w:tc>
        <w:tc>
          <w:tcPr>
            <w:tcW w:w="12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sz w:val="4"/>
                <w:szCs w:val="4"/>
              </w:rPr>
            </w:pPr>
            <w:r>
              <w:rPr>
                <w:sz w:val="4"/>
                <w:szCs w:val="4"/>
              </w:rPr>
            </w:r>
          </w:p>
        </w:tc>
        <w:tc>
          <w:tcPr>
            <w:tcW w:w="1297"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60"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sz w:val="4"/>
                <w:szCs w:val="4"/>
              </w:rPr>
            </w:pPr>
            <w:r>
              <w:rPr>
                <w:sz w:val="4"/>
                <w:szCs w:val="4"/>
              </w:rPr>
            </w:r>
          </w:p>
        </w:tc>
        <w:tc>
          <w:tcPr>
            <w:tcW w:w="12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Basic</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1297" w:type="dxa"/>
            <w:tcBorders/>
            <w:shd w:fill="CCEEFF" w:val="clear"/>
            <w:vAlign w:val="bottom"/>
          </w:tcPr>
          <w:p>
            <w:pPr>
              <w:pStyle w:val="TableContents"/>
              <w:spacing w:before="0" w:after="283"/>
              <w:jc w:val="right"/>
              <w:rPr/>
            </w:pPr>
            <w:r>
              <w:rPr/>
              <w:t>(0.34</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w:t>
            </w:r>
          </w:p>
        </w:tc>
        <w:tc>
          <w:tcPr>
            <w:tcW w:w="1297" w:type="dxa"/>
            <w:tcBorders/>
            <w:shd w:fill="CCEEFF" w:val="clear"/>
            <w:vAlign w:val="bottom"/>
          </w:tcPr>
          <w:p>
            <w:pPr>
              <w:pStyle w:val="TableContents"/>
              <w:spacing w:before="0" w:after="283"/>
              <w:jc w:val="right"/>
              <w:rPr/>
            </w:pPr>
            <w:r>
              <w:rPr/>
              <w:t>(0.26</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60" w:type="dxa"/>
            <w:tcBorders/>
            <w:shd w:fill="CCEEFF" w:val="clear"/>
            <w:vAlign w:val="bottom"/>
          </w:tcPr>
          <w:p>
            <w:pPr>
              <w:pStyle w:val="TableContents"/>
              <w:spacing w:before="0" w:after="283"/>
              <w:jc w:val="right"/>
              <w:rPr/>
            </w:pPr>
            <w:r>
              <w:rPr/>
              <w:t>(0.58</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w:t>
            </w:r>
          </w:p>
        </w:tc>
        <w:tc>
          <w:tcPr>
            <w:tcW w:w="1260" w:type="dxa"/>
            <w:tcBorders/>
            <w:shd w:fill="CCEEFF" w:val="clear"/>
            <w:vAlign w:val="bottom"/>
          </w:tcPr>
          <w:p>
            <w:pPr>
              <w:pStyle w:val="TableContents"/>
              <w:spacing w:before="0" w:after="283"/>
              <w:jc w:val="right"/>
              <w:rPr/>
            </w:pPr>
            <w:r>
              <w:rPr/>
              <w:t>(0.74</w:t>
            </w:r>
          </w:p>
        </w:tc>
        <w:tc>
          <w:tcPr>
            <w:tcW w:w="159" w:type="dxa"/>
            <w:tcBorders/>
            <w:shd w:fill="CCEEFF" w:val="clear"/>
            <w:vAlign w:val="bottom"/>
          </w:tcPr>
          <w:p>
            <w:pPr>
              <w:pStyle w:val="TableContents"/>
              <w:spacing w:before="0" w:after="283"/>
              <w:rPr/>
            </w:pPr>
            <w:r>
              <w:rPr/>
              <w:t>) </w:t>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Diluted</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297" w:type="dxa"/>
            <w:tcBorders/>
            <w:shd w:fill="auto" w:val="clear"/>
            <w:vAlign w:val="bottom"/>
          </w:tcPr>
          <w:p>
            <w:pPr>
              <w:pStyle w:val="TableContents"/>
              <w:spacing w:before="0" w:after="283"/>
              <w:jc w:val="right"/>
              <w:rPr/>
            </w:pPr>
            <w:r>
              <w:rPr/>
              <w:t>(0.34</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w:t>
            </w:r>
          </w:p>
        </w:tc>
        <w:tc>
          <w:tcPr>
            <w:tcW w:w="1297" w:type="dxa"/>
            <w:tcBorders/>
            <w:shd w:fill="auto" w:val="clear"/>
            <w:vAlign w:val="bottom"/>
          </w:tcPr>
          <w:p>
            <w:pPr>
              <w:pStyle w:val="TableContents"/>
              <w:spacing w:before="0" w:after="283"/>
              <w:jc w:val="right"/>
              <w:rPr/>
            </w:pPr>
            <w:r>
              <w:rPr/>
              <w:t>(0.26</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w:t>
            </w:r>
          </w:p>
        </w:tc>
        <w:tc>
          <w:tcPr>
            <w:tcW w:w="1260" w:type="dxa"/>
            <w:tcBorders/>
            <w:shd w:fill="auto" w:val="clear"/>
            <w:vAlign w:val="bottom"/>
          </w:tcPr>
          <w:p>
            <w:pPr>
              <w:pStyle w:val="TableContents"/>
              <w:spacing w:before="0" w:after="283"/>
              <w:jc w:val="right"/>
              <w:rPr/>
            </w:pPr>
            <w:r>
              <w:rPr/>
              <w:t>(0.58</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w:t>
            </w:r>
          </w:p>
        </w:tc>
        <w:tc>
          <w:tcPr>
            <w:tcW w:w="1260" w:type="dxa"/>
            <w:tcBorders/>
            <w:shd w:fill="auto" w:val="clear"/>
            <w:vAlign w:val="bottom"/>
          </w:tcPr>
          <w:p>
            <w:pPr>
              <w:pStyle w:val="TableContents"/>
              <w:spacing w:before="0" w:after="283"/>
              <w:jc w:val="right"/>
              <w:rPr/>
            </w:pPr>
            <w:r>
              <w:rPr/>
              <w:t>(0.74</w:t>
            </w:r>
          </w:p>
        </w:tc>
        <w:tc>
          <w:tcPr>
            <w:tcW w:w="159" w:type="dxa"/>
            <w:tcBorders/>
            <w:shd w:fill="auto" w:val="clear"/>
            <w:vAlign w:val="bottom"/>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Weighted-average common shares:</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12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sz w:val="4"/>
                <w:szCs w:val="4"/>
              </w:rPr>
            </w:pPr>
            <w:r>
              <w:rPr>
                <w:sz w:val="4"/>
                <w:szCs w:val="4"/>
              </w:rPr>
            </w:r>
          </w:p>
        </w:tc>
        <w:tc>
          <w:tcPr>
            <w:tcW w:w="1297"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0"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sz w:val="4"/>
                <w:szCs w:val="4"/>
              </w:rPr>
            </w:pPr>
            <w:r>
              <w:rPr>
                <w:sz w:val="4"/>
                <w:szCs w:val="4"/>
              </w:rPr>
            </w:r>
          </w:p>
        </w:tc>
        <w:tc>
          <w:tcPr>
            <w:tcW w:w="1260"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3102" w:type="dxa"/>
            <w:tcBorders/>
            <w:shd w:fill="auto" w:val="clear"/>
          </w:tcPr>
          <w:p>
            <w:pPr>
              <w:pStyle w:val="TableContents"/>
              <w:spacing w:before="0" w:after="0"/>
              <w:rPr>
                <w:rFonts w:ascii="Times New Roman" w:hAnsi="Times New Roman"/>
                <w:sz w:val="20"/>
              </w:rPr>
            </w:pPr>
            <w:r>
              <w:rPr>
                <w:rFonts w:ascii="Times New Roman" w:hAnsi="Times New Roman"/>
                <w:sz w:val="20"/>
              </w:rPr>
              <w:t>Basic</w:t>
            </w:r>
          </w:p>
        </w:tc>
        <w:tc>
          <w:tcPr>
            <w:tcW w:w="221"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24,925,424</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97" w:type="dxa"/>
            <w:tcBorders/>
            <w:shd w:fill="auto" w:val="clear"/>
            <w:vAlign w:val="bottom"/>
          </w:tcPr>
          <w:p>
            <w:pPr>
              <w:pStyle w:val="TableContents"/>
              <w:spacing w:before="0" w:after="283"/>
              <w:jc w:val="right"/>
              <w:rPr/>
            </w:pPr>
            <w:r>
              <w:rPr/>
              <w:t>21,623,509</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24,915,414</w:t>
            </w:r>
          </w:p>
        </w:tc>
        <w:tc>
          <w:tcPr>
            <w:tcW w:w="15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260" w:type="dxa"/>
            <w:tcBorders/>
            <w:shd w:fill="auto" w:val="clear"/>
            <w:vAlign w:val="bottom"/>
          </w:tcPr>
          <w:p>
            <w:pPr>
              <w:pStyle w:val="TableContents"/>
              <w:spacing w:before="0" w:after="283"/>
              <w:jc w:val="right"/>
              <w:rPr/>
            </w:pPr>
            <w:r>
              <w:rPr/>
              <w:t>21,563,576</w:t>
            </w:r>
          </w:p>
        </w:tc>
        <w:tc>
          <w:tcPr>
            <w:tcW w:w="159" w:type="dxa"/>
            <w:tcBorders/>
            <w:shd w:fill="auto" w:val="clear"/>
            <w:vAlign w:val="bottom"/>
          </w:tcPr>
          <w:p>
            <w:pPr>
              <w:pStyle w:val="TableContents"/>
              <w:spacing w:before="0" w:after="283"/>
              <w:rPr/>
            </w:pPr>
            <w:r>
              <w:rPr/>
              <w:t> </w:t>
            </w:r>
          </w:p>
        </w:tc>
      </w:tr>
      <w:tr>
        <w:trPr/>
        <w:tc>
          <w:tcPr>
            <w:tcW w:w="3102" w:type="dxa"/>
            <w:tcBorders/>
            <w:shd w:fill="CCEEFF" w:val="clear"/>
          </w:tcPr>
          <w:p>
            <w:pPr>
              <w:pStyle w:val="TableContents"/>
              <w:spacing w:before="0" w:after="0"/>
              <w:rPr>
                <w:rFonts w:ascii="Times New Roman" w:hAnsi="Times New Roman"/>
                <w:sz w:val="20"/>
              </w:rPr>
            </w:pPr>
            <w:r>
              <w:rPr>
                <w:rFonts w:ascii="Times New Roman" w:hAnsi="Times New Roman"/>
                <w:sz w:val="20"/>
              </w:rPr>
              <w:t>Diluted</w:t>
            </w:r>
          </w:p>
        </w:tc>
        <w:tc>
          <w:tcPr>
            <w:tcW w:w="221"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24,925,424</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97" w:type="dxa"/>
            <w:tcBorders/>
            <w:shd w:fill="CCEEFF" w:val="clear"/>
            <w:vAlign w:val="bottom"/>
          </w:tcPr>
          <w:p>
            <w:pPr>
              <w:pStyle w:val="TableContents"/>
              <w:spacing w:before="0" w:after="283"/>
              <w:jc w:val="right"/>
              <w:rPr/>
            </w:pPr>
            <w:r>
              <w:rPr/>
              <w:t>21,623,509</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24,915,414</w:t>
            </w:r>
          </w:p>
        </w:tc>
        <w:tc>
          <w:tcPr>
            <w:tcW w:w="15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260" w:type="dxa"/>
            <w:tcBorders/>
            <w:shd w:fill="CCEEFF" w:val="clear"/>
            <w:vAlign w:val="bottom"/>
          </w:tcPr>
          <w:p>
            <w:pPr>
              <w:pStyle w:val="TableContents"/>
              <w:spacing w:before="0" w:after="283"/>
              <w:jc w:val="right"/>
              <w:rPr/>
            </w:pPr>
            <w:r>
              <w:rPr/>
              <w:t>21,563,576</w:t>
            </w:r>
          </w:p>
        </w:tc>
        <w:tc>
          <w:tcPr>
            <w:tcW w:w="159"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share-based compensation expense as noted in table below.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88"/>
        <w:gridCol w:w="266"/>
        <w:gridCol w:w="76"/>
        <w:gridCol w:w="1387"/>
        <w:gridCol w:w="60"/>
        <w:gridCol w:w="266"/>
        <w:gridCol w:w="76"/>
        <w:gridCol w:w="1387"/>
        <w:gridCol w:w="155"/>
        <w:gridCol w:w="210"/>
        <w:gridCol w:w="74"/>
        <w:gridCol w:w="1347"/>
        <w:gridCol w:w="60"/>
        <w:gridCol w:w="266"/>
        <w:gridCol w:w="74"/>
        <w:gridCol w:w="1347"/>
        <w:gridCol w:w="66"/>
      </w:tblGrid>
      <w:tr>
        <w:trPr/>
        <w:tc>
          <w:tcPr>
            <w:tcW w:w="3088"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sz w:val="4"/>
                <w:szCs w:val="4"/>
              </w:rPr>
            </w:pPr>
            <w:r>
              <w:rPr>
                <w:sz w:val="4"/>
                <w:szCs w:val="4"/>
              </w:rPr>
            </w:r>
          </w:p>
        </w:tc>
      </w:tr>
      <w:tr>
        <w:trPr/>
        <w:tc>
          <w:tcPr>
            <w:tcW w:w="30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rPr>
            </w:pPr>
            <w:r>
              <w:rPr>
                <w:rFonts w:ascii="Times New Roman" w:hAnsi="Times New Roman"/>
                <w:b/>
              </w:rPr>
              <w:t>Three-months</w:t>
              <w:br/>
              <w:t>ended</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rPr>
            </w:pPr>
            <w:r>
              <w:rPr>
                <w:rFonts w:ascii="Times New Roman" w:hAnsi="Times New Roman"/>
                <w:b/>
              </w:rPr>
              <w:t>Three-months</w:t>
              <w:br/>
              <w:t>ended</w:t>
            </w:r>
          </w:p>
        </w:tc>
        <w:tc>
          <w:tcPr>
            <w:tcW w:w="15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21"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rPr>
              <w:t>Transition</w:t>
            </w:r>
            <w:r>
              <w:rPr/>
              <w:br/>
            </w:r>
            <w:r>
              <w:rPr>
                <w:rFonts w:ascii="Times New Roman" w:hAnsi="Times New Roman"/>
                <w:b/>
              </w:rPr>
              <w:t>Period</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21"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rPr>
              <w:t>Six-Month</w:t>
            </w:r>
            <w:r>
              <w:rPr/>
              <w:br/>
            </w:r>
            <w:r>
              <w:rPr>
                <w:rFonts w:ascii="Times New Roman" w:hAnsi="Times New Roman"/>
                <w:b/>
              </w:rPr>
              <w:t xml:space="preserve">Period </w:t>
            </w:r>
          </w:p>
        </w:tc>
        <w:tc>
          <w:tcPr>
            <w:tcW w:w="66" w:type="dxa"/>
            <w:tcBorders/>
            <w:shd w:fill="auto" w:val="clear"/>
            <w:vAlign w:val="bottom"/>
          </w:tcPr>
          <w:p>
            <w:pPr>
              <w:pStyle w:val="TableContents"/>
              <w:spacing w:before="0" w:after="283"/>
              <w:rPr/>
            </w:pPr>
            <w:r>
              <w:rPr/>
              <w:t> </w:t>
            </w:r>
          </w:p>
        </w:tc>
      </w:tr>
      <w:tr>
        <w:trPr/>
        <w:tc>
          <w:tcPr>
            <w:tcW w:w="3088"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rPr>
            </w:pPr>
            <w:r>
              <w:rPr>
                <w:rFonts w:ascii="Times New Roman" w:hAnsi="Times New Roman"/>
                <w:b/>
              </w:rPr>
              <w:t>December 31,</w:t>
              <w:br/>
              <w:t>2021</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63"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rPr>
            </w:pPr>
            <w:r>
              <w:rPr>
                <w:rFonts w:ascii="Times New Roman" w:hAnsi="Times New Roman"/>
                <w:b/>
              </w:rPr>
              <w:t>December 31,</w:t>
              <w:br/>
              <w:t>2020</w:t>
            </w:r>
          </w:p>
        </w:tc>
        <w:tc>
          <w:tcPr>
            <w:tcW w:w="155"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421"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rPr>
              <w:t>July 1 </w:t>
            </w:r>
            <w:r>
              <w:rPr/>
              <w:br/>
            </w:r>
            <w:r>
              <w:rPr>
                <w:rFonts w:ascii="Times New Roman" w:hAnsi="Times New Roman"/>
                <w:b/>
              </w:rPr>
              <w:t>December 31,</w:t>
              <w:br/>
              <w:t>2021</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1421"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rPr>
              <w:t>July 1 </w:t>
            </w:r>
            <w:r>
              <w:rPr/>
              <w:br/>
            </w:r>
            <w:r>
              <w:rPr>
                <w:rFonts w:ascii="Times New Roman" w:hAnsi="Times New Roman"/>
                <w:b/>
              </w:rPr>
              <w:t>December 31,</w:t>
              <w:br/>
              <w:t>2020</w:t>
            </w:r>
          </w:p>
        </w:tc>
        <w:tc>
          <w:tcPr>
            <w:tcW w:w="66" w:type="dxa"/>
            <w:tcBorders/>
            <w:shd w:fill="auto" w:val="clear"/>
            <w:vAlign w:val="bottom"/>
          </w:tcPr>
          <w:p>
            <w:pPr>
              <w:pStyle w:val="TableContents"/>
              <w:spacing w:before="0" w:after="283"/>
              <w:rPr/>
            </w:pPr>
            <w:r>
              <w:rPr/>
              <w:t> </w:t>
            </w:r>
          </w:p>
        </w:tc>
      </w:tr>
      <w:tr>
        <w:trPr/>
        <w:tc>
          <w:tcPr>
            <w:tcW w:w="3088" w:type="dxa"/>
            <w:tcBorders/>
            <w:shd w:fill="CCEEFF" w:val="clear"/>
          </w:tcPr>
          <w:p>
            <w:pPr>
              <w:pStyle w:val="TableContents"/>
              <w:spacing w:before="0" w:after="0"/>
              <w:rPr>
                <w:rFonts w:ascii="Times New Roman" w:hAnsi="Times New Roman"/>
                <w:sz w:val="20"/>
              </w:rPr>
            </w:pPr>
            <w:r>
              <w:rPr>
                <w:rFonts w:ascii="Times New Roman" w:hAnsi="Times New Roman"/>
                <w:sz w:val="20"/>
              </w:rPr>
              <w:t>Sales and marketing expenses</w:t>
            </w:r>
          </w:p>
        </w:tc>
        <w:tc>
          <w:tcPr>
            <w:tcW w:w="26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372</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294</w:t>
            </w:r>
          </w:p>
        </w:tc>
        <w:tc>
          <w:tcPr>
            <w:tcW w:w="15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663</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624</w:t>
            </w:r>
          </w:p>
        </w:tc>
        <w:tc>
          <w:tcPr>
            <w:tcW w:w="66" w:type="dxa"/>
            <w:tcBorders/>
            <w:shd w:fill="CCEEFF" w:val="clear"/>
            <w:vAlign w:val="bottom"/>
          </w:tcPr>
          <w:p>
            <w:pPr>
              <w:pStyle w:val="TableContents"/>
              <w:spacing w:before="0" w:after="283"/>
              <w:rPr/>
            </w:pPr>
            <w:r>
              <w:rPr/>
              <w:t> </w:t>
            </w:r>
          </w:p>
        </w:tc>
      </w:tr>
      <w:tr>
        <w:trPr/>
        <w:tc>
          <w:tcPr>
            <w:tcW w:w="3088"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General and administrative expenses </w:t>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1,067</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(774</w:t>
            </w:r>
          </w:p>
        </w:tc>
        <w:tc>
          <w:tcPr>
            <w:tcW w:w="155" w:type="dxa"/>
            <w:tcBorders/>
            <w:shd w:fill="auto" w:val="clear"/>
            <w:vAlign w:val="bottom"/>
          </w:tcPr>
          <w:p>
            <w:pPr>
              <w:pStyle w:val="TableContents"/>
              <w:spacing w:before="0" w:after="283"/>
              <w:rPr>
                <w:rFonts w:ascii="Times New Roman" w:hAnsi="Times New Roman"/>
              </w:rPr>
            </w:pPr>
            <w:r>
              <w:rPr>
                <w:rFonts w:ascii="Times New Roman" w:hAnsi="Times New Roman"/>
              </w:rPr>
              <w:t>) </w:t>
            </w:r>
          </w:p>
        </w:tc>
        <w:tc>
          <w:tcPr>
            <w:tcW w:w="21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2,318</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1,992</w:t>
            </w:r>
          </w:p>
        </w:tc>
        <w:tc>
          <w:tcPr>
            <w:tcW w:w="66" w:type="dxa"/>
            <w:tcBorders/>
            <w:shd w:fill="auto" w:val="clear"/>
            <w:vAlign w:val="bottom"/>
          </w:tcPr>
          <w:p>
            <w:pPr>
              <w:pStyle w:val="TableContents"/>
              <w:spacing w:before="0" w:after="283"/>
              <w:rPr/>
            </w:pPr>
            <w:r>
              <w:rPr/>
              <w:t> </w:t>
            </w:r>
          </w:p>
        </w:tc>
      </w:tr>
      <w:tr>
        <w:trPr/>
        <w:tc>
          <w:tcPr>
            <w:tcW w:w="3088" w:type="dxa"/>
            <w:tcBorders/>
            <w:shd w:fill="CCEEFF" w:val="clear"/>
          </w:tcPr>
          <w:p>
            <w:pPr>
              <w:pStyle w:val="TableContents"/>
              <w:spacing w:before="0" w:after="0"/>
              <w:rPr>
                <w:rFonts w:ascii="Times New Roman" w:hAnsi="Times New Roman"/>
                <w:sz w:val="20"/>
              </w:rPr>
            </w:pPr>
            <w:r>
              <w:rPr>
                <w:rFonts w:ascii="Times New Roman" w:hAnsi="Times New Roman"/>
                <w:sz w:val="20"/>
              </w:rPr>
              <w:t>Research and development expenses</w:t>
            </w:r>
          </w:p>
        </w:tc>
        <w:tc>
          <w:tcPr>
            <w:tcW w:w="26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307</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38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134</w:t>
            </w:r>
          </w:p>
        </w:tc>
        <w:tc>
          <w:tcPr>
            <w:tcW w:w="155"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607</w:t>
            </w:r>
          </w:p>
        </w:tc>
        <w:tc>
          <w:tcPr>
            <w:tcW w:w="60"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74" w:type="dxa"/>
            <w:tcBorders/>
            <w:shd w:fill="CCEEFF" w:val="clear"/>
            <w:vAlign w:val="bottom"/>
          </w:tcPr>
          <w:p>
            <w:pPr>
              <w:pStyle w:val="TableContents"/>
              <w:spacing w:before="0" w:after="283"/>
              <w:rPr/>
            </w:pPr>
            <w:r>
              <w:rPr/>
              <w:t> </w:t>
            </w:r>
          </w:p>
        </w:tc>
        <w:tc>
          <w:tcPr>
            <w:tcW w:w="1347"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304</w:t>
            </w:r>
          </w:p>
        </w:tc>
        <w:tc>
          <w:tcPr>
            <w:tcW w:w="66" w:type="dxa"/>
            <w:tcBorders/>
            <w:shd w:fill="CCEEFF" w:val="clear"/>
            <w:vAlign w:val="bottom"/>
          </w:tcPr>
          <w:p>
            <w:pPr>
              <w:pStyle w:val="TableContents"/>
              <w:spacing w:before="0" w:after="283"/>
              <w:rPr/>
            </w:pPr>
            <w:r>
              <w:rPr/>
              <w:t> </w:t>
            </w:r>
          </w:p>
        </w:tc>
      </w:tr>
      <w:tr>
        <w:trPr/>
        <w:tc>
          <w:tcPr>
            <w:tcW w:w="3088"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38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387"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single" w:sz="2" w:space="1" w:color="000000"/>
              </w:pBdr>
              <w:spacing w:before="0" w:after="0"/>
              <w:rPr/>
            </w:pPr>
            <w:r>
              <w:rPr/>
              <w:t> </w:t>
            </w:r>
          </w:p>
        </w:tc>
        <w:tc>
          <w:tcPr>
            <w:tcW w:w="134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single" w:sz="2" w:space="1" w:color="000000"/>
              </w:pBdr>
              <w:spacing w:before="0" w:after="0"/>
              <w:rPr/>
            </w:pPr>
            <w:r>
              <w:rPr/>
              <w:t> </w:t>
            </w:r>
          </w:p>
        </w:tc>
        <w:tc>
          <w:tcPr>
            <w:tcW w:w="1347"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3088" w:type="dxa"/>
            <w:tcBorders/>
            <w:shd w:fill="auto" w:val="clear"/>
          </w:tcPr>
          <w:p>
            <w:pPr>
              <w:pStyle w:val="TableContents"/>
              <w:spacing w:before="0" w:after="0"/>
              <w:rPr>
                <w:rFonts w:ascii="Times New Roman" w:hAnsi="Times New Roman"/>
                <w:sz w:val="20"/>
              </w:rPr>
            </w:pPr>
            <w:r>
              <w:rPr>
                <w:rFonts w:ascii="Times New Roman" w:hAnsi="Times New Roman"/>
                <w:sz w:val="20"/>
              </w:rPr>
              <w:t>Total operating expenses</w:t>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1,746</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38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(346</w:t>
            </w:r>
          </w:p>
        </w:tc>
        <w:tc>
          <w:tcPr>
            <w:tcW w:w="155" w:type="dxa"/>
            <w:tcBorders/>
            <w:shd w:fill="auto" w:val="clear"/>
            <w:vAlign w:val="bottom"/>
          </w:tcPr>
          <w:p>
            <w:pPr>
              <w:pStyle w:val="TableContents"/>
              <w:spacing w:before="0" w:after="283"/>
              <w:rPr>
                <w:rFonts w:ascii="Times New Roman" w:hAnsi="Times New Roman"/>
              </w:rPr>
            </w:pPr>
            <w:r>
              <w:rPr>
                <w:rFonts w:ascii="Times New Roman" w:hAnsi="Times New Roman"/>
              </w:rPr>
              <w:t>) </w:t>
            </w:r>
          </w:p>
        </w:tc>
        <w:tc>
          <w:tcPr>
            <w:tcW w:w="21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3,588</w:t>
            </w:r>
          </w:p>
        </w:tc>
        <w:tc>
          <w:tcPr>
            <w:tcW w:w="60" w:type="dxa"/>
            <w:tcBorders/>
            <w:shd w:fill="auto" w:val="clear"/>
            <w:vAlign w:val="bottom"/>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347"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2,920</w:t>
            </w:r>
          </w:p>
        </w:tc>
        <w:tc>
          <w:tcPr>
            <w:tcW w:w="66" w:type="dxa"/>
            <w:tcBorders/>
            <w:shd w:fill="auto" w:val="clear"/>
            <w:vAlign w:val="bottom"/>
          </w:tcPr>
          <w:p>
            <w:pPr>
              <w:pStyle w:val="TableContents"/>
              <w:spacing w:before="0" w:after="283"/>
              <w:rPr/>
            </w:pPr>
            <w:r>
              <w:rPr/>
              <w:t> </w:t>
            </w:r>
          </w:p>
        </w:tc>
      </w:tr>
      <w:tr>
        <w:trPr/>
        <w:tc>
          <w:tcPr>
            <w:tcW w:w="3088" w:type="dxa"/>
            <w:tcBorders/>
            <w:shd w:fill="auto" w:val="clear"/>
            <w:vAlign w:val="bottom"/>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double" w:sz="6" w:space="1" w:color="000000"/>
              </w:pBdr>
              <w:spacing w:before="0" w:after="0"/>
              <w:rPr/>
            </w:pPr>
            <w:r>
              <w:rPr/>
              <w:t> </w:t>
            </w:r>
          </w:p>
        </w:tc>
        <w:tc>
          <w:tcPr>
            <w:tcW w:w="138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double" w:sz="6" w:space="1" w:color="000000"/>
              </w:pBdr>
              <w:spacing w:before="0" w:after="0"/>
              <w:rPr/>
            </w:pPr>
            <w:r>
              <w:rPr/>
              <w:t> </w:t>
            </w:r>
          </w:p>
        </w:tc>
        <w:tc>
          <w:tcPr>
            <w:tcW w:w="1387"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double" w:sz="6" w:space="1" w:color="000000"/>
              </w:pBdr>
              <w:spacing w:before="0" w:after="0"/>
              <w:rPr/>
            </w:pPr>
            <w:r>
              <w:rPr/>
              <w:t> </w:t>
            </w:r>
          </w:p>
        </w:tc>
        <w:tc>
          <w:tcPr>
            <w:tcW w:w="134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66"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pBdr>
                <w:top w:val="double" w:sz="6" w:space="1" w:color="000000"/>
              </w:pBdr>
              <w:spacing w:before="0" w:after="0"/>
              <w:rPr/>
            </w:pPr>
            <w:r>
              <w:rPr/>
              <w:t> </w:t>
            </w:r>
          </w:p>
        </w:tc>
        <w:tc>
          <w:tcPr>
            <w:tcW w:w="1347"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3"/>
        <w:gridCol w:w="134"/>
        <w:gridCol w:w="698"/>
      </w:tblGrid>
      <w:tr>
        <w:trPr/>
        <w:tc>
          <w:tcPr>
            <w:tcW w:w="93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9373" w:type="dxa"/>
            <w:tcBorders/>
            <w:shd w:fill="auto" w:val="clear"/>
          </w:tcPr>
          <w:p>
            <w:pPr>
              <w:pStyle w:val="TableContents"/>
              <w:spacing w:before="0" w:after="283"/>
              <w:rPr/>
            </w:pPr>
            <w:r>
              <w:rPr/>
              <w:t>AVITA Medical, Inc. | 28159 Avenue Stanford, Suite 220 Valencia, CA 91355</w:t>
            </w:r>
          </w:p>
        </w:tc>
        <w:tc>
          <w:tcPr>
            <w:tcW w:w="134"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right"/>
              <w:rPr/>
            </w:pPr>
            <w:r>
              <w:rPr/>
              <w:t>Page 6</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u w:val="single"/>
        </w:rPr>
      </w:pPr>
      <w:r>
        <w:rPr>
          <w:rFonts w:ascii="Times New Roman" w:hAnsi="Times New Roman"/>
          <w:b/>
          <w:sz w:val="20"/>
          <w:u w:val="single"/>
        </w:rPr>
        <w:t xml:space="preserve">Reconciliation of reported Net Loss (GAAP) to Adjusted EBIDTA (NON-GAAP) Measure  Unaudited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17"/>
        <w:gridCol w:w="238"/>
        <w:gridCol w:w="167"/>
        <w:gridCol w:w="1293"/>
        <w:gridCol w:w="155"/>
        <w:gridCol w:w="184"/>
        <w:gridCol w:w="167"/>
        <w:gridCol w:w="1293"/>
        <w:gridCol w:w="155"/>
        <w:gridCol w:w="184"/>
        <w:gridCol w:w="164"/>
        <w:gridCol w:w="1269"/>
        <w:gridCol w:w="155"/>
        <w:gridCol w:w="184"/>
        <w:gridCol w:w="162"/>
        <w:gridCol w:w="1256"/>
        <w:gridCol w:w="162"/>
      </w:tblGrid>
      <w:tr>
        <w:trPr/>
        <w:tc>
          <w:tcPr>
            <w:tcW w:w="301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pPr>
            <w:r>
              <w:rPr/>
              <w:t>                  </w:t>
            </w:r>
          </w:p>
        </w:tc>
        <w:tc>
          <w:tcPr>
            <w:tcW w:w="162" w:type="dxa"/>
            <w:tcBorders/>
            <w:shd w:fill="auto" w:val="clear"/>
            <w:vAlign w:val="center"/>
          </w:tcPr>
          <w:p>
            <w:pPr>
              <w:pStyle w:val="TableContents"/>
              <w:spacing w:before="0" w:after="283"/>
              <w:rPr>
                <w:sz w:val="4"/>
                <w:szCs w:val="4"/>
              </w:rPr>
            </w:pPr>
            <w:r>
              <w:rPr>
                <w:sz w:val="4"/>
                <w:szCs w:val="4"/>
              </w:rPr>
            </w:r>
          </w:p>
        </w:tc>
      </w:tr>
      <w:tr>
        <w:trPr/>
        <w:tc>
          <w:tcPr>
            <w:tcW w:w="3017"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rPr>
            </w:pPr>
            <w:r>
              <w:rPr>
                <w:rFonts w:ascii="Times New Roman" w:hAnsi="Times New Roman"/>
                <w:b/>
              </w:rPr>
              <w:t>Three-months</w:t>
              <w:br/>
              <w:t>ended</w:t>
              <w:br/>
              <w:t>December 31,</w:t>
              <w:br/>
              <w:t>2021</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460" w:type="dxa"/>
            <w:gridSpan w:val="2"/>
            <w:tcBorders>
              <w:bottom w:val="single" w:sz="8" w:space="0" w:color="000000"/>
            </w:tcBorders>
            <w:shd w:fill="auto" w:val="clear"/>
            <w:tcMar>
              <w:bottom w:w="28" w:type="dxa"/>
            </w:tcMar>
            <w:vAlign w:val="bottom"/>
          </w:tcPr>
          <w:p>
            <w:pPr>
              <w:pStyle w:val="TableContents"/>
              <w:spacing w:before="0" w:after="283"/>
              <w:jc w:val="center"/>
              <w:rPr>
                <w:rFonts w:ascii="Times New Roman" w:hAnsi="Times New Roman"/>
                <w:b/>
              </w:rPr>
            </w:pPr>
            <w:r>
              <w:rPr>
                <w:rFonts w:ascii="Times New Roman" w:hAnsi="Times New Roman"/>
                <w:b/>
              </w:rPr>
              <w:t>Three-months</w:t>
              <w:br/>
              <w:t>ended</w:t>
              <w:br/>
              <w:t>December 31,</w:t>
              <w:br/>
              <w:t>2020</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433"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rPr>
              <w:t>Transition</w:t>
              <w:br/>
              <w:t>Period Ended</w:t>
            </w:r>
            <w:r>
              <w:rPr/>
              <w:br/>
            </w:r>
            <w:r>
              <w:rPr>
                <w:rFonts w:ascii="Times New Roman" w:hAnsi="Times New Roman"/>
                <w:b/>
              </w:rPr>
              <w:t>July 1 -</w:t>
              <w:br/>
              <w:t>December 31,</w:t>
              <w:br/>
              <w:t>2021</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418" w:type="dxa"/>
            <w:gridSpan w:val="2"/>
            <w:tcBorders>
              <w:bottom w:val="single" w:sz="8" w:space="0" w:color="000000"/>
            </w:tcBorders>
            <w:shd w:fill="auto" w:val="clear"/>
            <w:tcMar>
              <w:bottom w:w="28" w:type="dxa"/>
            </w:tcMar>
            <w:vAlign w:val="bottom"/>
          </w:tcPr>
          <w:p>
            <w:pPr>
              <w:pStyle w:val="TableContents"/>
              <w:spacing w:before="0" w:after="283"/>
              <w:jc w:val="center"/>
              <w:rPr/>
            </w:pPr>
            <w:r>
              <w:rPr>
                <w:rFonts w:ascii="Times New Roman" w:hAnsi="Times New Roman"/>
                <w:b/>
              </w:rPr>
              <w:t>Six-Month</w:t>
              <w:br/>
              <w:t>Period</w:t>
            </w:r>
            <w:r>
              <w:rPr/>
              <w:br/>
            </w:r>
            <w:r>
              <w:rPr>
                <w:rFonts w:ascii="Times New Roman" w:hAnsi="Times New Roman"/>
                <w:b/>
              </w:rPr>
              <w:t>July 1 -</w:t>
              <w:br/>
              <w:t>December 31,</w:t>
              <w:br/>
              <w:t>2020</w:t>
            </w:r>
          </w:p>
        </w:tc>
        <w:tc>
          <w:tcPr>
            <w:tcW w:w="162" w:type="dxa"/>
            <w:tcBorders/>
            <w:shd w:fill="auto" w:val="clear"/>
            <w:vAlign w:val="bottom"/>
          </w:tcPr>
          <w:p>
            <w:pPr>
              <w:pStyle w:val="TableContents"/>
              <w:spacing w:before="0" w:after="283"/>
              <w:rPr/>
            </w:pPr>
            <w:r>
              <w:rPr/>
              <w:t> </w:t>
            </w:r>
          </w:p>
        </w:tc>
      </w:tr>
      <w:tr>
        <w:trPr/>
        <w:tc>
          <w:tcPr>
            <w:tcW w:w="3017" w:type="dxa"/>
            <w:tcBorders/>
            <w:shd w:fill="CCEEFF" w:val="clear"/>
          </w:tcPr>
          <w:p>
            <w:pPr>
              <w:pStyle w:val="TableContents"/>
              <w:spacing w:before="0" w:after="0"/>
              <w:rPr>
                <w:rFonts w:ascii="Times New Roman" w:hAnsi="Times New Roman"/>
                <w:sz w:val="20"/>
              </w:rPr>
            </w:pPr>
            <w:r>
              <w:rPr>
                <w:rFonts w:ascii="Times New Roman" w:hAnsi="Times New Roman"/>
                <w:sz w:val="20"/>
              </w:rPr>
              <w:t>Net loss</w:t>
            </w:r>
          </w:p>
        </w:tc>
        <w:tc>
          <w:tcPr>
            <w:tcW w:w="23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(8,479</w:t>
            </w:r>
          </w:p>
        </w:tc>
        <w:tc>
          <w:tcPr>
            <w:tcW w:w="155"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c>
          <w:tcPr>
            <w:tcW w:w="18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(5,641</w:t>
            </w:r>
          </w:p>
        </w:tc>
        <w:tc>
          <w:tcPr>
            <w:tcW w:w="155"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c>
          <w:tcPr>
            <w:tcW w:w="1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69"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(14,427</w:t>
            </w:r>
          </w:p>
        </w:tc>
        <w:tc>
          <w:tcPr>
            <w:tcW w:w="155"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c>
          <w:tcPr>
            <w:tcW w:w="18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56"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(15,868</w:t>
            </w:r>
          </w:p>
        </w:tc>
        <w:tc>
          <w:tcPr>
            <w:tcW w:w="162"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r>
      <w:tr>
        <w:trPr/>
        <w:tc>
          <w:tcPr>
            <w:tcW w:w="3017" w:type="dxa"/>
            <w:tcBorders/>
            <w:shd w:fill="auto" w:val="clear"/>
          </w:tcPr>
          <w:p>
            <w:pPr>
              <w:pStyle w:val="TableContents"/>
              <w:spacing w:before="0" w:after="0"/>
              <w:rPr>
                <w:rFonts w:ascii="Times New Roman" w:hAnsi="Times New Roman"/>
                <w:sz w:val="20"/>
              </w:rPr>
            </w:pPr>
            <w:r>
              <w:rPr>
                <w:rFonts w:ascii="Times New Roman" w:hAnsi="Times New Roman"/>
                <w:sz w:val="20"/>
              </w:rPr>
              <w:t>Depreciation Expense</w:t>
            </w:r>
          </w:p>
        </w:tc>
        <w:tc>
          <w:tcPr>
            <w:tcW w:w="23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127</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135</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274</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324</w:t>
            </w:r>
          </w:p>
        </w:tc>
        <w:tc>
          <w:tcPr>
            <w:tcW w:w="162" w:type="dxa"/>
            <w:tcBorders/>
            <w:shd w:fill="auto" w:val="clear"/>
            <w:vAlign w:val="bottom"/>
          </w:tcPr>
          <w:p>
            <w:pPr>
              <w:pStyle w:val="TableContents"/>
              <w:spacing w:before="0" w:after="283"/>
              <w:rPr/>
            </w:pPr>
            <w:r>
              <w:rPr/>
              <w:t> </w:t>
            </w:r>
          </w:p>
        </w:tc>
      </w:tr>
      <w:tr>
        <w:trPr/>
        <w:tc>
          <w:tcPr>
            <w:tcW w:w="3017" w:type="dxa"/>
            <w:tcBorders/>
            <w:shd w:fill="CCEEFF" w:val="clear"/>
          </w:tcPr>
          <w:p>
            <w:pPr>
              <w:pStyle w:val="TableContents"/>
              <w:spacing w:before="0" w:after="0"/>
              <w:rPr>
                <w:rFonts w:ascii="Times New Roman" w:hAnsi="Times New Roman"/>
                <w:sz w:val="20"/>
              </w:rPr>
            </w:pPr>
            <w:r>
              <w:rPr>
                <w:rFonts w:ascii="Times New Roman" w:hAnsi="Times New Roman"/>
                <w:sz w:val="20"/>
              </w:rPr>
              <w:t>Patent Amortization</w:t>
            </w:r>
          </w:p>
        </w:tc>
        <w:tc>
          <w:tcPr>
            <w:tcW w:w="23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32</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27</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56</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49</w:t>
            </w:r>
          </w:p>
        </w:tc>
        <w:tc>
          <w:tcPr>
            <w:tcW w:w="162" w:type="dxa"/>
            <w:tcBorders/>
            <w:shd w:fill="CCEEFF" w:val="clear"/>
            <w:vAlign w:val="bottom"/>
          </w:tcPr>
          <w:p>
            <w:pPr>
              <w:pStyle w:val="TableContents"/>
              <w:spacing w:before="0" w:after="283"/>
              <w:rPr/>
            </w:pPr>
            <w:r>
              <w:rPr/>
              <w:t> </w:t>
            </w:r>
          </w:p>
        </w:tc>
      </w:tr>
      <w:tr>
        <w:trPr/>
        <w:tc>
          <w:tcPr>
            <w:tcW w:w="3017" w:type="dxa"/>
            <w:tcBorders/>
            <w:shd w:fill="auto" w:val="clear"/>
          </w:tcPr>
          <w:p>
            <w:pPr>
              <w:pStyle w:val="TableContents"/>
              <w:spacing w:before="0" w:after="0"/>
              <w:rPr>
                <w:rFonts w:ascii="Times New Roman" w:hAnsi="Times New Roman"/>
                <w:sz w:val="20"/>
              </w:rPr>
            </w:pPr>
            <w:r>
              <w:rPr>
                <w:rFonts w:ascii="Times New Roman" w:hAnsi="Times New Roman"/>
                <w:sz w:val="20"/>
              </w:rPr>
              <w:t>Share Based Payment Expense</w:t>
            </w:r>
          </w:p>
        </w:tc>
        <w:tc>
          <w:tcPr>
            <w:tcW w:w="23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1,746</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(346</w:t>
            </w:r>
          </w:p>
        </w:tc>
        <w:tc>
          <w:tcPr>
            <w:tcW w:w="155" w:type="dxa"/>
            <w:tcBorders/>
            <w:shd w:fill="auto" w:val="clear"/>
            <w:vAlign w:val="bottom"/>
          </w:tcPr>
          <w:p>
            <w:pPr>
              <w:pStyle w:val="TableContents"/>
              <w:spacing w:before="0" w:after="283"/>
              <w:rPr>
                <w:rFonts w:ascii="Times New Roman" w:hAnsi="Times New Roman"/>
              </w:rPr>
            </w:pPr>
            <w:r>
              <w:rPr>
                <w:rFonts w:ascii="Times New Roman" w:hAnsi="Times New Roman"/>
              </w:rPr>
              <w:t>) </w:t>
            </w:r>
          </w:p>
        </w:tc>
        <w:tc>
          <w:tcPr>
            <w:tcW w:w="1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3,588</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2,920</w:t>
            </w:r>
          </w:p>
        </w:tc>
        <w:tc>
          <w:tcPr>
            <w:tcW w:w="162" w:type="dxa"/>
            <w:tcBorders/>
            <w:shd w:fill="auto" w:val="clear"/>
            <w:vAlign w:val="bottom"/>
          </w:tcPr>
          <w:p>
            <w:pPr>
              <w:pStyle w:val="TableContents"/>
              <w:spacing w:before="0" w:after="283"/>
              <w:rPr/>
            </w:pPr>
            <w:r>
              <w:rPr/>
              <w:t> </w:t>
            </w:r>
          </w:p>
        </w:tc>
      </w:tr>
      <w:tr>
        <w:trPr/>
        <w:tc>
          <w:tcPr>
            <w:tcW w:w="3017" w:type="dxa"/>
            <w:tcBorders/>
            <w:shd w:fill="CCEEFF" w:val="clear"/>
          </w:tcPr>
          <w:p>
            <w:pPr>
              <w:pStyle w:val="TableContents"/>
              <w:spacing w:before="0" w:after="0"/>
              <w:rPr>
                <w:rFonts w:ascii="Times New Roman" w:hAnsi="Times New Roman"/>
                <w:sz w:val="20"/>
              </w:rPr>
            </w:pPr>
            <w:r>
              <w:rPr>
                <w:rFonts w:ascii="Times New Roman" w:hAnsi="Times New Roman"/>
                <w:sz w:val="20"/>
              </w:rPr>
              <w:t>Interest Expense</w:t>
            </w:r>
          </w:p>
        </w:tc>
        <w:tc>
          <w:tcPr>
            <w:tcW w:w="23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9</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3</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1269"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17</w:t>
            </w:r>
          </w:p>
        </w:tc>
        <w:tc>
          <w:tcPr>
            <w:tcW w:w="155"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10</w:t>
            </w:r>
          </w:p>
        </w:tc>
        <w:tc>
          <w:tcPr>
            <w:tcW w:w="162" w:type="dxa"/>
            <w:tcBorders/>
            <w:shd w:fill="CCEEFF" w:val="clear"/>
            <w:vAlign w:val="bottom"/>
          </w:tcPr>
          <w:p>
            <w:pPr>
              <w:pStyle w:val="TableContents"/>
              <w:spacing w:before="0" w:after="283"/>
              <w:rPr/>
            </w:pPr>
            <w:r>
              <w:rPr/>
              <w:t> </w:t>
            </w:r>
          </w:p>
        </w:tc>
      </w:tr>
      <w:tr>
        <w:trPr/>
        <w:tc>
          <w:tcPr>
            <w:tcW w:w="3017" w:type="dxa"/>
            <w:tcBorders/>
            <w:shd w:fill="auto" w:val="clear"/>
          </w:tcPr>
          <w:p>
            <w:pPr>
              <w:pStyle w:val="TableContents"/>
              <w:spacing w:before="0" w:after="0"/>
              <w:rPr>
                <w:rFonts w:ascii="Times New Roman" w:hAnsi="Times New Roman"/>
                <w:sz w:val="20"/>
              </w:rPr>
            </w:pPr>
            <w:r>
              <w:rPr>
                <w:rFonts w:ascii="Times New Roman" w:hAnsi="Times New Roman"/>
                <w:sz w:val="20"/>
              </w:rPr>
              <w:t>Income Tax Expense</w:t>
            </w:r>
          </w:p>
        </w:tc>
        <w:tc>
          <w:tcPr>
            <w:tcW w:w="23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19</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1293"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11</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1269"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25</w:t>
            </w:r>
          </w:p>
        </w:tc>
        <w:tc>
          <w:tcPr>
            <w:tcW w:w="155"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rFonts w:ascii="Times New Roman" w:hAnsi="Times New Roman"/>
              </w:rPr>
            </w:pPr>
            <w:r>
              <w:rPr>
                <w:rFonts w:ascii="Times New Roman" w:hAnsi="Times New Roman"/>
              </w:rPr>
              <w:t>21</w:t>
            </w:r>
          </w:p>
        </w:tc>
        <w:tc>
          <w:tcPr>
            <w:tcW w:w="162" w:type="dxa"/>
            <w:tcBorders/>
            <w:shd w:fill="auto" w:val="clear"/>
            <w:vAlign w:val="bottom"/>
          </w:tcPr>
          <w:p>
            <w:pPr>
              <w:pStyle w:val="TableContents"/>
              <w:spacing w:before="0" w:after="283"/>
              <w:rPr/>
            </w:pPr>
            <w:r>
              <w:rPr/>
              <w:t> </w:t>
            </w:r>
          </w:p>
        </w:tc>
      </w:tr>
      <w:tr>
        <w:trPr/>
        <w:tc>
          <w:tcPr>
            <w:tcW w:w="3017"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12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single" w:sz="2" w:space="1" w:color="000000"/>
              </w:pBdr>
              <w:spacing w:before="0" w:after="0"/>
              <w:rPr/>
            </w:pPr>
            <w:r>
              <w:rPr/>
              <w:t> </w:t>
            </w:r>
          </w:p>
        </w:tc>
        <w:tc>
          <w:tcPr>
            <w:tcW w:w="12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single" w:sz="2" w:space="1" w:color="000000"/>
              </w:pBdr>
              <w:spacing w:before="0" w:after="0"/>
              <w:rPr/>
            </w:pPr>
            <w:r>
              <w:rPr/>
              <w:t> </w:t>
            </w:r>
          </w:p>
        </w:tc>
        <w:tc>
          <w:tcPr>
            <w:tcW w:w="1269"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single" w:sz="2" w:space="1" w:color="000000"/>
              </w:pBdr>
              <w:spacing w:before="0" w:after="0"/>
              <w:rPr/>
            </w:pPr>
            <w:r>
              <w:rPr/>
              <w:t> </w:t>
            </w:r>
          </w:p>
        </w:tc>
        <w:tc>
          <w:tcPr>
            <w:tcW w:w="1256"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3017" w:type="dxa"/>
            <w:tcBorders/>
            <w:shd w:fill="CCEEFF" w:val="clear"/>
          </w:tcPr>
          <w:p>
            <w:pPr>
              <w:pStyle w:val="TableContents"/>
              <w:spacing w:before="0" w:after="0"/>
              <w:rPr>
                <w:rFonts w:ascii="Times New Roman" w:hAnsi="Times New Roman"/>
                <w:sz w:val="20"/>
              </w:rPr>
            </w:pPr>
            <w:r>
              <w:rPr>
                <w:rFonts w:ascii="Times New Roman" w:hAnsi="Times New Roman"/>
                <w:sz w:val="20"/>
              </w:rPr>
              <w:t>Adjusted EBITDA (Non-GAAP)</w:t>
            </w:r>
          </w:p>
        </w:tc>
        <w:tc>
          <w:tcPr>
            <w:tcW w:w="238"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(6,546</w:t>
            </w:r>
          </w:p>
        </w:tc>
        <w:tc>
          <w:tcPr>
            <w:tcW w:w="155"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c>
          <w:tcPr>
            <w:tcW w:w="184"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93"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(5,811</w:t>
            </w:r>
          </w:p>
        </w:tc>
        <w:tc>
          <w:tcPr>
            <w:tcW w:w="155"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c>
          <w:tcPr>
            <w:tcW w:w="184"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69"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(10,467</w:t>
            </w:r>
          </w:p>
        </w:tc>
        <w:tc>
          <w:tcPr>
            <w:tcW w:w="155"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c>
          <w:tcPr>
            <w:tcW w:w="184"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rFonts w:ascii="Times New Roman" w:hAnsi="Times New Roman"/>
              </w:rPr>
            </w:pPr>
            <w:r>
              <w:rPr>
                <w:rFonts w:ascii="Times New Roman" w:hAnsi="Times New Roman"/>
              </w:rPr>
              <w:t>$</w:t>
            </w:r>
          </w:p>
        </w:tc>
        <w:tc>
          <w:tcPr>
            <w:tcW w:w="1256" w:type="dxa"/>
            <w:tcBorders/>
            <w:shd w:fill="CCEEFF" w:val="clear"/>
            <w:vAlign w:val="bottom"/>
          </w:tcPr>
          <w:p>
            <w:pPr>
              <w:pStyle w:val="TableContents"/>
              <w:spacing w:before="0" w:after="283"/>
              <w:jc w:val="right"/>
              <w:rPr>
                <w:rFonts w:ascii="Times New Roman" w:hAnsi="Times New Roman"/>
              </w:rPr>
            </w:pPr>
            <w:r>
              <w:rPr>
                <w:rFonts w:ascii="Times New Roman" w:hAnsi="Times New Roman"/>
              </w:rPr>
              <w:t>(12,544</w:t>
            </w:r>
          </w:p>
        </w:tc>
        <w:tc>
          <w:tcPr>
            <w:tcW w:w="162" w:type="dxa"/>
            <w:tcBorders/>
            <w:shd w:fill="CCEEFF" w:val="clear"/>
            <w:vAlign w:val="bottom"/>
          </w:tcPr>
          <w:p>
            <w:pPr>
              <w:pStyle w:val="TableContents"/>
              <w:spacing w:before="0" w:after="283"/>
              <w:rPr>
                <w:rFonts w:ascii="Times New Roman" w:hAnsi="Times New Roman"/>
              </w:rPr>
            </w:pPr>
            <w:r>
              <w:rPr>
                <w:rFonts w:ascii="Times New Roman" w:hAnsi="Times New Roman"/>
              </w:rPr>
              <w:t>) </w:t>
            </w:r>
          </w:p>
        </w:tc>
      </w:tr>
      <w:tr>
        <w:trPr/>
        <w:tc>
          <w:tcPr>
            <w:tcW w:w="3017" w:type="dxa"/>
            <w:tcBorders/>
            <w:shd w:fill="auto" w:val="clear"/>
            <w:vAlign w:val="bottom"/>
          </w:tcPr>
          <w:p>
            <w:pPr>
              <w:pStyle w:val="TableContents"/>
              <w:spacing w:before="0" w:after="283"/>
              <w:rPr>
                <w:sz w:val="4"/>
                <w:szCs w:val="4"/>
              </w:rPr>
            </w:pPr>
            <w:r>
              <w:rPr>
                <w:sz w:val="4"/>
                <w:szCs w:val="4"/>
              </w:rPr>
            </w:r>
          </w:p>
        </w:tc>
        <w:tc>
          <w:tcPr>
            <w:tcW w:w="238"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double" w:sz="6" w:space="1" w:color="000000"/>
              </w:pBdr>
              <w:spacing w:before="0" w:after="0"/>
              <w:rPr/>
            </w:pPr>
            <w:r>
              <w:rPr/>
              <w:t> </w:t>
            </w:r>
          </w:p>
        </w:tc>
        <w:tc>
          <w:tcPr>
            <w:tcW w:w="129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pBdr>
                <w:top w:val="double" w:sz="6" w:space="1" w:color="000000"/>
              </w:pBdr>
              <w:spacing w:before="0" w:after="0"/>
              <w:rPr/>
            </w:pPr>
            <w:r>
              <w:rPr/>
              <w:t> </w:t>
            </w:r>
          </w:p>
        </w:tc>
        <w:tc>
          <w:tcPr>
            <w:tcW w:w="129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pBdr>
                <w:top w:val="double" w:sz="6" w:space="1" w:color="000000"/>
              </w:pBdr>
              <w:spacing w:before="0" w:after="0"/>
              <w:rPr/>
            </w:pPr>
            <w:r>
              <w:rPr/>
              <w:t> </w:t>
            </w:r>
          </w:p>
        </w:tc>
        <w:tc>
          <w:tcPr>
            <w:tcW w:w="1269"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pBdr>
                <w:top w:val="double" w:sz="6" w:space="1" w:color="000000"/>
              </w:pBdr>
              <w:spacing w:before="0" w:after="0"/>
              <w:rPr/>
            </w:pPr>
            <w:r>
              <w:rPr/>
              <w:t> </w:t>
            </w:r>
          </w:p>
        </w:tc>
        <w:tc>
          <w:tcPr>
            <w:tcW w:w="1256"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73"/>
        <w:gridCol w:w="134"/>
        <w:gridCol w:w="698"/>
      </w:tblGrid>
      <w:tr>
        <w:trPr/>
        <w:tc>
          <w:tcPr>
            <w:tcW w:w="93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bottom"/>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r>
      <w:tr>
        <w:trPr/>
        <w:tc>
          <w:tcPr>
            <w:tcW w:w="9373" w:type="dxa"/>
            <w:tcBorders/>
            <w:shd w:fill="auto" w:val="clear"/>
          </w:tcPr>
          <w:p>
            <w:pPr>
              <w:pStyle w:val="TableContents"/>
              <w:spacing w:before="0" w:after="283"/>
              <w:rPr/>
            </w:pPr>
            <w:r>
              <w:rPr/>
              <w:t>AVITA Medical, Inc. | 28159 Avenue Stanford, Suite 220 Valencia, CA 91355</w:t>
            </w:r>
          </w:p>
        </w:tc>
        <w:tc>
          <w:tcPr>
            <w:tcW w:w="134" w:type="dxa"/>
            <w:tcBorders/>
            <w:shd w:fill="auto" w:val="clear"/>
            <w:vAlign w:val="bottom"/>
          </w:tcPr>
          <w:p>
            <w:pPr>
              <w:pStyle w:val="TableContents"/>
              <w:spacing w:before="0" w:after="283"/>
              <w:rPr/>
            </w:pPr>
            <w:r>
              <w:rPr/>
              <w:t>  </w:t>
            </w:r>
          </w:p>
        </w:tc>
        <w:tc>
          <w:tcPr>
            <w:tcW w:w="698" w:type="dxa"/>
            <w:tcBorders/>
            <w:shd w:fill="auto" w:val="clear"/>
          </w:tcPr>
          <w:p>
            <w:pPr>
              <w:pStyle w:val="TableContents"/>
              <w:spacing w:before="0" w:after="283"/>
              <w:jc w:val="right"/>
              <w:rPr/>
            </w:pPr>
            <w:r>
              <w:rPr/>
              <w:t>Page 7</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3462</Words>
  <CharactersWithSpaces>22982</CharactersWithSpaces>
  <Paragraphs>1518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