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4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24" w:type="dxa"/>
        <w:tblCellMar>
          <w:top w:w="0" w:type="dxa"/>
          <w:left w:w="0" w:type="dxa"/>
          <w:bottom w:w="0" w:type="dxa"/>
          <w:right w:w="0" w:type="dxa"/>
        </w:tblCellMar>
      </w:tblPr>
      <w:tr>
        <w:trPr>
          <w:trHeight w:val="212"/>
        </w:trPr>
        <w:tc>
          <w:tcPr>
            <w:tcW w:w="4440" w:type="dxa"/>
            <w:vAlign w:val="bottom"/>
          </w:tcPr>
          <w:p>
            <w:pPr>
              <w:jc w:val="center"/>
              <w:ind w:right="679"/>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ind w:left="760"/>
              <w:spacing w:after="0"/>
              <w:rPr>
                <w:sz w:val="20"/>
                <w:szCs w:val="20"/>
                <w:color w:val="auto"/>
              </w:rPr>
            </w:pPr>
            <w:r>
              <w:rPr>
                <w:rFonts w:ascii="Arial" w:cs="Arial" w:eastAsia="Arial" w:hAnsi="Arial"/>
                <w:sz w:val="18"/>
                <w:szCs w:val="18"/>
                <w:b w:val="1"/>
                <w:bCs w:val="1"/>
                <w:color w:val="auto"/>
              </w:rPr>
              <w:t>001-39059</w:t>
            </w:r>
          </w:p>
        </w:tc>
        <w:tc>
          <w:tcPr>
            <w:tcW w:w="4080" w:type="dxa"/>
            <w:vAlign w:val="bottom"/>
          </w:tcPr>
          <w:p>
            <w:pPr>
              <w:ind w:left="1960"/>
              <w:spacing w:after="0"/>
              <w:rPr>
                <w:sz w:val="20"/>
                <w:szCs w:val="20"/>
                <w:color w:val="auto"/>
              </w:rPr>
            </w:pPr>
            <w:r>
              <w:rPr>
                <w:rFonts w:ascii="Arial" w:cs="Arial" w:eastAsia="Arial" w:hAnsi="Arial"/>
                <w:sz w:val="18"/>
                <w:szCs w:val="18"/>
                <w:b w:val="1"/>
                <w:bCs w:val="1"/>
                <w:color w:val="auto"/>
              </w:rPr>
              <w:t>85-1021707</w:t>
            </w:r>
          </w:p>
        </w:tc>
      </w:tr>
      <w:tr>
        <w:trPr>
          <w:trHeight w:val="148"/>
        </w:trPr>
        <w:tc>
          <w:tcPr>
            <w:tcW w:w="4440" w:type="dxa"/>
            <w:vAlign w:val="bottom"/>
          </w:tcPr>
          <w:p>
            <w:pPr>
              <w:jc w:val="center"/>
              <w:ind w:right="6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760"/>
              <w:spacing w:after="0" w:line="149" w:lineRule="exact"/>
              <w:rPr>
                <w:sz w:val="20"/>
                <w:szCs w:val="20"/>
                <w:color w:val="auto"/>
              </w:rPr>
            </w:pPr>
            <w:r>
              <w:rPr>
                <w:rFonts w:ascii="Arial" w:cs="Arial" w:eastAsia="Arial" w:hAnsi="Arial"/>
                <w:sz w:val="14"/>
                <w:szCs w:val="14"/>
                <w:b w:val="1"/>
                <w:bCs w:val="1"/>
                <w:color w:val="auto"/>
              </w:rPr>
              <w:t>(Commission</w:t>
            </w:r>
          </w:p>
        </w:tc>
        <w:tc>
          <w:tcPr>
            <w:tcW w:w="4080" w:type="dxa"/>
            <w:vAlign w:val="bottom"/>
          </w:tcPr>
          <w:p>
            <w:pPr>
              <w:jc w:val="center"/>
              <w:ind w:left="6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440" w:type="dxa"/>
            <w:vAlign w:val="bottom"/>
          </w:tcPr>
          <w:p>
            <w:pPr>
              <w:jc w:val="center"/>
              <w:ind w:right="659"/>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ind w:left="740"/>
              <w:spacing w:after="0"/>
              <w:rPr>
                <w:sz w:val="20"/>
                <w:szCs w:val="20"/>
                <w:color w:val="auto"/>
              </w:rPr>
            </w:pPr>
            <w:r>
              <w:rPr>
                <w:rFonts w:ascii="Arial" w:cs="Arial" w:eastAsia="Arial" w:hAnsi="Arial"/>
                <w:sz w:val="14"/>
                <w:szCs w:val="14"/>
                <w:b w:val="1"/>
                <w:bCs w:val="1"/>
                <w:color w:val="auto"/>
              </w:rPr>
              <w:t>File Number)</w:t>
            </w:r>
          </w:p>
        </w:tc>
        <w:tc>
          <w:tcPr>
            <w:tcW w:w="4080" w:type="dxa"/>
            <w:vAlign w:val="bottom"/>
          </w:tcPr>
          <w:p>
            <w:pPr>
              <w:jc w:val="center"/>
              <w:ind w:left="62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4440" w:type="dxa"/>
            <w:vAlign w:val="bottom"/>
          </w:tcPr>
          <w:p>
            <w:pPr>
              <w:jc w:val="center"/>
              <w:ind w:right="679"/>
              <w:spacing w:after="0"/>
              <w:rPr>
                <w:sz w:val="20"/>
                <w:szCs w:val="20"/>
                <w:color w:val="auto"/>
              </w:rPr>
            </w:pPr>
            <w:r>
              <w:rPr>
                <w:rFonts w:ascii="Arial" w:cs="Arial" w:eastAsia="Arial" w:hAnsi="Arial"/>
                <w:sz w:val="18"/>
                <w:szCs w:val="18"/>
                <w:b w:val="1"/>
                <w:bCs w:val="1"/>
                <w:color w:val="auto"/>
                <w:w w:val="90"/>
              </w:rPr>
              <w:t>28159 Avenue Stanford, Suite 220, Valencia, CA</w:t>
            </w:r>
          </w:p>
        </w:tc>
        <w:tc>
          <w:tcPr>
            <w:tcW w:w="24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12"/>
        </w:trPr>
        <w:tc>
          <w:tcPr>
            <w:tcW w:w="4440" w:type="dxa"/>
            <w:vAlign w:val="bottom"/>
          </w:tcPr>
          <w:p>
            <w:pPr>
              <w:jc w:val="center"/>
              <w:ind w:right="659"/>
              <w:spacing w:after="0"/>
              <w:rPr>
                <w:sz w:val="20"/>
                <w:szCs w:val="20"/>
                <w:color w:val="auto"/>
              </w:rPr>
            </w:pPr>
            <w:r>
              <w:rPr>
                <w:rFonts w:ascii="Arial" w:cs="Arial" w:eastAsia="Arial" w:hAnsi="Arial"/>
                <w:sz w:val="18"/>
                <w:szCs w:val="18"/>
                <w:b w:val="1"/>
                <w:bCs w:val="1"/>
                <w:color w:val="auto"/>
                <w:w w:val="91"/>
              </w:rPr>
              <w:t>91355</w:t>
            </w:r>
          </w:p>
        </w:tc>
        <w:tc>
          <w:tcPr>
            <w:tcW w:w="2400" w:type="dxa"/>
            <w:vAlign w:val="bottom"/>
          </w:tcPr>
          <w:p>
            <w:pPr>
              <w:spacing w:after="0"/>
              <w:rPr>
                <w:sz w:val="18"/>
                <w:szCs w:val="18"/>
                <w:color w:val="auto"/>
              </w:rPr>
            </w:pPr>
          </w:p>
        </w:tc>
        <w:tc>
          <w:tcPr>
            <w:tcW w:w="4080" w:type="dxa"/>
            <w:vAlign w:val="bottom"/>
          </w:tcPr>
          <w:p>
            <w:pPr>
              <w:ind w:left="1960"/>
              <w:spacing w:after="0"/>
              <w:rPr>
                <w:sz w:val="20"/>
                <w:szCs w:val="20"/>
                <w:color w:val="auto"/>
              </w:rPr>
            </w:pPr>
            <w:r>
              <w:rPr>
                <w:rFonts w:ascii="Arial" w:cs="Arial" w:eastAsia="Arial" w:hAnsi="Arial"/>
                <w:sz w:val="18"/>
                <w:szCs w:val="18"/>
                <w:b w:val="1"/>
                <w:bCs w:val="1"/>
                <w:color w:val="auto"/>
              </w:rPr>
              <w:t>661.367.9170</w:t>
            </w:r>
          </w:p>
        </w:tc>
      </w:tr>
      <w:tr>
        <w:trPr>
          <w:trHeight w:val="186"/>
        </w:trPr>
        <w:tc>
          <w:tcPr>
            <w:tcW w:w="4440" w:type="dxa"/>
            <w:vAlign w:val="bottom"/>
          </w:tcPr>
          <w:p>
            <w:pPr>
              <w:jc w:val="center"/>
              <w:ind w:right="679"/>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400" w:type="dxa"/>
            <w:vAlign w:val="bottom"/>
          </w:tcPr>
          <w:p>
            <w:pPr>
              <w:spacing w:after="0"/>
              <w:rPr>
                <w:sz w:val="16"/>
                <w:szCs w:val="16"/>
                <w:color w:val="auto"/>
              </w:rPr>
            </w:pPr>
          </w:p>
        </w:tc>
        <w:tc>
          <w:tcPr>
            <w:tcW w:w="4080" w:type="dxa"/>
            <w:vAlign w:val="bottom"/>
          </w:tcPr>
          <w:p>
            <w:pPr>
              <w:ind w:left="8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39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On March 21, 2022, the Company issued a press release announcing the modification of its contract with the Biomedical Advanced Research and Development Authority (“BARDA”). The modification aims to support the Company’s RECELL</w:t>
      </w:r>
      <w:r>
        <w:rPr>
          <w:rFonts w:ascii="Arial" w:cs="Arial" w:eastAsia="Arial" w:hAnsi="Arial"/>
          <w:sz w:val="15"/>
          <w:szCs w:val="15"/>
          <w:color w:val="auto"/>
        </w:rPr>
        <w:t>®</w:t>
      </w:r>
      <w:r>
        <w:rPr>
          <w:rFonts w:ascii="Arial" w:cs="Arial" w:eastAsia="Arial" w:hAnsi="Arial"/>
          <w:sz w:val="18"/>
          <w:szCs w:val="18"/>
          <w:color w:val="auto"/>
        </w:rPr>
        <w:t xml:space="preserve"> System clinical trial in soft tissue reconstruction. A copy of the press release is attached hereto as Exhibit 99.1.</w:t>
      </w:r>
    </w:p>
    <w:p>
      <w:pPr>
        <w:spacing w:after="0" w:line="184" w:lineRule="exact"/>
        <w:rPr>
          <w:sz w:val="20"/>
          <w:szCs w:val="20"/>
          <w:color w:val="auto"/>
        </w:rPr>
      </w:pPr>
    </w:p>
    <w:p>
      <w:pPr>
        <w:ind w:right="400" w:firstLine="440"/>
        <w:spacing w:after="0" w:line="342" w:lineRule="auto"/>
        <w:rPr>
          <w:sz w:val="20"/>
          <w:szCs w:val="20"/>
          <w:color w:val="auto"/>
        </w:rPr>
      </w:pPr>
      <w:r>
        <w:rPr>
          <w:rFonts w:ascii="Arial" w:cs="Arial" w:eastAsia="Arial" w:hAnsi="Arial"/>
          <w:sz w:val="16"/>
          <w:szCs w:val="16"/>
          <w:color w:val="auto"/>
        </w:rPr>
        <w:t>On March 22, 2022, the Company issued a press release announcing an Investor Webinar led by Dr. Mike Perry, the Company’s CEO, and Michael Holder, the Company’s CFO, on Thursday 24 March 2022 at 11am (AEDT). A copy of the press release is attached hereto as Exhibit 99.2.</w:t>
      </w:r>
    </w:p>
    <w:p>
      <w:pPr>
        <w:spacing w:after="0" w:line="12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On March 23, 2022, the Company issued a press release announcing that an abstract highlighting the clinical trial protocol utilizing the 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(RECELL</w:t>
      </w:r>
      <w:r>
        <w:rPr>
          <w:rFonts w:ascii="Arial" w:cs="Arial" w:eastAsia="Arial" w:hAnsi="Arial"/>
          <w:sz w:val="15"/>
          <w:szCs w:val="15"/>
          <w:color w:val="auto"/>
        </w:rPr>
        <w:t>®</w:t>
      </w:r>
      <w:r>
        <w:rPr>
          <w:rFonts w:ascii="Arial" w:cs="Arial" w:eastAsia="Arial" w:hAnsi="Arial"/>
          <w:sz w:val="18"/>
          <w:szCs w:val="18"/>
          <w:color w:val="auto"/>
        </w:rPr>
        <w:t xml:space="preserve"> System) to treat vitiligo will be presented at the Global Vitiligo Foundation Annual Scientific Symposium on March 24, 2022 at 9:38am EDT. A copy of the press release is attached hereto as Exhibit 99.3.</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The information under these Items 8.01 and in Item 9.01 below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90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b w:val="1"/>
                <w:bCs w:val="1"/>
                <w:color w:val="auto"/>
              </w:rPr>
              <w:t>99.1</w:t>
            </w:r>
          </w:p>
        </w:tc>
        <w:tc>
          <w:tcPr>
            <w:tcW w:w="1040" w:type="dxa"/>
            <w:vAlign w:val="bottom"/>
          </w:tcPr>
          <w:p>
            <w:pPr>
              <w:spacing w:after="0"/>
              <w:rPr>
                <w:sz w:val="21"/>
                <w:szCs w:val="21"/>
                <w:color w:val="auto"/>
              </w:rPr>
            </w:pPr>
          </w:p>
        </w:tc>
        <w:tc>
          <w:tcPr>
            <w:tcW w:w="7700" w:type="dxa"/>
            <w:vAlign w:val="bottom"/>
            <w:gridSpan w:val="10"/>
          </w:tcPr>
          <w:p>
            <w:pPr>
              <w:spacing w:after="0"/>
              <w:rPr>
                <w:rFonts w:ascii="Arial" w:cs="Arial" w:eastAsia="Arial" w:hAnsi="Arial"/>
                <w:sz w:val="18"/>
                <w:szCs w:val="18"/>
                <w:b w:val="1"/>
                <w:bCs w:val="1"/>
                <w:color w:val="0000EE"/>
                <w:w w:val="92"/>
              </w:rPr>
            </w:pPr>
            <w:hyperlink w:anchor="page4">
              <w:r>
                <w:rPr>
                  <w:rFonts w:ascii="Arial" w:cs="Arial" w:eastAsia="Arial" w:hAnsi="Arial"/>
                  <w:sz w:val="18"/>
                  <w:szCs w:val="18"/>
                  <w:b w:val="1"/>
                  <w:bCs w:val="1"/>
                  <w:color w:val="0000EE"/>
                  <w:w w:val="92"/>
                </w:rPr>
                <w:t>AVITA Medical Announces Modification of BARDA Contract to Advance Development of RECELL</w:t>
              </w:r>
            </w:hyperlink>
          </w:p>
        </w:tc>
        <w:tc>
          <w:tcPr>
            <w:tcW w:w="120" w:type="dxa"/>
            <w:vAlign w:val="bottom"/>
            <w:tcBorders>
              <w:bottom w:val="single" w:sz="8" w:color="0000EE"/>
            </w:tcBorders>
          </w:tcPr>
          <w:p>
            <w:pPr>
              <w:jc w:val="right"/>
              <w:spacing w:after="0"/>
              <w:rPr>
                <w:rFonts w:ascii="Arial" w:cs="Arial" w:eastAsia="Arial" w:hAnsi="Arial"/>
                <w:sz w:val="15"/>
                <w:szCs w:val="15"/>
                <w:b w:val="1"/>
                <w:bCs w:val="1"/>
                <w:color w:val="0000EE"/>
                <w:w w:val="89"/>
              </w:rPr>
            </w:pPr>
            <w:hyperlink w:anchor="page4">
              <w:r>
                <w:rPr>
                  <w:rFonts w:ascii="Arial" w:cs="Arial" w:eastAsia="Arial" w:hAnsi="Arial"/>
                  <w:sz w:val="15"/>
                  <w:szCs w:val="15"/>
                  <w:b w:val="1"/>
                  <w:bCs w:val="1"/>
                  <w:color w:val="0000EE"/>
                  <w:w w:val="89"/>
                </w:rPr>
                <w:t>®</w:t>
              </w:r>
            </w:hyperlink>
          </w:p>
        </w:tc>
        <w:tc>
          <w:tcPr>
            <w:tcW w:w="1180" w:type="dxa"/>
            <w:vAlign w:val="bottom"/>
            <w:gridSpan w:val="2"/>
          </w:tcPr>
          <w:p>
            <w:pPr>
              <w:ind w:left="40"/>
              <w:spacing w:after="0"/>
              <w:rPr>
                <w:rFonts w:ascii="Arial" w:cs="Arial" w:eastAsia="Arial" w:hAnsi="Arial"/>
                <w:sz w:val="18"/>
                <w:szCs w:val="18"/>
                <w:b w:val="1"/>
                <w:bCs w:val="1"/>
                <w:color w:val="0000EE"/>
                <w:w w:val="89"/>
              </w:rPr>
            </w:pPr>
            <w:hyperlink w:anchor="page4">
              <w:r>
                <w:rPr>
                  <w:rFonts w:ascii="Arial" w:cs="Arial" w:eastAsia="Arial" w:hAnsi="Arial"/>
                  <w:sz w:val="18"/>
                  <w:szCs w:val="18"/>
                  <w:b w:val="1"/>
                  <w:bCs w:val="1"/>
                  <w:color w:val="0000EE"/>
                  <w:w w:val="89"/>
                </w:rPr>
                <w:t xml:space="preserve">System in </w:t>
              </w:r>
            </w:hyperlink>
            <w:r>
              <w:rPr>
                <w:rFonts w:ascii="Arial" w:cs="Arial" w:eastAsia="Arial" w:hAnsi="Arial"/>
                <w:sz w:val="18"/>
                <w:szCs w:val="18"/>
                <w:b w:val="1"/>
                <w:bCs w:val="1"/>
                <w:color w:val="0000EE"/>
                <w:w w:val="89"/>
              </w:rPr>
              <w:t>Soft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5720" w:type="dxa"/>
            <w:vAlign w:val="bottom"/>
            <w:tcBorders>
              <w:bottom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0" w:type="dxa"/>
            <w:vAlign w:val="bottom"/>
            <w:gridSpan w:val="13"/>
          </w:tcPr>
          <w:p>
            <w:pPr>
              <w:spacing w:after="0" w:line="183"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Tissue Reconstruction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color w:val="auto"/>
              </w:rPr>
              <w:t>99.2</w:t>
            </w:r>
          </w:p>
        </w:tc>
        <w:tc>
          <w:tcPr>
            <w:tcW w:w="1040" w:type="dxa"/>
            <w:vAlign w:val="bottom"/>
          </w:tcPr>
          <w:p>
            <w:pPr>
              <w:spacing w:after="0"/>
              <w:rPr>
                <w:sz w:val="24"/>
                <w:szCs w:val="24"/>
                <w:color w:val="auto"/>
              </w:rPr>
            </w:pPr>
          </w:p>
        </w:tc>
        <w:tc>
          <w:tcPr>
            <w:tcW w:w="9000" w:type="dxa"/>
            <w:vAlign w:val="bottom"/>
            <w:gridSpan w:val="13"/>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Investor Webinar Release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0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b w:val="1"/>
                <w:bCs w:val="1"/>
                <w:color w:val="auto"/>
              </w:rPr>
              <w:t>99.3</w:t>
            </w:r>
          </w:p>
        </w:tc>
        <w:tc>
          <w:tcPr>
            <w:tcW w:w="1040" w:type="dxa"/>
            <w:vAlign w:val="bottom"/>
          </w:tcPr>
          <w:p>
            <w:pPr>
              <w:spacing w:after="0"/>
              <w:rPr>
                <w:sz w:val="24"/>
                <w:szCs w:val="24"/>
                <w:color w:val="auto"/>
              </w:rPr>
            </w:pPr>
          </w:p>
        </w:tc>
        <w:tc>
          <w:tcPr>
            <w:tcW w:w="740" w:type="dxa"/>
            <w:vAlign w:val="bottom"/>
          </w:tcPr>
          <w:p>
            <w:pPr>
              <w:spacing w:after="0"/>
              <w:rPr>
                <w:rFonts w:ascii="Arial" w:cs="Arial" w:eastAsia="Arial" w:hAnsi="Arial"/>
                <w:sz w:val="18"/>
                <w:szCs w:val="18"/>
                <w:b w:val="1"/>
                <w:bCs w:val="1"/>
                <w:color w:val="0000EE"/>
                <w:w w:val="99"/>
              </w:rPr>
            </w:pPr>
            <w:hyperlink w:anchor="page8">
              <w:r>
                <w:rPr>
                  <w:rFonts w:ascii="Arial" w:cs="Arial" w:eastAsia="Arial" w:hAnsi="Arial"/>
                  <w:sz w:val="18"/>
                  <w:szCs w:val="18"/>
                  <w:b w:val="1"/>
                  <w:bCs w:val="1"/>
                  <w:color w:val="0000EE"/>
                  <w:w w:val="99"/>
                </w:rPr>
                <w:t>RECELL</w:t>
              </w:r>
            </w:hyperlink>
          </w:p>
        </w:tc>
        <w:tc>
          <w:tcPr>
            <w:tcW w:w="140" w:type="dxa"/>
            <w:vAlign w:val="bottom"/>
            <w:tcBorders>
              <w:bottom w:val="single" w:sz="8" w:color="0000EE"/>
            </w:tcBorders>
            <w:gridSpan w:val="3"/>
          </w:tcPr>
          <w:p>
            <w:pPr>
              <w:jc w:val="right"/>
              <w:ind w:right="20"/>
              <w:spacing w:after="0"/>
              <w:rPr>
                <w:rFonts w:ascii="Arial" w:cs="Arial" w:eastAsia="Arial" w:hAnsi="Arial"/>
                <w:sz w:val="15"/>
                <w:szCs w:val="15"/>
                <w:b w:val="1"/>
                <w:bCs w:val="1"/>
                <w:color w:val="0000EE"/>
                <w:w w:val="89"/>
              </w:rPr>
            </w:pPr>
            <w:hyperlink w:anchor="page8">
              <w:r>
                <w:rPr>
                  <w:rFonts w:ascii="Arial" w:cs="Arial" w:eastAsia="Arial" w:hAnsi="Arial"/>
                  <w:sz w:val="15"/>
                  <w:szCs w:val="15"/>
                  <w:b w:val="1"/>
                  <w:bCs w:val="1"/>
                  <w:color w:val="0000EE"/>
                  <w:w w:val="89"/>
                </w:rPr>
                <w:t>®</w:t>
              </w:r>
            </w:hyperlink>
          </w:p>
        </w:tc>
        <w:tc>
          <w:tcPr>
            <w:tcW w:w="8120" w:type="dxa"/>
            <w:vAlign w:val="bottom"/>
            <w:gridSpan w:val="9"/>
          </w:tcPr>
          <w:p>
            <w:pPr>
              <w:ind w:left="20"/>
              <w:spacing w:after="0"/>
              <w:rPr>
                <w:rFonts w:ascii="Arial" w:cs="Arial" w:eastAsia="Arial" w:hAnsi="Arial"/>
                <w:sz w:val="18"/>
                <w:szCs w:val="18"/>
                <w:b w:val="1"/>
                <w:bCs w:val="1"/>
                <w:color w:val="0000EE"/>
                <w:w w:val="90"/>
              </w:rPr>
            </w:pPr>
            <w:hyperlink w:anchor="page8">
              <w:r>
                <w:rPr>
                  <w:rFonts w:ascii="Arial" w:cs="Arial" w:eastAsia="Arial" w:hAnsi="Arial"/>
                  <w:sz w:val="18"/>
                  <w:szCs w:val="18"/>
                  <w:b w:val="1"/>
                  <w:bCs w:val="1"/>
                  <w:color w:val="0000EE"/>
                  <w:w w:val="90"/>
                </w:rPr>
                <w:t>System Vitiligo Clinical Trial Protocol to be Presented at the Global Vitiligo Foundation Annual Scientific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100" w:type="dxa"/>
            <w:vAlign w:val="bottom"/>
            <w:tcBorders>
              <w:bottom w:val="single" w:sz="8" w:color="0000EE"/>
            </w:tcBorders>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0" w:type="dxa"/>
            <w:vAlign w:val="bottom"/>
            <w:gridSpan w:val="13"/>
          </w:tcPr>
          <w:p>
            <w:pPr>
              <w:spacing w:after="0" w:line="183"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Symposium</w:t>
              </w:r>
            </w:hyperlink>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81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EXHIBIT 104</w:t>
            </w:r>
          </w:p>
        </w:tc>
        <w:tc>
          <w:tcPr>
            <w:tcW w:w="9000" w:type="dxa"/>
            <w:vAlign w:val="bottom"/>
            <w:gridSpan w:val="13"/>
          </w:tcPr>
          <w:p>
            <w:pPr>
              <w:spacing w:after="0"/>
              <w:rPr>
                <w:sz w:val="20"/>
                <w:szCs w:val="20"/>
                <w:color w:val="auto"/>
              </w:rPr>
            </w:pPr>
            <w:r>
              <w:rPr>
                <w:rFonts w:ascii="Arial" w:cs="Arial" w:eastAsia="Arial" w:hAnsi="Arial"/>
                <w:sz w:val="18"/>
                <w:szCs w:val="18"/>
                <w:b w:val="1"/>
                <w:bCs w:val="1"/>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2022</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AVITA MEDICAL, INC.</w:t>
      </w:r>
    </w:p>
    <w:p>
      <w:pPr>
        <w:spacing w:after="0" w:line="211"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Donna Shiroma</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Donna Shiroma</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020"/>
          </w:cols>
          <w:pgMar w:left="440" w:top="297" w:right="43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AVITA Medical Announces Modification of BARDA Contract to Advance Development of RECELL</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System in Soft Tissue Reconstruction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21,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will support completion of the ongoing pivotal clinical trial</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VALENCIA, Calif. and MELBOURNE, Australia, March 21, 2022 (GLOBE NEWSWIRE) — AVITA Medical, Inc. (NASDAQ: RCEL, ASX: AVH), a regenerative medicine company that is developing and commercializing a technology platform that enables point-of-care autologous skin restoration for multiple unmet needs, announced today that the Biomedical Advanced Research and Development Authority (BARDA) has modified its existing contract with the Company to support AVITA Medical’s clinical trial in soft tissue reconstruction. BARDA is a part of the Office of the Assistant Secretary for Preparedness and Response (ASPR) at the U.S. Department of Health and Human Services (HHS).</w:t>
      </w:r>
    </w:p>
    <w:p>
      <w:pPr>
        <w:spacing w:after="0" w:line="17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extremely pleased that BARDA is supporting advanced treatment options for soft tissue reconstruction,” said Dr. Mike Perry, Chief Executive Officer of AVITA Medical. “The RECELL System has already proven itself as a safe and effective tool for those with burns, and we are committed to expanding its use to include all acute wounds. We are pleased BARDA recognizes the potential it holds for a broader group of patients experiencing trauma. BARDA has been an outstanding partner, and we are excited to continue our work to expand the indication for the RECELL System with their support.”</w:t>
      </w:r>
    </w:p>
    <w:p>
      <w:pPr>
        <w:spacing w:after="0" w:line="18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Soft tissue reconstruction is of particular concern to BARDA and AVITA Medical, as skin grafting, the current standard of care for soft tissue reconstruction, requires the harvesting of donor skin which can result in an additional wound to the patient. Significant pain, delayed healing, risk of infection, the need for multiple procedures, discoloration and scarring are associated with donor site wounds. While skin grafting is commonly associated with burn treatment, in 2017, approximately 80% of acute wounds that required skin grafting were non-burn related injuries accounting for more than 200,000 procedures in the U.S.i</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AVITA Medical is currently completing a pivotal trial for the use of the RECELL System for soft tissue reconstruction. Currently, the RECELL System is indicated in the U.S. for treatment of acute thermal burns. The clinical trial will compare the clinical performance of conventional autografting to that of widely meshed autografting with the RECELL System on acute non-burn full-thickness skin defects, with the goal of demonstrating that less donor skin is needed without compromising healing outcomes. Topline data from the trial will be shared later this year.</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AVITA Medical has had a long-term positive relationship with BARDA since September 2015 and was of fundamental importance to the Company being able to achieve premarket approval for the RECELL System in late 2018.</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This project has been funded in whole or in part with Federal funds from the Office of the Assistant Secretary for Preparedness and Response, Biomedical Advanced Research and Development Authority, under Contract No. HHSO100201500028C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 </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AVITA Medical’s first U.S. product, the RECELL </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and a new ease-of-use design was approved in 2022. The RECELL System is indicated for use in the treatment of acute thermal burns.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(https://recellsystem.com/) for a full description of indications for use and important safety information including contraindications, warnings, and precautions.</w:t>
      </w:r>
    </w:p>
    <w:p>
      <w:pPr>
        <w:spacing w:after="0" w:line="18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w:t>
      </w:r>
    </w:p>
    <w:p>
      <w:pPr>
        <w:sectPr>
          <w:pgSz w:w="11900" w:h="16838" w:orient="portrait"/>
          <w:cols w:equalWidth="0" w:num="1">
            <w:col w:w="11020"/>
          </w:cols>
          <w:pgMar w:left="440" w:top="121" w:right="439" w:bottom="1008" w:gutter="0" w:footer="0" w:header="0"/>
        </w:sectPr>
      </w:pPr>
    </w:p>
    <w:bookmarkStart w:id="4" w:name="page5"/>
    <w:bookmarkEnd w:id="4"/>
    <w:p>
      <w:pPr>
        <w:ind w:left="4"/>
        <w:spacing w:after="0" w:line="29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This press release was authorized by the review committee of AVITA Medical, Inc.</w:t>
      </w:r>
    </w:p>
    <w:p>
      <w:pPr>
        <w:spacing w:after="0" w:line="32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23"/>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U.S. Media</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Investors</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Sam Brown, Inc.</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Westwicke Partners</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Christy Curran</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Caroline Corner</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Phone +1-615-414-8668</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Phone +1-415-202-5678</w:t>
            </w:r>
          </w:p>
        </w:tc>
      </w:tr>
      <w:tr>
        <w:trPr>
          <w:trHeight w:val="190"/>
        </w:trPr>
        <w:tc>
          <w:tcPr>
            <w:tcW w:w="2220" w:type="dxa"/>
            <w:vAlign w:val="bottom"/>
            <w:gridSpan w:val="2"/>
          </w:tcPr>
          <w:p>
            <w:pPr>
              <w:spacing w:after="0" w:line="190" w:lineRule="exact"/>
              <w:rPr>
                <w:sz w:val="20"/>
                <w:szCs w:val="20"/>
                <w:color w:val="auto"/>
              </w:rPr>
            </w:pPr>
            <w:r>
              <w:rPr>
                <w:rFonts w:ascii="Arial" w:cs="Arial" w:eastAsia="Arial" w:hAnsi="Arial"/>
                <w:sz w:val="18"/>
                <w:szCs w:val="18"/>
                <w:color w:val="auto"/>
                <w:w w:val="90"/>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452"/>
        </w:trPr>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O.U.S. Media</w:t>
            </w: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Rudi Michelson</w:t>
            </w:r>
          </w:p>
        </w:tc>
        <w:tc>
          <w:tcPr>
            <w:tcW w:w="15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Phone +61 (0)3 9620 3333</w:t>
            </w:r>
          </w:p>
        </w:tc>
        <w:tc>
          <w:tcPr>
            <w:tcW w:w="15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Mobile +61 (0)411 402 737</w:t>
            </w:r>
          </w:p>
        </w:tc>
        <w:tc>
          <w:tcPr>
            <w:tcW w:w="15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190"/>
        </w:trPr>
        <w:tc>
          <w:tcPr>
            <w:tcW w:w="4220" w:type="dxa"/>
            <w:vAlign w:val="bottom"/>
            <w:gridSpan w:val="3"/>
          </w:tcPr>
          <w:p>
            <w:pPr>
              <w:spacing w:after="0" w:line="190" w:lineRule="exact"/>
              <w:rPr>
                <w:sz w:val="20"/>
                <w:szCs w:val="20"/>
                <w:color w:val="auto"/>
              </w:rPr>
            </w:pPr>
            <w:r>
              <w:rPr>
                <w:rFonts w:ascii="Arial" w:cs="Arial" w:eastAsia="Arial" w:hAnsi="Arial"/>
                <w:sz w:val="18"/>
                <w:szCs w:val="18"/>
                <w:color w:val="auto"/>
              </w:rPr>
              <w:t>rudim@monsoon.com.au</w:t>
            </w:r>
          </w:p>
        </w:tc>
        <w:tc>
          <w:tcPr>
            <w:tcW w:w="152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69"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color w:val="auto"/>
        </w:rPr>
        <w:t xml:space="preserve">2017 Procedural Data. </w:t>
      </w:r>
      <w:r>
        <w:rPr>
          <w:rFonts w:ascii="Arial" w:cs="Arial" w:eastAsia="Arial" w:hAnsi="Arial"/>
          <w:sz w:val="15"/>
          <w:szCs w:val="15"/>
          <w:color w:val="auto"/>
        </w:rPr>
        <w:t>©</w:t>
      </w:r>
      <w:r>
        <w:rPr>
          <w:rFonts w:ascii="Arial" w:cs="Arial" w:eastAsia="Arial" w:hAnsi="Arial"/>
          <w:sz w:val="18"/>
          <w:szCs w:val="18"/>
          <w:color w:val="auto"/>
        </w:rPr>
        <w:t xml:space="preserve"> 2019 DR/Decision Resources, LLC</w:t>
      </w:r>
    </w:p>
    <w:p>
      <w:pPr>
        <w:sectPr>
          <w:pgSz w:w="11900" w:h="16838" w:orient="portrait"/>
          <w:cols w:equalWidth="0" w:num="1">
            <w:col w:w="10744"/>
          </w:cols>
          <w:pgMar w:left="436" w:top="274" w:right="7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 Webinar</w:t>
      </w:r>
    </w:p>
    <w:p>
      <w:pPr>
        <w:spacing w:after="0" w:line="22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 xml:space="preserve">VALENCIA, Calif. and MELBOURNE, Australia, 22 March 2022 </w:t>
      </w:r>
      <w:r>
        <w:rPr>
          <w:rFonts w:ascii="Arial" w:cs="Arial" w:eastAsia="Arial" w:hAnsi="Arial"/>
          <w:sz w:val="18"/>
          <w:szCs w:val="18"/>
          <w:color w:val="auto"/>
        </w:rPr>
        <w:t>— AVITA Medical, Inc. (NASDAQ: RCEL, ASX: AVH), a regenerative</w:t>
      </w:r>
      <w:r>
        <w:rPr>
          <w:rFonts w:ascii="Arial" w:cs="Arial" w:eastAsia="Arial" w:hAnsi="Arial"/>
          <w:sz w:val="18"/>
          <w:szCs w:val="18"/>
          <w:b w:val="1"/>
          <w:bCs w:val="1"/>
          <w:color w:val="auto"/>
        </w:rPr>
        <w:t xml:space="preserve"> </w:t>
      </w:r>
      <w:r>
        <w:rPr>
          <w:rFonts w:ascii="Arial" w:cs="Arial" w:eastAsia="Arial" w:hAnsi="Arial"/>
          <w:sz w:val="18"/>
          <w:szCs w:val="18"/>
          <w:color w:val="auto"/>
        </w:rPr>
        <w:t>medicine company that is developing and commercializing a technology platform that enables point-of-care autologous skin restoration for multiple unmet needs, invites shareholders and prospective investors to attend its investor webinar and presentation by Dr. Mike Perry, CEO, and Michael Holder, CFO, on Thursday at 11am (AEDT) 24 March 2022.</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webinar will cover highlights from AVITA Medical’s successful 2021 calendar year, multiple key accomplishments as previously announced over the past quarter and to date, and planned upcoming company milestones.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Interested parties can register for the webinar using this link: </w:t>
      </w:r>
      <w:r>
        <w:rPr>
          <w:rFonts w:ascii="Arial" w:cs="Arial" w:eastAsia="Arial" w:hAnsi="Arial"/>
          <w:sz w:val="18"/>
          <w:szCs w:val="18"/>
          <w:u w:val="single" w:color="auto"/>
          <w:color w:val="auto"/>
        </w:rPr>
        <w:t>https://zoom.us/webinar/register/WN_LgAAB_tyQGS6vyEPG1yAgw</w:t>
      </w:r>
    </w:p>
    <w:p>
      <w:pPr>
        <w:spacing w:after="0" w:line="225" w:lineRule="exact"/>
        <w:rPr>
          <w:sz w:val="20"/>
          <w:szCs w:val="20"/>
          <w:color w:val="auto"/>
        </w:rPr>
      </w:pPr>
    </w:p>
    <w:p>
      <w:pPr>
        <w:ind w:right="1360"/>
        <w:spacing w:after="0" w:line="277" w:lineRule="auto"/>
        <w:rPr>
          <w:sz w:val="20"/>
          <w:szCs w:val="20"/>
          <w:color w:val="auto"/>
        </w:rPr>
      </w:pPr>
      <w:r>
        <w:rPr>
          <w:rFonts w:ascii="Arial" w:cs="Arial" w:eastAsia="Arial" w:hAnsi="Arial"/>
          <w:sz w:val="18"/>
          <w:szCs w:val="18"/>
          <w:color w:val="auto"/>
        </w:rPr>
        <w:t xml:space="preserve">Participants may submit questions during registration or during the session. A replay will be available on the AVITA Medical website, </w:t>
      </w:r>
      <w:r>
        <w:rPr>
          <w:rFonts w:ascii="Arial" w:cs="Arial" w:eastAsia="Arial" w:hAnsi="Arial"/>
          <w:sz w:val="18"/>
          <w:szCs w:val="18"/>
          <w:u w:val="single" w:color="auto"/>
          <w:color w:val="auto"/>
        </w:rPr>
        <w:t>www.avitamedical.com</w:t>
      </w:r>
      <w:r>
        <w:rPr>
          <w:rFonts w:ascii="Arial" w:cs="Arial" w:eastAsia="Arial" w:hAnsi="Arial"/>
          <w:sz w:val="18"/>
          <w:szCs w:val="18"/>
          <w:color w:val="auto"/>
        </w:rPr>
        <w:t xml:space="preserve"> following the presentation.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AVITA Medical’s first U.S. product,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(FDA) in September 2018. The RECELL System is indicated for use in the treatment of acute thermal burns. The RECELL System is used to prepare Spray-On Skin</w:t>
      </w:r>
      <w:r>
        <w:rPr>
          <w:rFonts w:ascii="Arial" w:cs="Arial" w:eastAsia="Arial" w:hAnsi="Arial"/>
          <w:sz w:val="13"/>
          <w:szCs w:val="13"/>
          <w:color w:val="auto"/>
        </w:rPr>
        <w:t>™</w:t>
      </w:r>
      <w:r>
        <w:rPr>
          <w:rFonts w:ascii="Arial" w:cs="Arial" w:eastAsia="Arial" w:hAnsi="Arial"/>
          <w:sz w:val="16"/>
          <w:szCs w:val="16"/>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9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press release was authorized by the review committee of AVITA Medical,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ectPr>
          <w:pgSz w:w="11900" w:h="16838" w:orient="portrait"/>
          <w:cols w:equalWidth="0" w:num="1">
            <w:col w:w="10980"/>
          </w:cols>
          <w:pgMar w:left="440" w:top="270" w:right="47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Christy Curran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+1-615-414-8668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christycurran@sambrown.com</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Corner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caroline.corner@westwicke.com</w:t>
      </w:r>
    </w:p>
    <w:p>
      <w:pPr>
        <w:spacing w:after="0" w:line="200"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 (0)3 9620 3333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+61 (0)411 402 737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rudim@monsoon.com.au</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0980"/>
          </w:cols>
          <w:pgMar w:left="440" w:top="270" w:right="47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171450</wp:posOffset>
            </wp:positionV>
            <wp:extent cx="1165860"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58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RECELL</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System Vitiligo Clinical Trial Protocol to be Presented at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Vitiligo Foundation Annual Scientific Symposium</w:t>
      </w:r>
    </w:p>
    <w:p>
      <w:pPr>
        <w:spacing w:after="0" w:line="2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VALENCIA, Calif. and MELBOURNE, Australia, 23 March 2022 </w:t>
      </w:r>
      <w:r>
        <w:rPr>
          <w:rFonts w:ascii="Arial" w:cs="Arial" w:eastAsia="Arial" w:hAnsi="Arial"/>
          <w:sz w:val="18"/>
          <w:szCs w:val="18"/>
          <w:color w:val="auto"/>
        </w:rPr>
        <w:t>— AVITA Medical, Inc. (NASDAQ: RCEL, ASX: AVH), a regenerative</w:t>
      </w:r>
      <w:r>
        <w:rPr>
          <w:rFonts w:ascii="Arial" w:cs="Arial" w:eastAsia="Arial" w:hAnsi="Arial"/>
          <w:sz w:val="18"/>
          <w:szCs w:val="18"/>
          <w:b w:val="1"/>
          <w:bCs w:val="1"/>
          <w:color w:val="auto"/>
        </w:rPr>
        <w:t xml:space="preserve"> </w:t>
      </w:r>
      <w:r>
        <w:rPr>
          <w:rFonts w:ascii="Arial" w:cs="Arial" w:eastAsia="Arial" w:hAnsi="Arial"/>
          <w:sz w:val="18"/>
          <w:szCs w:val="18"/>
          <w:color w:val="auto"/>
        </w:rPr>
        <w:t>medicine company that is developing and commercializing a technology platform that enables point-of-care autologous skin restoration for multiple unmet needs, announced today that an abstract highlighting the clinical trial protocol utilizing the 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(RECELL</w:t>
      </w:r>
      <w:r>
        <w:rPr>
          <w:rFonts w:ascii="Arial" w:cs="Arial" w:eastAsia="Arial" w:hAnsi="Arial"/>
          <w:sz w:val="15"/>
          <w:szCs w:val="15"/>
          <w:color w:val="auto"/>
        </w:rPr>
        <w:t>®</w:t>
      </w:r>
      <w:r>
        <w:rPr>
          <w:rFonts w:ascii="Arial" w:cs="Arial" w:eastAsia="Arial" w:hAnsi="Arial"/>
          <w:sz w:val="18"/>
          <w:szCs w:val="18"/>
          <w:color w:val="auto"/>
        </w:rPr>
        <w:t xml:space="preserve"> System) to treat vitiligo will be presented at the Global Vitiligo Foundation Annual Scientific Symposium. The conference is being held in Boston and will highlight research and knowledge of both up and coming vitiligo researchers and those who have and continue to build the foundational knowledge about vitiligo.</w:t>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pleased to share our clinical study protocol, which aims to establish safety and effectiveness for repigmentation of stable vitiligo lesions utilizing the RECELL System, with leaders of the vitiligo community,” said Dr. Mike Perry, Chief Executive Officer of AVITA Medical. “With enrollment of our vitiligo pivotal trial complete, we look forward to sharing results of our blinded, randomized study in the near future and working with the FDA to bring our novel treatment option to patients.”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RECELL System Abstract</w:t>
      </w:r>
    </w:p>
    <w:p>
      <w:pPr>
        <w:spacing w:after="0" w:line="135" w:lineRule="exact"/>
        <w:rPr>
          <w:sz w:val="20"/>
          <w:szCs w:val="20"/>
          <w:color w:val="auto"/>
        </w:rPr>
      </w:pPr>
    </w:p>
    <w:p>
      <w:pPr>
        <w:ind w:left="420" w:hanging="316"/>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March 24 at 9:38am, Abstract #4: RECELL Autologous Cell Harvesting Device: A Review of the Science of Autologous Skin Cell Suspension</w:t>
      </w:r>
    </w:p>
    <w:p>
      <w:pPr>
        <w:spacing w:after="0" w:line="34" w:lineRule="exact"/>
        <w:rPr>
          <w:rFonts w:ascii="Arial" w:cs="Arial" w:eastAsia="Arial" w:hAnsi="Arial"/>
          <w:sz w:val="17"/>
          <w:szCs w:val="17"/>
          <w:color w:val="auto"/>
        </w:rPr>
      </w:pPr>
    </w:p>
    <w:p>
      <w:pPr>
        <w:ind w:left="420" w:right="640"/>
        <w:spacing w:after="0" w:line="260" w:lineRule="auto"/>
        <w:rPr>
          <w:rFonts w:ascii="Arial" w:cs="Arial" w:eastAsia="Arial" w:hAnsi="Arial"/>
          <w:sz w:val="17"/>
          <w:szCs w:val="17"/>
          <w:color w:val="auto"/>
        </w:rPr>
      </w:pPr>
      <w:r>
        <w:rPr>
          <w:rFonts w:ascii="Arial" w:cs="Arial" w:eastAsia="Arial" w:hAnsi="Arial"/>
          <w:sz w:val="18"/>
          <w:szCs w:val="18"/>
          <w:color w:val="auto"/>
        </w:rPr>
        <w:t>and Clinical Protocol Aimed in Establishing Safety and Effectiveness for Repigmentation of Stable Vitiligo Lesions. Authors: K. Bush, A. Hopkin, E. Kirshner, A. Quick</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Vitiligo is a disease that attacks pigment-producing cells, called melanocytes, resulting in their destruction or malfunction. The result is a loss of pigmentation in patches of skin. Vitiligo affects up to 2% of the population worldwide,</w:t>
      </w:r>
      <w:r>
        <w:rPr>
          <w:rFonts w:ascii="Arial" w:cs="Arial" w:eastAsia="Arial" w:hAnsi="Arial"/>
          <w:sz w:val="15"/>
          <w:szCs w:val="15"/>
          <w:color w:val="auto"/>
        </w:rPr>
        <w:t>i</w:t>
      </w:r>
      <w:r>
        <w:rPr>
          <w:rFonts w:ascii="Arial" w:cs="Arial" w:eastAsia="Arial" w:hAnsi="Arial"/>
          <w:sz w:val="18"/>
          <w:szCs w:val="18"/>
          <w:color w:val="auto"/>
        </w:rPr>
        <w:t xml:space="preserve"> including an estimated 3-6.5 million Americans.</w:t>
      </w:r>
      <w:r>
        <w:rPr>
          <w:rFonts w:ascii="Arial" w:cs="Arial" w:eastAsia="Arial" w:hAnsi="Arial"/>
          <w:sz w:val="15"/>
          <w:szCs w:val="15"/>
          <w:color w:val="auto"/>
        </w:rPr>
        <w:t>ii</w:t>
      </w:r>
      <w:r>
        <w:rPr>
          <w:rFonts w:ascii="Arial" w:cs="Arial" w:eastAsia="Arial" w:hAnsi="Arial"/>
          <w:sz w:val="18"/>
          <w:szCs w:val="18"/>
          <w:color w:val="auto"/>
        </w:rPr>
        <w:t xml:space="preserve"> Vitiligo has a comparable market size and psychosocial impact to other major dermatology diseases including psoriasis (thick, scaly skin) and atopic dermatitis (red, cracked skin).</w:t>
      </w:r>
      <w:r>
        <w:rPr>
          <w:rFonts w:ascii="Arial" w:cs="Arial" w:eastAsia="Arial" w:hAnsi="Arial"/>
          <w:sz w:val="15"/>
          <w:szCs w:val="15"/>
          <w:color w:val="auto"/>
        </w:rPr>
        <w:t>iii iv v</w:t>
      </w:r>
      <w:r>
        <w:rPr>
          <w:rFonts w:ascii="Arial" w:cs="Arial" w:eastAsia="Arial" w:hAnsi="Arial"/>
          <w:sz w:val="18"/>
          <w:szCs w:val="18"/>
          <w:color w:val="auto"/>
        </w:rPr>
        <w:t xml:space="preserve"> Like these diseases, those living with vitiligo may suffer from poor body image along with low self-esteem, leading to an impaired quality of life.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ABOUT AVITA MEDICAL, INC. </w:t>
      </w:r>
      <w:r>
        <w:rPr>
          <w:rFonts w:ascii="Arial" w:cs="Arial" w:eastAsia="Arial" w:hAnsi="Arial"/>
          <w:sz w:val="18"/>
          <w:szCs w:val="18"/>
          <w:color w:val="auto"/>
        </w:rPr>
        <w:t>AVITA Medical is a regenerative medicine company with a technology platform positioned to address unmet</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needs in burns, chronic wounds, and aesthetics indications. AVITA Medical’s patented and proprietary collection and application technology provides innovative treatment solutions derived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8" w:name="page9"/>
    <w:bookmarkEnd w:id="8"/>
    <w:p>
      <w:pPr>
        <w:ind w:righ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and a new ease-of-use design was approved in 2022. The RECELL System is indicated for use in the treatment of acute thermal burns.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(https://recellsystem.com/) for a full description of indications for use and important safety information including contraindications, warnings, and precautions.</w:t>
      </w:r>
    </w:p>
    <w:p>
      <w:pPr>
        <w:spacing w:after="0" w:line="18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press release was authorized by the review committee of AVITA Medical,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980"/>
          </w:cols>
          <w:pgMar w:left="440" w:top="274" w:right="47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FURTHER INFORMATION:</w:t>
      </w:r>
    </w:p>
    <w:p>
      <w:pPr>
        <w:sectPr>
          <w:pgSz w:w="11900" w:h="16838" w:orient="portrait"/>
          <w:cols w:equalWidth="0" w:num="1">
            <w:col w:w="11024"/>
          </w:cols>
          <w:pgMar w:left="436" w:top="270" w:right="439" w:bottom="1440" w:gutter="0" w:footer="0" w:header="0"/>
        </w:sectPr>
      </w:pP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Christy Curran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Phone +1-615-414-8668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christycurran@sambrown.com</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Corner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caroline.corner@westwicke.com</w:t>
      </w:r>
    </w:p>
    <w:p>
      <w:pPr>
        <w:spacing w:after="0" w:line="200" w:lineRule="exact"/>
        <w:rPr>
          <w:sz w:val="20"/>
          <w:szCs w:val="20"/>
          <w:color w:val="auto"/>
        </w:rPr>
      </w:pPr>
    </w:p>
    <w:p>
      <w:pPr>
        <w:sectPr>
          <w:pgSz w:w="11900" w:h="16838" w:orient="portrait"/>
          <w:cols w:equalWidth="0" w:num="2">
            <w:col w:w="5024" w:space="720"/>
            <w:col w:w="5280"/>
          </w:cols>
          <w:pgMar w:left="436" w:top="270" w:right="439" w:bottom="1440" w:gutter="0" w:footer="0" w:header="0"/>
          <w:type w:val="continuous"/>
        </w:sectPr>
      </w:pPr>
    </w:p>
    <w:p>
      <w:pPr>
        <w:spacing w:after="0" w:line="5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O.U.S. Media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Phone +61 (0)3 9620 3333</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Mobile +61 (0)411 402 737</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rudim@monsoon.com.au</w:t>
      </w:r>
    </w:p>
    <w:p>
      <w:pPr>
        <w:sectPr>
          <w:pgSz w:w="11900" w:h="16838" w:orient="portrait"/>
          <w:cols w:equalWidth="0" w:num="1">
            <w:col w:w="11024"/>
          </w:cols>
          <w:pgMar w:left="436" w:top="270" w:right="439" w:bottom="1440" w:gutter="0" w:footer="0" w:header="0"/>
          <w:type w:val="continuous"/>
        </w:sect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PR20222303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5"/>
          <w:szCs w:val="15"/>
          <w:color w:val="auto"/>
        </w:rPr>
      </w:pPr>
      <w:r>
        <w:rPr>
          <w:rFonts w:ascii="Arial" w:cs="Arial" w:eastAsia="Arial" w:hAnsi="Arial"/>
          <w:sz w:val="18"/>
          <w:szCs w:val="18"/>
          <w:color w:val="auto"/>
        </w:rPr>
        <w:t>Picardo et al. Vitiligo. Nature Reviews Disease Primers. 2015.</w:t>
      </w:r>
    </w:p>
    <w:p>
      <w:pPr>
        <w:spacing w:after="0" w:line="22" w:lineRule="exact"/>
        <w:rPr>
          <w:sz w:val="20"/>
          <w:szCs w:val="20"/>
          <w:color w:val="auto"/>
        </w:rPr>
      </w:pPr>
    </w:p>
    <w:p>
      <w:pPr>
        <w:ind w:left="424" w:right="80" w:hanging="424"/>
        <w:spacing w:after="0" w:line="251" w:lineRule="auto"/>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John Harris, MD, PhD – Presentation as part of Incyte Corporate presentation. (Harris, UMass, is a global leader in Vitiligo; AVITA collaborator). https://investor.incyte.com/static-files/01f77a1c-6351-4348-adc2-597e2bc1f42eSERT</w:t>
      </w:r>
    </w:p>
    <w:p>
      <w:pPr>
        <w:ind w:left="424" w:hanging="424"/>
        <w:spacing w:after="0"/>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National Psoriasis Foundation – Statistics, https://www.psoriasis.org/psoriasis-statistics/ Accessed 10/5/2020</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burden of vitiligo: Patient characteristics associated with quality of life. Homan, et al. JAAD. 2009</w:t>
      </w:r>
    </w:p>
    <w:p>
      <w:pPr>
        <w:spacing w:after="0" w:line="8" w:lineRule="exact"/>
        <w:rPr>
          <w:sz w:val="20"/>
          <w:szCs w:val="20"/>
          <w:color w:val="auto"/>
        </w:rPr>
      </w:pPr>
    </w:p>
    <w:p>
      <w:pPr>
        <w:ind w:left="424" w:right="420" w:hanging="424"/>
        <w:spacing w:after="0" w:line="262" w:lineRule="auto"/>
        <w:tabs>
          <w:tab w:leader="none" w:pos="424" w:val="left"/>
        </w:tabs>
        <w:numPr>
          <w:ilvl w:val="0"/>
          <w:numId w:val="6"/>
        </w:numPr>
        <w:rPr>
          <w:rFonts w:ascii="Arial" w:cs="Arial" w:eastAsia="Arial" w:hAnsi="Arial"/>
          <w:sz w:val="15"/>
          <w:szCs w:val="15"/>
          <w:color w:val="auto"/>
        </w:rPr>
      </w:pPr>
      <w:r>
        <w:rPr>
          <w:rFonts w:ascii="Arial" w:cs="Arial" w:eastAsia="Arial" w:hAnsi="Arial"/>
          <w:sz w:val="18"/>
          <w:szCs w:val="18"/>
          <w:color w:val="auto"/>
        </w:rPr>
        <w:t>Comparison of the Psychological Impacts of Asymptomatic and Symptomatic Cutaneous Diseases: Vitiligo and Atopic Dermatitis.Noh, et al. Annals of Derm. 2013</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sectPr>
      <w:pgSz w:w="11900" w:h="16838" w:orient="portrait"/>
      <w:cols w:equalWidth="0" w:num="1">
        <w:col w:w="11024"/>
      </w:cols>
      <w:pgMar w:left="436"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i"/>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i"/>
      <w:numFmt w:val="bullet"/>
      <w:start w:val="1"/>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v"/>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2022-03-24T15:14:43Z</dcterms:created>
  <dcterms:modified xsi:type="dcterms:W3CDTF">2022-03-24T15:14:43Z</dcterms:modified>
</cp:coreProperties>
</file>