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51105.htm"/>
      <w:bookmarkStart w:id="1" w:name="ksrcel202511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05,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On November 5, 2025, affiliates of OrbiMed Advisors, LLC (the “Lenders”) and AVITA Medical, Inc. (the “Company”) agreed to a sixth amendment (the “Sixth Amendment”) to the credit agreement, dated October 18, 2023, as previously amended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Sixth Amendment modifies the trailing 12-month revenue covenant to $70.0 million for the quarter ending December 31, 2025. The revenue covenants for all subsequent quarters through the Maturity Date (as defined in the Credit Agreement) remain in effect. The Sixth Amendment also waived a requirement that the Company’s Quarterly Report on Form 10-Q not contain any qualification or statement which is of a “going concern” or similar nature for the quarter ending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amended covenant and waiver in the Sixth Amendment, the Company agreed to add $500,000 to the principal balance of the Credit Agreement, with interest paid on this amount as of November 1, 2025 and during the term of the Credit Agreement and payable along with the original $40,000,000 principal balance, either on the Maturity Date or when and if earlier repaid.</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Sixth Amendment is qualified in its entirety by the full text of the Sixth Amendment, a copy of which is attached hereto as Exhibit 10.1 and is incorporated by reference herein.</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6, 2025, the Company issued a press release announcing its financial results for the third quarter ended September 30, 2025.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0"/>
        <w:gridCol w:w="146"/>
        <w:gridCol w:w="8969"/>
      </w:tblGrid>
      <w:tr>
        <w:trPr/>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9" w:type="dxa"/>
            <w:tcBorders/>
            <w:vAlign w:val="center"/>
          </w:tcPr>
          <w:p>
            <w:pPr>
              <w:pStyle w:val="TableContents"/>
              <w:bidi w:val="0"/>
              <w:spacing w:before="0" w:after="283"/>
              <w:jc w:val="left"/>
              <w:rPr>
                <w:sz w:val="4"/>
                <w:szCs w:val="4"/>
              </w:rPr>
            </w:pPr>
            <w:r>
              <w:rPr>
                <w:sz w:val="4"/>
                <w:szCs w:val="4"/>
              </w:rPr>
            </w:r>
          </w:p>
        </w:tc>
      </w:tr>
      <w:tr>
        <w:trPr/>
        <w:tc>
          <w:tcPr>
            <w:tcW w:w="10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0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9" w:type="dxa"/>
            <w:tcBorders/>
            <w:tcMar>
              <w:top w:w="0" w:type="dxa"/>
              <w:left w:w="0" w:type="dxa"/>
              <w:bottom w:w="0" w:type="dxa"/>
              <w:right w:w="0" w:type="dxa"/>
            </w:tcMar>
            <w:vAlign w:val="center"/>
          </w:tcPr>
          <w:p>
            <w:pPr>
              <w:pStyle w:val="TableContents"/>
              <w:bidi w:val="0"/>
              <w:spacing w:before="0" w:after="283"/>
              <w:jc w:val="left"/>
              <w:rPr/>
            </w:pPr>
            <w:hyperlink w:anchor="rcel-ex10_1.htm">
              <w:r>
                <w:rPr>
                  <w:rStyle w:val="InternetLink"/>
                  <w:rFonts w:ascii="Times New Roman" w:hAnsi="Times New Roman"/>
                  <w:color w:val="0000FF"/>
                  <w:sz w:val="20"/>
                  <w:u w:val="single"/>
                </w:rPr>
                <w:t>Waiver and Sixth Amendment to the Credit Agreement between the Lender and the Company, dated November 5, 2025</w:t>
              </w:r>
            </w:hyperlink>
          </w:p>
        </w:tc>
      </w:tr>
      <w:tr>
        <w:trPr/>
        <w:tc>
          <w:tcPr>
            <w:tcW w:w="10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9"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Press release, dated November 6, 2025, issued by AVITA Medical, Inc.</w:t>
              </w:r>
            </w:hyperlink>
          </w:p>
        </w:tc>
      </w:tr>
      <w:tr>
        <w:trPr/>
        <w:tc>
          <w:tcPr>
            <w:tcW w:w="10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24" w:type="dxa"/>
        <w:jc w:val="left"/>
        <w:tblInd w:w="0" w:type="dxa"/>
        <w:tblLayout w:type="fixed"/>
        <w:tblCellMar>
          <w:top w:w="28" w:type="dxa"/>
          <w:left w:w="28" w:type="dxa"/>
          <w:bottom w:w="28" w:type="dxa"/>
          <w:right w:w="28" w:type="dxa"/>
        </w:tblCellMar>
      </w:tblPr>
      <w:tblGrid>
        <w:gridCol w:w="556"/>
        <w:gridCol w:w="160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AVITA Medical,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6,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cel-ex10_1.htm"/>
      <w:bookmarkStart w:id="3" w:name="ksrcelex10_1"/>
      <w:bookmarkEnd w:id="2"/>
      <w:bookmarkEnd w:id="3"/>
      <w:r>
        <w:rPr>
          <w:rFonts w:ascii="Times New Roman" w:hAnsi="Times New Roman"/>
          <w:b/>
          <w:color w:val="000000"/>
          <w:sz w:val="20"/>
        </w:rPr>
        <w:t>Exhibit 10.1</w:t>
      </w:r>
      <w:r>
        <w:br w:type="page"/>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WAIVER AND SIXTH AMENDMENT TO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WAIVER AND </w:t>
      </w:r>
      <w:r>
        <w:rPr>
          <w:rFonts w:ascii="Times New Roman" w:hAnsi="Times New Roman"/>
          <w:b/>
          <w:color w:val="000000"/>
          <w:sz w:val="24"/>
        </w:rPr>
        <w:t xml:space="preserve">SIXTH AMENDMENT TO CREDIT AGREEMENT </w:t>
      </w:r>
      <w:r>
        <w:rPr>
          <w:rFonts w:ascii="Times New Roman" w:hAnsi="Times New Roman"/>
          <w:color w:val="000000"/>
          <w:sz w:val="24"/>
        </w:rPr>
        <w:t xml:space="preserve">(this “Sixth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is made and entered into as of November 5, 2025 by and among </w:t>
      </w:r>
      <w:r>
        <w:rPr>
          <w:rFonts w:ascii="Times New Roman" w:hAnsi="Times New Roman"/>
          <w:b/>
          <w:caps/>
          <w:color w:val="000000"/>
          <w:sz w:val="24"/>
        </w:rPr>
        <w:t>AVITA MEDICAL, INC.</w:t>
      </w:r>
      <w:r>
        <w:rPr>
          <w:rFonts w:ascii="Times New Roman" w:hAnsi="Times New Roman"/>
          <w:color w:val="000000"/>
          <w:sz w:val="24"/>
        </w:rPr>
        <w:t>,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ORCO IV LLC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rPr>
        <w:t>ORBIMED ROYALTY &amp; CREDIT OPPORTUNITIES IV OFFSHORE, LP</w:t>
      </w:r>
      <w:r>
        <w:rPr>
          <w:rFonts w:ascii="Times New Roman" w:hAnsi="Times New Roman"/>
          <w:color w:val="000000"/>
          <w:sz w:val="24"/>
        </w:rPr>
        <w:t xml:space="preserve">, as Lenders, and </w:t>
      </w:r>
      <w:r>
        <w:rPr>
          <w:rFonts w:ascii="Times New Roman" w:hAnsi="Times New Roman"/>
          <w:b/>
          <w:color w:val="000000"/>
          <w:sz w:val="24"/>
        </w:rPr>
        <w:t>ORCO IV LLC</w:t>
      </w:r>
      <w:r>
        <w:rPr>
          <w:rFonts w:ascii="Times New Roman" w:hAnsi="Times New Roman"/>
          <w:color w:val="000000"/>
          <w:sz w:val="24"/>
        </w:rPr>
        <w:t>, as administrative agent for the Lenders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the Lenders and the Administrative Agent entered into a Credit Agreement, dated as of October 18, 2023, as amended by that certain Waiver and First Amendment to Credit Agreement, dated as of November 30, 2023, as amended by that certain Second Amendment to Credit Agreement, dated as of May 28, 2024, as amended by that certain Third Amendment to Credit Agreement, dated as of November 7, 2024, as amended by that certain Fourth Amendment to Credit Agreement, dated as of February 13, 2025, as modified by that certain Waiver, effective as of March 31, 2025, as modified by that certain Waiver, effective as of June 30, 2025, and as modified by that certain Waiver, effective as of September 30, 2025 (as so amended and modified,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pursuant to which the Lenders have extended credit to the Borrower on the terms set forth therein;</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10.1 of the Credit Agreement, the Credit Agreement may be amended by an instrument in writing signed by each of the Borrower and the Lenders and acknowledged by the Administrative Agent;</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undersigned Lenders comprise all Lenders under the Credit Agreement;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and the Lenders desire to amend certain provisions of the Credit Agreement as provided in this Sixth Amendment.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u w:val="single"/>
        </w:rPr>
        <w:t>Definitions; Loan Document</w:t>
      </w:r>
      <w:r>
        <w:rPr>
          <w:rFonts w:ascii="Times New Roman" w:hAnsi="Times New Roman"/>
          <w:color w:val="000000"/>
          <w:sz w:val="24"/>
        </w:rPr>
        <w:t>. Capitalized terms used herein without definition shall have the meanings assigned to such terms in the Credit Agreement. This Sixth Amendment shall constitute a Loan Document for all purposes of the Credit Agreement and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xml:space="preserve">. Subject to the effectiveness of this Sixth Amendment and the terms and conditions set forth herein, the Lenders agree to waive the requirement under Section 7.1(b) of the Credit Agreement requiring the absence of any qualification or statement which is of a “going concern” or similar nature, solely with respect to the Fiscal Quarter ended September 30, 2025.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u w:val="single"/>
        </w:rPr>
        <w:t>Amendments to Section 1.1</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 of the Credit Agreement is hereby amended by inserting the following new defined terms therein in the proper alphabetical order: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Sixth Amendment</w:t>
      </w:r>
      <w:r>
        <w:rPr>
          <w:rFonts w:ascii="Times New Roman" w:hAnsi="Times New Roman"/>
          <w:color w:val="000000"/>
          <w:sz w:val="20"/>
        </w:rPr>
        <w:t xml:space="preserve">” </w:t>
      </w:r>
      <w:r>
        <w:rPr>
          <w:rFonts w:ascii="Times New Roman" w:hAnsi="Times New Roman"/>
          <w:color w:val="000000"/>
          <w:sz w:val="24"/>
        </w:rPr>
        <w:t>means the Sixth Amendment to the Agreement, dated as of the Sixth Amendment Effective Date, among the Borrower, the Lenders and the Administrative Agent.</w:t>
      </w:r>
    </w:p>
    <w:p>
      <w:pPr>
        <w:pStyle w:val="TextBody"/>
        <w:bidi w:val="0"/>
        <w:spacing w:before="0" w:after="240"/>
        <w:jc w:val="both"/>
        <w:rPr/>
      </w:pPr>
      <w:r>
        <w:rPr>
          <w:color w:val="000000"/>
        </w:rPr>
        <w:t>“</w:t>
      </w:r>
      <w:r>
        <w:rPr>
          <w:rFonts w:ascii="Times New Roman" w:hAnsi="Times New Roman"/>
          <w:color w:val="000000"/>
          <w:sz w:val="24"/>
          <w:u w:val="single"/>
        </w:rPr>
        <w:t>Sixth Amendment Effective Date</w:t>
      </w:r>
      <w:r>
        <w:rPr>
          <w:rFonts w:ascii="Times New Roman" w:hAnsi="Times New Roman"/>
          <w:color w:val="000000"/>
          <w:sz w:val="20"/>
        </w:rPr>
        <w:t xml:space="preserve">” </w:t>
      </w:r>
      <w:r>
        <w:rPr>
          <w:rFonts w:ascii="Times New Roman" w:hAnsi="Times New Roman"/>
          <w:color w:val="000000"/>
          <w:sz w:val="24"/>
        </w:rPr>
        <w:t>means November 5, 2025.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definition of “Loan Documents” in Section 1.1 of the Credit Agreement is hereby amended by inserting “the Sixth Amendment,” immediately after the phrase “the Fifth Amendment,”.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u w:val="single"/>
        </w:rPr>
        <w:t>Amendments to Section 3.2</w:t>
      </w:r>
      <w:r>
        <w:rPr>
          <w:rFonts w:ascii="Times New Roman" w:hAnsi="Times New Roman"/>
          <w:color w:val="000000"/>
          <w:sz w:val="24"/>
        </w:rPr>
        <w:t xml:space="preserve">. Section 3.2 of the Credit Agreement is hereby amended by replacing the amount “$77,000,000” with “$70,000,000” in the column labeled “Product Revenue Base for the 12-month period ending on such Test Date” set forth opposite “December 31, 2025”.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u w:val="single"/>
        </w:rPr>
        <w:t>Amendment Fee</w:t>
      </w:r>
      <w:r>
        <w:rPr>
          <w:rFonts w:ascii="Times New Roman" w:hAnsi="Times New Roman"/>
          <w:color w:val="000000"/>
          <w:sz w:val="24"/>
        </w:rPr>
        <w:t>. Subject to the effectiveness of this Sixth Amendment, the Borrower agrees to pay a fee to the Lenders in an aggregate amount of $500,000, which shall be deemed to have been fully earned, due and payable on and as of November 1, 2025 and shall be deemed to have been paid in kind and added to the outstanding principal amount of the Loans on such date. Such fee shall be nonrefundable under any circumstances and in addition to, and not creditable against, any other fee, cost or expense payable under the Investment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u w:val="single"/>
        </w:rPr>
        <w:t>Conditions to Effectiveness of the Sixth Amendment</w:t>
      </w:r>
      <w:r>
        <w:rPr>
          <w:rFonts w:ascii="Times New Roman" w:hAnsi="Times New Roman"/>
          <w:color w:val="000000"/>
          <w:sz w:val="24"/>
        </w:rPr>
        <w:t>. This Sixth Amendment shall become effective upon receipt by the Lenders, the Administrative Agent and the Borrower of a counterpart signature of the other to this Sixth Amendment duly executed and delivered by each of the Lenders, the Administrative Agent and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u w:val="single"/>
        </w:rPr>
        <w:t>Expenses</w:t>
      </w:r>
      <w:r>
        <w:rPr>
          <w:rFonts w:ascii="Times New Roman" w:hAnsi="Times New Roman"/>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Sixth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u w:val="single"/>
        </w:rPr>
        <w:t>Representations and Warranties</w:t>
      </w:r>
      <w:r>
        <w:rPr>
          <w:rFonts w:ascii="Times New Roman" w:hAnsi="Times New Roman"/>
          <w:color w:val="000000"/>
          <w:sz w:val="24"/>
        </w:rPr>
        <w:t>. The Borrower represents and warrants to the Lenders, as of the effective date of this Sixth Amendment,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Other Representations</w:t>
      </w:r>
      <w:r>
        <w:rPr>
          <w:rFonts w:ascii="Times New Roman" w:hAnsi="Times New Roman"/>
          <w:color w:val="000000"/>
          <w:sz w:val="24"/>
        </w:rPr>
        <w:t>. After giving effect to this Sixth Amendment, 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Default</w:t>
      </w:r>
      <w:r>
        <w:rPr>
          <w:rFonts w:ascii="Times New Roman" w:hAnsi="Times New Roman"/>
          <w:color w:val="000000"/>
          <w:sz w:val="24"/>
        </w:rPr>
        <w:t>. After giving effect to this Sixth Amendment, no Default or Event of Default under the Credit Agreement has occurred and is continuing or would result from the effectiveness of this Sixth Amendment.</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u w:val="single"/>
        </w:rPr>
        <w:t>No Implied Amendment or Waiver</w:t>
      </w:r>
      <w:r>
        <w:rPr>
          <w:rFonts w:ascii="Times New Roman" w:hAnsi="Times New Roman"/>
          <w:color w:val="000000"/>
          <w:sz w:val="24"/>
        </w:rPr>
        <w:t>. Except as expressly set forth in this Sixth Amendment, this Sixth Amendment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Sixth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u w:val="single"/>
        </w:rPr>
        <w:t>Waiver and Release</w:t>
      </w:r>
      <w:r>
        <w:rPr>
          <w:rFonts w:ascii="Times New Roman" w:hAnsi="Times New Roman"/>
          <w:color w:val="000000"/>
          <w:sz w:val="24"/>
        </w:rPr>
        <w:t>. TO INDUCE THE ADMINISTRATIVE AGENT AND THE LENDERS TO AGREE TO THE TERMS OF THIS SIXTH AMENDMENT, THE BORROWER AND ITS AFFILIATES (COLLECTIVELY, THE “</w:t>
      </w:r>
      <w:r>
        <w:rPr>
          <w:rFonts w:ascii="Times New Roman" w:hAnsi="Times New Roman"/>
          <w:b/>
          <w:color w:val="000000"/>
          <w:sz w:val="24"/>
        </w:rPr>
        <w:t>RELEASING PARTIES</w:t>
      </w:r>
      <w:r>
        <w:rPr>
          <w:color w:val="000000"/>
        </w:rPr>
        <w:t>”</w:t>
      </w:r>
      <w:r>
        <w:rPr>
          <w:rFonts w:ascii="Times New Roman" w:hAnsi="Times New Roman"/>
          <w:color w:val="000000"/>
          <w:sz w:val="24"/>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WAIVE ANY AND ALL SUCH CLAIMS, OFFSETS, RIGHTS OF RECOUPMENT, DISPUTES, DEFENSES AND COUNTERCLAIMS, WHETHER KNOWN OR UNKNOWN, ARISING PRIOR TO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hAnsi="Times New Roman"/>
          <w:b/>
          <w:color w:val="000000"/>
          <w:sz w:val="24"/>
        </w:rPr>
        <w:t>RELEASED PARTIES</w:t>
      </w:r>
      <w:r>
        <w:rPr>
          <w:color w:val="000000"/>
        </w:rPr>
        <w:t>”</w:t>
      </w:r>
      <w:r>
        <w:rPr>
          <w:rFonts w:ascii="Times New Roman" w:hAnsi="Times New Roman"/>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CONNECTION WITH THE RELEASE CONTAINED HEREIN, ACKNOWLEDGE THAT THEY ARE AWARE THAT THEY MAY HEREAFTER DISCOVER CLAIMS PRESENTLY UNKNOWN OR UNSUSPECTED, OR FACTS IN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ADDITION TO OR DIFFERENT FROM THOSE WHICH THEY KNOW OR BELIEVE TO BE TRUE, WITH RESPECT TO THE MATTERS RELEASED HEREIN. NEVERTHELESS, IT IS THE INTENTION OF THE RELEASING PARTIES, THROUGH THIS SIXTH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COVENANT AND AGREE NOT TO BRING ANY CLAIM, ACTION, SUIT, OR PROCEEDING AGAINST THE RELEASED PARTIES, DIRECTLY OR INDIRECTLY, REGARDING OR RELATED IN ANY MANNER TO THE MATTERS RELEASED HEREBY, AND FURTHER COVENANT AND AGREE THAT THIS SIXTH AMENDMENT IS A BAR TO ANY SUCH CLAIM, ACTION, SUIT, OR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REPRESENT AND WARRANT TO THE RELEASED PARTIES THAT THEY HAVE NOT HERETOFORE ASSIGNED OR TRANSFERRED, OR PURPORTED TO ASSIGN OR TRANSFER, TO ANY PERSON OR ENTITY ANY CLAIMS OR OTHER MATTERS HEREIN RELEASED.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pStyle w:val="TextBody"/>
        <w:bidi w:val="0"/>
        <w:spacing w:before="0" w:after="120"/>
        <w:jc w:val="left"/>
        <w:rPr>
          <w:rFonts w:ascii="Times New Roman" w:hAnsi="Times New Roman"/>
          <w:sz w:val="20"/>
        </w:rPr>
      </w:pPr>
      <w:r>
        <w:rPr>
          <w:rFonts w:ascii="Times New Roman" w:hAnsi="Times New Roman"/>
          <w:i/>
          <w:color w:val="000000"/>
          <w:sz w:val="24"/>
          <w:u w:val="single"/>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br/>
      </w:r>
      <w:r>
        <w:rPr>
          <w:rFonts w:ascii="Times New Roman" w:hAnsi="Times New Roman"/>
          <w:color w:val="000000"/>
          <w:sz w:val="20"/>
          <w:u w:val="single"/>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b/>
          <w:color w:val="000000"/>
          <w:sz w:val="24"/>
          <w:u w:val="single"/>
        </w:rPr>
        <w:t>Counterparts; Governing Law</w:t>
      </w:r>
      <w:r>
        <w:rPr>
          <w:rFonts w:ascii="Times New Roman" w:hAnsi="Times New Roman"/>
          <w:color w:val="000000"/>
          <w:sz w:val="24"/>
        </w:rPr>
        <w:t>.</w:t>
      </w:r>
      <w:r>
        <w:rPr>
          <w:color w:val="000000"/>
        </w:rPr>
        <w:t xml:space="preserve"> </w:t>
      </w:r>
      <w:r>
        <w:rPr>
          <w:rFonts w:ascii="Times New Roman" w:hAnsi="Times New Roman"/>
          <w:color w:val="000000"/>
          <w:sz w:val="24"/>
        </w:rPr>
        <w:t>This Sixth Amendment may be executed by the parties hereto in several counterparts, each of which shall be an original and all of which shall constitute together but one and the same agreement. Delivery of an executed counterpart of a signature page to this Sixth Amendment by email (e.g., “pdf” or “tiff”) or telecopy shall be effective as delivery of a manually executed counterpart of this Sixth Amendment. THIS SIXTH AMENDMENT SHALL BE GOVERNED BY, AND CONSTRUED IN ACCORDANCE WITH, THE LAWS OF THE STATE OF NEW YORK (INCLUDING FOR SUCH PURPOSE SECTIONS 5-1401 AND 5-1402 OF THE GENERAL OBLIGATIONS LAW OF THE STATE OF NEW YORK).</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[Remainder of Page Intentionally Left Blank]</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caused this Sixth Amendment to be executed by their respective officers thereunto duly authorized as of the day and year first above written.</w:t>
      </w:r>
    </w:p>
    <w:p>
      <w:pPr>
        <w:pStyle w:val="TextBody"/>
        <w:bidi w:val="0"/>
        <w:spacing w:before="0" w:after="120"/>
        <w:jc w:val="left"/>
        <w:rPr/>
      </w:pPr>
      <w:r>
        <w:rPr/>
        <w:t> </w:t>
      </w:r>
    </w:p>
    <w:tbl>
      <w:tblPr>
        <w:tblW w:w="3867" w:type="dxa"/>
        <w:jc w:val="left"/>
        <w:tblInd w:w="0" w:type="dxa"/>
        <w:tblLayout w:type="fixed"/>
        <w:tblCellMar>
          <w:top w:w="28" w:type="dxa"/>
          <w:left w:w="28" w:type="dxa"/>
          <w:bottom w:w="28" w:type="dxa"/>
          <w:right w:w="28" w:type="dxa"/>
        </w:tblCellMar>
      </w:tblPr>
      <w:tblGrid>
        <w:gridCol w:w="161"/>
        <w:gridCol w:w="3706"/>
      </w:tblGrid>
      <w:tr>
        <w:trPr/>
        <w:tc>
          <w:tcPr>
            <w:tcW w:w="16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AVITA MEDICAL, INC.</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the Borrower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Cary Vance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Cary G. Vance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Interim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 and Sixth Amendment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ORCO IV LLC</w:t>
            </w:r>
            <w:r>
              <w:rPr>
                <w:rFonts w:ascii="Times New Roman" w:hAnsi="Times New Roman"/>
                <w:color w:val="000000"/>
                <w:sz w:val="24"/>
              </w:rPr>
              <w:br/>
              <w:t>as Lender</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OrbiMed Royalty &amp; Credit Opportunities IV, LP, </w:t>
            </w:r>
          </w:p>
          <w:p>
            <w:pPr>
              <w:pStyle w:val="TableContents"/>
              <w:bidi w:val="0"/>
              <w:jc w:val="left"/>
              <w:rPr>
                <w:rFonts w:ascii="Times New Roman" w:hAnsi="Times New Roman"/>
                <w:color w:val="000000"/>
                <w:sz w:val="24"/>
              </w:rPr>
            </w:pPr>
            <w:r>
              <w:rPr>
                <w:rFonts w:ascii="Times New Roman" w:hAnsi="Times New Roman"/>
                <w:color w:val="000000"/>
                <w:sz w:val="24"/>
              </w:rPr>
              <w:t>its Member</w:t>
            </w:r>
          </w:p>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53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8191"/>
      </w:tblGrid>
      <w:tr>
        <w:trPr/>
        <w:tc>
          <w:tcPr>
            <w:tcW w:w="8191" w:type="dxa"/>
            <w:tcBorders/>
            <w:vAlign w:val="center"/>
          </w:tcPr>
          <w:p>
            <w:pPr>
              <w:pStyle w:val="TableContents"/>
              <w:bidi w:val="0"/>
              <w:spacing w:before="0" w:after="283"/>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ORBIMED ROYALTY &amp; CREDIT OPPORTUNITIES IV OFFSHORE, LP,</w:t>
            </w:r>
            <w:r>
              <w:rPr>
                <w:rFonts w:ascii="Times New Roman" w:hAnsi="Times New Roman"/>
                <w:color w:val="000000"/>
                <w:sz w:val="24"/>
              </w:rPr>
              <w:br/>
              <w:t>as Lender</w:t>
            </w:r>
          </w:p>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819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Matthew Rizzo</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 and Sixth Amendment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ACKNOWLEDGED BY:</w:t>
            </w:r>
          </w:p>
          <w:p>
            <w:pPr>
              <w:pStyle w:val="TableContents"/>
              <w:bidi w:val="0"/>
              <w:spacing w:before="240" w:after="283"/>
              <w:jc w:val="left"/>
              <w:rPr>
                <w:rFonts w:ascii="Times New Roman" w:hAnsi="Times New Roman"/>
                <w:sz w:val="24"/>
              </w:rPr>
            </w:pPr>
            <w:r>
              <w:rPr>
                <w:rFonts w:ascii="Times New Roman" w:hAnsi="Times New Roman"/>
                <w:b/>
                <w:color w:val="000000"/>
                <w:sz w:val="24"/>
              </w:rPr>
              <w:t>ORCO IV LLC</w:t>
            </w:r>
            <w:r>
              <w:rPr>
                <w:rFonts w:ascii="Times New Roman" w:hAnsi="Times New Roman"/>
                <w:color w:val="000000"/>
                <w:sz w:val="24"/>
              </w:rPr>
              <w:br/>
              <w:t>as the Administrative Agent</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OrbiMed Royalty &amp; Credit Opportunities IV, LP, </w:t>
            </w:r>
          </w:p>
          <w:p>
            <w:pPr>
              <w:pStyle w:val="TableContents"/>
              <w:bidi w:val="0"/>
              <w:jc w:val="left"/>
              <w:rPr>
                <w:rFonts w:ascii="Times New Roman" w:hAnsi="Times New Roman"/>
                <w:color w:val="000000"/>
                <w:sz w:val="24"/>
              </w:rPr>
            </w:pPr>
            <w:r>
              <w:rPr>
                <w:rFonts w:ascii="Times New Roman" w:hAnsi="Times New Roman"/>
                <w:color w:val="000000"/>
                <w:sz w:val="24"/>
              </w:rPr>
              <w:t>its Sole Member</w:t>
            </w:r>
          </w:p>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53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 and Sixth Amendment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rcel-ex99_1.htm"/>
      <w:bookmarkStart w:id="5" w:name="ksrcelex99_1"/>
      <w:bookmarkEnd w:id="4"/>
      <w:bookmarkEnd w:id="5"/>
      <w:r>
        <w:rPr>
          <w:rFonts w:ascii="Times New Roman" w:hAnsi="Times New Roman"/>
          <w:b/>
          <w:color w:val="000000"/>
          <w:sz w:val="20"/>
        </w:rPr>
        <w:t>Exhibit 99.1</w:t>
      </w:r>
      <w:r>
        <w:br w:type="page"/>
      </w:r>
    </w:p>
    <w:p>
      <w:pPr>
        <w:pStyle w:val="TextBody"/>
        <w:bidi w:val="0"/>
        <w:jc w:val="left"/>
        <w:rPr/>
      </w:pPr>
      <w:r>
        <w:rPr/>
        <w:drawing>
          <wp:inline distT="0" distB="0" distL="0" distR="0">
            <wp:extent cx="8858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10572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AVITA® Medical Reports Third Quarter 2025 Financial Results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VALENCIA, Calif., November 6, 2025 </w:t>
      </w:r>
      <w:r>
        <w:rPr>
          <w:rFonts w:ascii="Times New Roman" w:hAnsi="Times New Roman"/>
          <w:color w:val="000000"/>
          <w:sz w:val="20"/>
        </w:rPr>
        <w:t>(GLOBE NEWSWIRE) — AVITA Medical, Inc. (NASDAQ: RCEL, ASX: AVH), a leading therapeutic acute wound care company delivering transformative solutions (“AVITA Medical,” or the “Company”), today reported financial results for the third quarter ended September 30, 2025.</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Financial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 revenue of $17.1 million, representing a 13% decrease compared to the same period in 2024.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Cash, cash equivalents, and marketable securities totaled $23.3 million as of Sept. 30,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Operating expenses decreased by 24%, or $7.2 million, to $23.0 million, compared with $30.2 million in the corresponding period last year, as the Company continues to streamline operations and aligns spending with growth priorities.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use of cash improved to $6.2 million in Q3, compared to $10.1 million in Q2, underscoring improving cash efficiency.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loss improved to $13.2 million, or $0.46 per basic and diluted share, from $16.2 million, or $0.62 per share, in Q3 2024.</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2025 revenue outlook: AVITA Medical now expects full-year revenue of $70 to $74 million, compared with prior guidance of $76 to $81 million.</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Other Quarterly Milestones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RECELL GO® received CE Mark approval under the EU Medical Device Regulation, enabling European launch beginning with Germany, Italy, and the United Kingdom.</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Clinical data and conference presentations continue to reinforce the Company’s leadership in acute wound care, with results from global analyses of over 8,000 patients validating RECELL’s ability to achieve wound closure with less donor skin, faster healing, and reduced patient burden.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Cary Vance, new Interim Chief Executive Officer of AVITA Medical, commented: </w:t>
      </w:r>
    </w:p>
    <w:p>
      <w:pPr>
        <w:pStyle w:val="TextBody"/>
        <w:bidi w:val="0"/>
        <w:jc w:val="left"/>
        <w:rPr>
          <w:color w:val="000000"/>
        </w:rPr>
      </w:pPr>
      <w:r>
        <w:rPr>
          <w:color w:val="000000"/>
        </w:rPr>
        <w:t>“</w:t>
      </w:r>
      <w:r>
        <w:rPr>
          <w:rFonts w:ascii="Times New Roman" w:hAnsi="Times New Roman"/>
          <w:color w:val="000000"/>
          <w:sz w:val="20"/>
        </w:rPr>
        <w:t>My focus will be on execution – building the use of RECELL®, driving consistent and predictable utilization of our products across burn, trauma, and surgical settings, and completing a full and successful transition of our commercial organization. To support these actions, we are concentrating our efforts on approximately 200 key U.S. burn and trauma centers that represent the highest-value opportunities in acute wound care, an addressable market segment estimated at roughly $1.3 billion. Our quarterly results reflected the impact of delayed clinician reimbursement transitions for RECELL, the pace of hospital VAC reviews for Cohealyx – which naturally take time – and the evolution of our commercial organization. As these factors normalize, we are well positioned to strengthen execution and advance our mission to make AVITA’s products the standard in acute wound care.”</w:t>
      </w:r>
    </w:p>
    <w:p>
      <w:pPr>
        <w:pStyle w:val="TextBody"/>
        <w:bidi w:val="0"/>
        <w:jc w:val="left"/>
        <w:rPr>
          <w:rFonts w:ascii="Times New Roman" w:hAnsi="Times New Roman"/>
          <w:b/>
          <w:color w:val="000000"/>
          <w:sz w:val="20"/>
        </w:rPr>
      </w:pPr>
      <w:r>
        <w:rPr>
          <w:rFonts w:ascii="Times New Roman" w:hAnsi="Times New Roman"/>
          <w:b/>
          <w:color w:val="000000"/>
          <w:sz w:val="20"/>
        </w:rPr>
        <w:t>Third Quarter Business Update</w:t>
      </w:r>
    </w:p>
    <w:p>
      <w:pPr>
        <w:pStyle w:val="TextBody"/>
        <w:bidi w:val="0"/>
        <w:jc w:val="left"/>
        <w:rPr>
          <w:rFonts w:ascii="Times New Roman" w:hAnsi="Times New Roman"/>
          <w:sz w:val="20"/>
        </w:rPr>
      </w:pPr>
      <w:r>
        <w:rPr>
          <w:rFonts w:ascii="Times New Roman" w:hAnsi="Times New Roman"/>
          <w:i/>
          <w:color w:val="000000"/>
          <w:sz w:val="20"/>
        </w:rPr>
        <w:t>Reimbursement Update: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regional Medicare Administrative Contractors (MACs) finalized pricing under the new Category I CPT codes for use of RECELL, and as a result reimbursement clarity has now largely been restored. All seven MACs have published or confirmed payment rates. This resolution provides clinicians with renewed confidence of payment and removes a key barrier that has impacted procedure volumes. AVITA Medical continues to support providers through education and outreach to ensure accurate billing and coding. The reimbursement environment is now normalizing, with published rates supporting sustainable clinician reimbursement through the Category I CPT code.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Clinical and Regulatory Milestones:</w:t>
      </w:r>
    </w:p>
    <w:p>
      <w:pPr>
        <w:pStyle w:val="TextBody"/>
        <w:bidi w:val="0"/>
        <w:jc w:val="left"/>
        <w:rPr>
          <w:rFonts w:ascii="Times New Roman" w:hAnsi="Times New Roman"/>
          <w:color w:val="000000"/>
          <w:sz w:val="20"/>
        </w:rPr>
      </w:pPr>
      <w:r>
        <w:rPr>
          <w:rFonts w:ascii="Times New Roman" w:hAnsi="Times New Roman"/>
          <w:color w:val="000000"/>
          <w:sz w:val="20"/>
        </w:rPr>
        <w:t>In September, AVITA Medical received CE Mark approval for RECELL GO® under the European Union Medical Device Regulation, enabling commercialization across Europe, commencing with Germany, Italy, and the United Kingdom. The CE Mark expands AVITA Medical’s international presence and supports the Company’s mission to bring RECELL technology to more clinicians treating burn and traumatic wounds worldwide.</w:t>
      </w:r>
    </w:p>
    <w:p>
      <w:pPr>
        <w:pStyle w:val="TextBody"/>
        <w:bidi w:val="0"/>
        <w:jc w:val="left"/>
        <w:rPr>
          <w:rFonts w:ascii="Times New Roman" w:hAnsi="Times New Roman"/>
          <w:color w:val="000000"/>
          <w:sz w:val="20"/>
        </w:rPr>
      </w:pPr>
      <w:r>
        <w:rPr>
          <w:rFonts w:ascii="Times New Roman" w:hAnsi="Times New Roman"/>
          <w:color w:val="000000"/>
          <w:sz w:val="20"/>
        </w:rPr>
        <w:t>At the 2025 Southern Region Burn Conference, new data reinforced RECELL’s position as a standard of care in acute wound treatment. A global systematic review covering over 8,000 patients across 13 countries confirmed RECELL’s ability to achieve wound closure with less donor skin, faster healing, and reduced patient burden. Additionally, real-world U.S. registry data demonstrated a 36% reduction in length of hospital stay and approximately $42,000 in per-patient cost savings compared to traditional split thickness skin grafts in adult patients with deep partial thickness (second degree) burns affecting up to 30% total body surface area.</w:t>
      </w:r>
    </w:p>
    <w:p>
      <w:pPr>
        <w:pStyle w:val="TextBody"/>
        <w:bidi w:val="0"/>
        <w:jc w:val="left"/>
        <w:rPr>
          <w:rFonts w:ascii="Times New Roman" w:hAnsi="Times New Roman"/>
          <w:i/>
          <w:color w:val="000000"/>
          <w:sz w:val="20"/>
        </w:rPr>
      </w:pPr>
      <w:r>
        <w:rPr>
          <w:rFonts w:ascii="Times New Roman" w:hAnsi="Times New Roman"/>
          <w:i/>
          <w:color w:val="000000"/>
          <w:sz w:val="20"/>
        </w:rPr>
        <w:t>Portfolio Execution:</w:t>
      </w:r>
    </w:p>
    <w:p>
      <w:pPr>
        <w:pStyle w:val="TextBody"/>
        <w:bidi w:val="0"/>
        <w:jc w:val="left"/>
        <w:rPr>
          <w:rFonts w:ascii="Times New Roman" w:hAnsi="Times New Roman"/>
          <w:color w:val="000000"/>
          <w:sz w:val="20"/>
        </w:rPr>
      </w:pPr>
      <w:r>
        <w:rPr>
          <w:rFonts w:ascii="Times New Roman" w:hAnsi="Times New Roman"/>
          <w:color w:val="000000"/>
          <w:sz w:val="20"/>
        </w:rPr>
        <w:t>AVITA Medical’s commercial strategy is to focus on approximately 200 U.S. burn and trauma centers representing the highest value and volume in acute wound care. This focused approach, centered on the Company’s integrated portfolio of RECELL, Cohealyx, and PermeaDerm®, targets an addressable market of roughly $1.3 billion. AVITA Medical currently serves about 5% of this segment, offering the Company a substantial opportunity for disciplined and sustainable growth.</w:t>
      </w:r>
    </w:p>
    <w:p>
      <w:pPr>
        <w:pStyle w:val="TextBody"/>
        <w:bidi w:val="0"/>
        <w:jc w:val="left"/>
        <w:rPr>
          <w:rFonts w:ascii="Times New Roman" w:hAnsi="Times New Roman"/>
          <w:color w:val="000000"/>
          <w:sz w:val="20"/>
        </w:rPr>
      </w:pPr>
      <w:r>
        <w:rPr>
          <w:rFonts w:ascii="Times New Roman" w:hAnsi="Times New Roman"/>
          <w:color w:val="000000"/>
          <w:sz w:val="20"/>
        </w:rPr>
        <w:t xml:space="preserve">David O'Toole, Chief Financial Officer of AVITA Medical, commented: </w:t>
      </w:r>
    </w:p>
    <w:p>
      <w:pPr>
        <w:pStyle w:val="TextBody"/>
        <w:bidi w:val="0"/>
        <w:jc w:val="left"/>
        <w:rPr>
          <w:color w:val="000000"/>
        </w:rPr>
      </w:pPr>
      <w:r>
        <w:rPr>
          <w:color w:val="000000"/>
        </w:rPr>
        <w:t>“</w:t>
      </w:r>
      <w:r>
        <w:rPr>
          <w:rFonts w:ascii="Times New Roman" w:hAnsi="Times New Roman"/>
          <w:color w:val="000000"/>
          <w:sz w:val="20"/>
        </w:rPr>
        <w:t>We continue to execute on our disciplined cost-management strategy while aligning spending with growth priorities, achieving a 24% year-over-year decrease in total operating expenses, representing a reduction of $7.2 million to $23.0 million this quarter. Importantly, use of cash improved to $6.2 million in the third quarter compared to $10.1 million in the prior quarter, highlighting our improving cash efficiency. We also reached an agreement with OrbiMed to waive the Q3 revenue covenant at no fee and to reset the revenue covenant for the fourth quarter. In parallel, we are evaluating capital funding options and expect to provide an update, together with 2026 revenue and financial guidance in early Q1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Third Quarter Financials Update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Commercial revenue was $17.1 million in the three-months ended September 30, 2025, representing a decrease of $2.5 million, or 13%, compared to $19.5 million in the corresponding period in the prior year. The reduction in commercial revenue was largely driven by MAC reimbursement headwinds, partially offset by increased revenue from new product launches and expanding adoption within the Company’s established markets.</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81.3% versus 83.7% in the prior year period, reflecting product mix and inventory-related adjustments. RECELL-only gross margin was 83.6% for the quarter. The Company shares the average sales price for Cohealyx at 50% and for PermeaDerm at 60%. Although these arrangements are highly beneficial, they result in an overall decrease in the gross margin percentage. Therefore, the product mix is expected to continue to impact the overall gross margin percentage while increasing gross profit. In addition, as the expenses associated with this revenue do not rise significantly, this also contributes to improved operating profit on a quarterly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operating expenses were $23.0 million, compared to $30.2 million in Q3 2024, representing a decrease of $7.2 million or 24%. The reduction reflects a $3.1 million decline in sales and marketing expenses, primarily from lower salaries, benefits, stock-based compensation, and commissions. General and administrative expenses decreased by $2.4 million, driven by lower personnel and stock-based compensation costs, while research and development expenses declined by $1.7 million due to lower personnel cost and the capitalization of costs associated with in-house developed software. As previously disclosed, following the commercial field transformation in Q2, the Company reduced operating expenses by approximately $2.5 million per quarter, or $10 million annually. Third-quarter results reflect this reduction, which is expected to be sustained going forward.</w:t>
      </w:r>
    </w:p>
    <w:p>
      <w:pPr>
        <w:pStyle w:val="TextBody"/>
        <w:bidi w:val="0"/>
        <w:jc w:val="right"/>
        <w:rPr>
          <w:rFonts w:ascii="Times New Roman" w:hAnsi="Times New Roman"/>
          <w:color w:val="000000"/>
          <w:sz w:val="18"/>
        </w:rPr>
      </w:pPr>
      <w:r>
        <w:rPr>
          <w:rFonts w:ascii="Times New Roman" w:hAnsi="Times New Roman"/>
          <w:color w:val="000000"/>
          <w:sz w:val="18"/>
        </w:rPr>
        <w:t>Page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expense, net was $2.8 million, up $1.7 million from $1.1 million in the prior-year period. The increase primarily reflects non-cash charges of $2.2 million related to the issuance of 400,000 shares of common stock to OrbiMed for a fifth amendment to its credit agreement executed in August, as previously disclosed, and $0.9 million from the change in fair value of the debt, partially offset by $0.3 million in investment income. In the prior-year period, other expenses included non-cash charges of $1.0 million for the change in fair value of debt and $0.8 million for the warrant liability, offset by $0.6 million in investment income and $0.1 million in other gains.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was $13.2 million, or a loss of $0.46 per basic and diluted share, compared to a net loss of $16.2 million, or a loss of $0.62 per basic and diluted share, in the same period in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demonstrated continued financial discipline in the quarter. The Company began Q3 with $15.7 million in cash, cash equivalents, and marketable securities, and raised $13.8 million, net after expenses, through a private placement completed in August, bringing available cash to $29.5 million. The quarter ended with a balance of $23.3 million, reflecting net use of cash of approximately $6.2 million, a meaningful improvement compared to $10.1 million in cash used during the second quarter.</w:t>
      </w:r>
    </w:p>
    <w:p>
      <w:pPr>
        <w:pStyle w:val="TextBody"/>
        <w:bidi w:val="0"/>
        <w:jc w:val="left"/>
        <w:rPr>
          <w:rFonts w:ascii="Times New Roman" w:hAnsi="Times New Roman"/>
          <w:color w:val="000000"/>
          <w:sz w:val="20"/>
        </w:rPr>
      </w:pPr>
      <w:r>
        <w:rPr>
          <w:rFonts w:ascii="Times New Roman" w:hAnsi="Times New Roman"/>
          <w:color w:val="000000"/>
          <w:sz w:val="20"/>
        </w:rPr>
        <w:t>The Company now expects full-year 2025 revenue in the range of $70 million to $74 million, compared to prior guidance in the range of $76 million to $81 million.</w:t>
      </w:r>
    </w:p>
    <w:p>
      <w:pPr>
        <w:pStyle w:val="TextBody"/>
        <w:bidi w:val="0"/>
        <w:jc w:val="left"/>
        <w:rPr>
          <w:rFonts w:ascii="Times New Roman" w:hAnsi="Times New Roman"/>
          <w:color w:val="000000"/>
          <w:sz w:val="20"/>
        </w:rPr>
      </w:pPr>
      <w:r>
        <w:rPr>
          <w:rFonts w:ascii="Times New Roman" w:hAnsi="Times New Roman"/>
          <w:color w:val="000000"/>
          <w:sz w:val="20"/>
        </w:rPr>
        <w:t>On September 30, 2025, AVITA Medical received a waiver for the third-quarter revenue covenant under its credit agreement with OrbiMed at no fee. Subsequently, on November 5, 2025, the Company entered into a sixth amendment to its credit agreement, which amended the trailing twelve-month revenue covenant for the quarter ending December 31, 2025, to $70 million. The revenue covenant for all subsequent quarters through the maturity date remains unchanged. In consideration of the amended covenant, the Company agreed to add $500,000 to the principal balance of the loan, with interest payable on this amount during the term of the loan and due, along with the original $40 million principal balance, in accordance with the applicable provisions of the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Consistent with its disciplined growth strategy, AVITA Medical is exploring opportunities to enhance financial flexibility and support continued execution of revenue growth. The Company expects to provide an update on its capital and growth plans, along with 2026 guidance, in the first quarter of 2026. In the interim, AVITA Medical remains focused on disciplined cash management, sharpening execution, and accelerating commercial momentum across its core U.S. burn and trauma center opportunity.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Webcast and Conference Call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will host a conference call on Thursday, November 6, 2025, at 1:30 p.m. Pacific Time (Friday, November 7, 2025, at 8:30 a.m. Australian Eastern Daylight Time) to discuss its third quarter 2025 financial results and recent business highlights. The live webcast will be available under the Events &amp; Presentations section of the AVITA Medical website at https://ir.avitamedical.com/. To participate by telephone, please register in advance to receive dial-in details and a personal PIN at https://edge.media-server.com/mmc/p/fpry6ovp/. A replay of the webcast will be available shortly after the live event.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AVITA Medical,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a leading therapeutic acute wound care company delivering transformative solutions. Our technologies are designed to optimize wound healing, effectively accelerating the time to patient recovery. At the forefront of our platform is the RECELL System, approved by the U.S. Food and Drug Administration for the treatment of thermal burn and trauma wounds. RECELL harnesses the healing properties of a patient’s own skin to create Spray-On Skin Cells, offering an innovative solution for improved clinical outcomes at the point-of-care. In the U.S., AVITA Medical also holds the rights to manufacture and exclusive rights to market, sell, and distribute PermeaDerm, a biosynthetic wound matrix, and the exclusive rights to market, sell, and distribute Cohealyx, an AVITA Medical-branded collagen-based dermal matrix.</w:t>
      </w:r>
    </w:p>
    <w:p>
      <w:pPr>
        <w:pStyle w:val="TextBody"/>
        <w:bidi w:val="0"/>
        <w:jc w:val="left"/>
        <w:rPr>
          <w:rFonts w:ascii="Times New Roman" w:hAnsi="Times New Roman"/>
          <w:color w:val="000000"/>
          <w:sz w:val="20"/>
        </w:rPr>
      </w:pPr>
      <w:r>
        <w:rPr>
          <w:rFonts w:ascii="Times New Roman" w:hAnsi="Times New Roman"/>
          <w:color w:val="000000"/>
          <w:sz w:val="20"/>
        </w:rPr>
        <w:t>In international markets, the RECELL System is approved to promote skin healing in a wide range of applications including thermal burn and trauma wounds, with regulatory clearances in Europe, and excluding RECELL GO, in Australia and Japan.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 learn more, visit </w:t>
      </w:r>
      <w:r>
        <w:rPr>
          <w:rFonts w:ascii="Times New Roman" w:hAnsi="Times New Roman"/>
          <w:sz w:val="20"/>
        </w:rPr>
        <w:t>www.avitamedical.com</w:t>
      </w:r>
      <w:r>
        <w:rPr>
          <w:rFonts w:ascii="Times New Roman" w:hAnsi="Times New Roman"/>
          <w:color w:val="000000"/>
          <w:sz w:val="20"/>
        </w:rPr>
        <w:t>.</w:t>
      </w:r>
    </w:p>
    <w:p>
      <w:pPr>
        <w:pStyle w:val="TextBody"/>
        <w:bidi w:val="0"/>
        <w:jc w:val="center"/>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0"/>
        </w:rPr>
        <w:t>CAUTIONARY NOTE REGARDING FORWARD-LOOKING STATEMENTS</w:t>
        <w:br/>
      </w:r>
      <w:r>
        <w:rPr>
          <w:rFonts w:ascii="Times New Roman" w:hAnsi="Times New Roman"/>
          <w:color w:val="000000"/>
          <w:sz w:val="20"/>
        </w:rPr>
        <w:br/>
      </w:r>
      <w:r>
        <w:rPr>
          <w:rFonts w:ascii="Times New Roman" w:hAnsi="Times New Roman"/>
          <w:i/>
          <w:color w:val="404040"/>
          <w:sz w:val="20"/>
        </w:rPr>
        <w:t>Th</w:t>
      </w:r>
      <w:r>
        <w:rPr>
          <w:rFonts w:ascii="Times New Roman" w:hAnsi="Times New Roman"/>
          <w:i/>
          <w:color w:val="000000"/>
          <w:sz w:val="20"/>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“believe,” “continue,” “could,” “estimate,” “expect,” “forecast,” “future,” “goal,” “guidance,” “intend,” “look forward,” “may,” “outlook,” “project,” “target,” “will,” “would,” and similar words or expressions, and the use of future dates. Forward-looking statements include, but are not limited to, statements relating to the timing and realization of regulatory approvals of our products; physician acceptance, endorsement, and use of our products (including the impact of government reimbursement payment rates on such use);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&amp; Media Contact: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Ben Atkins</w:t>
      </w:r>
    </w:p>
    <w:p>
      <w:pPr>
        <w:pStyle w:val="TextBody"/>
        <w:bidi w:val="0"/>
        <w:jc w:val="left"/>
        <w:rPr>
          <w:rFonts w:ascii="Times New Roman" w:hAnsi="Times New Roman"/>
          <w:color w:val="000000"/>
          <w:sz w:val="20"/>
        </w:rPr>
      </w:pPr>
      <w:r>
        <w:rPr>
          <w:rFonts w:ascii="Times New Roman" w:hAnsi="Times New Roman"/>
          <w:color w:val="000000"/>
          <w:sz w:val="20"/>
        </w:rPr>
        <w:t xml:space="preserve">Phone +1-805 341 1571 </w:t>
      </w:r>
    </w:p>
    <w:p>
      <w:pPr>
        <w:pStyle w:val="TextBody"/>
        <w:bidi w:val="0"/>
        <w:jc w:val="left"/>
        <w:rPr>
          <w:rFonts w:ascii="Times New Roman" w:hAnsi="Times New Roman"/>
          <w:color w:val="000000"/>
          <w:sz w:val="20"/>
        </w:rPr>
      </w:pPr>
      <w:r>
        <w:rPr>
          <w:rFonts w:ascii="Times New Roman" w:hAnsi="Times New Roman"/>
          <w:color w:val="000000"/>
          <w:sz w:val="20"/>
        </w:rPr>
        <w:t>investor@avitamedical.com</w:t>
      </w:r>
    </w:p>
    <w:p>
      <w:pPr>
        <w:pStyle w:val="TextBody"/>
        <w:bidi w:val="0"/>
        <w:jc w:val="left"/>
        <w:rPr>
          <w:rFonts w:ascii="Times New Roman" w:hAnsi="Times New Roman"/>
          <w:color w:val="000000"/>
          <w:sz w:val="20"/>
        </w:rPr>
      </w:pPr>
      <w:r>
        <w:rPr>
          <w:rFonts w:ascii="Times New Roman" w:hAnsi="Times New Roman"/>
          <w:color w:val="000000"/>
          <w:sz w:val="20"/>
        </w:rPr>
        <w:t>media@avitamedical.com</w:t>
      </w:r>
    </w:p>
    <w:p>
      <w:pPr>
        <w:pStyle w:val="TextBody"/>
        <w:bidi w:val="0"/>
        <w:jc w:val="left"/>
        <w:rPr/>
      </w:pPr>
      <w:r>
        <w:rPr/>
        <w:t> </w:t>
      </w:r>
    </w:p>
    <w:p>
      <w:pPr>
        <w:pStyle w:val="TextBody"/>
        <w:bidi w:val="0"/>
        <w:jc w:val="left"/>
        <w:rPr/>
      </w:pPr>
      <w:r>
        <w:rPr/>
        <w:t>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Authorized for release by the Chief Financial Officer of AVITA Medical, Inc.</w:t>
      </w:r>
    </w:p>
    <w:p>
      <w:pPr>
        <w:pStyle w:val="TextBody"/>
        <w:bidi w:val="0"/>
        <w:jc w:val="right"/>
        <w:rPr>
          <w:rFonts w:ascii="Times New Roman" w:hAnsi="Times New Roman"/>
          <w:color w:val="000000"/>
          <w:sz w:val="18"/>
        </w:rPr>
      </w:pPr>
      <w:r>
        <w:rPr>
          <w:rFonts w:ascii="Times New Roman" w:hAnsi="Times New Roman"/>
          <w:color w:val="000000"/>
          <w:sz w:val="18"/>
        </w:rPr>
        <w:t>Page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49"/>
        <w:gridCol w:w="146"/>
        <w:gridCol w:w="260"/>
        <w:gridCol w:w="1040"/>
        <w:gridCol w:w="166"/>
        <w:gridCol w:w="146"/>
        <w:gridCol w:w="257"/>
        <w:gridCol w:w="1027"/>
        <w:gridCol w:w="414"/>
      </w:tblGrid>
      <w:tr>
        <w:trPr/>
        <w:tc>
          <w:tcPr>
            <w:tcW w:w="6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NON-QUALIFIED DEFERRED COMPENSATION PLAN SHARE AWARDS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30,493,111 and 26,354,042,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(359,814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33"/>
        <w:gridCol w:w="146"/>
        <w:gridCol w:w="256"/>
        <w:gridCol w:w="1262"/>
        <w:gridCol w:w="166"/>
        <w:gridCol w:w="146"/>
        <w:gridCol w:w="256"/>
        <w:gridCol w:w="1262"/>
        <w:gridCol w:w="166"/>
        <w:gridCol w:w="146"/>
        <w:gridCol w:w="256"/>
        <w:gridCol w:w="1262"/>
        <w:gridCol w:w="166"/>
        <w:gridCol w:w="146"/>
        <w:gridCol w:w="256"/>
        <w:gridCol w:w="1262"/>
        <w:gridCol w:w="418"/>
      </w:tblGrid>
      <w:tr>
        <w:trPr/>
        <w:tc>
          <w:tcPr>
            <w:tcW w:w="2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39,031</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(44,086</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(26,071</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(15,510</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(85,667</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25,983,929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27,012,691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25,794,690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righ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5360</Words>
  <Characters>29536</Characters>
  <CharactersWithSpaces>35044</CharactersWithSpaces>
  <Paragraphs>1090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