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AVITA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05380C102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51435</wp:posOffset>
            </wp:positionV>
            <wp:extent cx="534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05380C102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886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pacing w:after="0" w:line="236" w:lineRule="exact"/>
        <w:rPr>
          <w:sz w:val="20"/>
          <w:szCs w:val="20"/>
          <w:color w:val="auto"/>
        </w:rPr>
      </w:pPr>
    </w:p>
    <w:p>
      <w:pPr>
        <w:ind w:left="800" w:hanging="681"/>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Redmile Group, LLC</w:t>
      </w:r>
    </w:p>
    <w:p>
      <w:pPr>
        <w:spacing w:after="0" w:line="27" w:lineRule="exact"/>
        <w:rPr>
          <w:sz w:val="20"/>
          <w:szCs w:val="20"/>
          <w:color w:val="auto"/>
        </w:rPr>
      </w:pPr>
    </w:p>
    <w:p>
      <w:pPr>
        <w:ind w:left="800" w:hanging="681"/>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58"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3" w:lineRule="exact"/>
        <w:rPr>
          <w:sz w:val="20"/>
          <w:szCs w:val="20"/>
          <w:color w:val="auto"/>
        </w:rPr>
      </w:pPr>
    </w:p>
    <w:p>
      <w:pPr>
        <w:ind w:left="800" w:hanging="681"/>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7" w:lineRule="exact"/>
        <w:rPr>
          <w:sz w:val="20"/>
          <w:szCs w:val="20"/>
          <w:color w:val="auto"/>
        </w:rPr>
      </w:pPr>
    </w:p>
    <w:p>
      <w:pPr>
        <w:ind w:left="800" w:hanging="681"/>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2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5</w:t>
            </w:r>
          </w:p>
        </w:tc>
        <w:tc>
          <w:tcPr>
            <w:tcW w:w="88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27"/>
        </w:trPr>
        <w:tc>
          <w:tcPr>
            <w:tcW w:w="162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8"/>
        </w:trPr>
        <w:tc>
          <w:tcPr>
            <w:tcW w:w="1620" w:type="dxa"/>
            <w:vAlign w:val="bottom"/>
            <w:vMerge w:val="continue"/>
          </w:tcPr>
          <w:p>
            <w:pPr>
              <w:spacing w:after="0"/>
              <w:rPr>
                <w:sz w:val="15"/>
                <w:szCs w:val="15"/>
                <w:color w:val="auto"/>
              </w:rPr>
            </w:pPr>
          </w:p>
        </w:tc>
        <w:tc>
          <w:tcPr>
            <w:tcW w:w="44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6</w:t>
            </w:r>
          </w:p>
        </w:tc>
        <w:tc>
          <w:tcPr>
            <w:tcW w:w="8880" w:type="dxa"/>
            <w:vAlign w:val="bottom"/>
          </w:tcPr>
          <w:p>
            <w:pPr>
              <w:ind w:left="220"/>
              <w:spacing w:after="0" w:line="177"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16"/>
        </w:trPr>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jc w:val="center"/>
              <w:ind w:right="19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20"/>
                <w:szCs w:val="20"/>
                <w:color w:val="auto"/>
              </w:rPr>
            </w:pPr>
          </w:p>
        </w:tc>
        <w:tc>
          <w:tcPr>
            <w:tcW w:w="8880" w:type="dxa"/>
            <w:vAlign w:val="bottom"/>
          </w:tcPr>
          <w:p>
            <w:pPr>
              <w:ind w:left="220"/>
              <w:spacing w:after="0" w:line="235" w:lineRule="exact"/>
              <w:rPr>
                <w:sz w:val="20"/>
                <w:szCs w:val="20"/>
                <w:color w:val="auto"/>
              </w:rPr>
            </w:pPr>
            <w:r>
              <w:rPr>
                <w:rFonts w:ascii="Arial" w:cs="Arial" w:eastAsia="Arial" w:hAnsi="Arial"/>
                <w:sz w:val="17"/>
                <w:szCs w:val="17"/>
                <w:b w:val="1"/>
                <w:bCs w:val="1"/>
                <w:color w:val="auto"/>
              </w:rPr>
              <w:t xml:space="preserve">672,411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54"/>
        </w:trPr>
        <w:tc>
          <w:tcPr>
            <w:tcW w:w="1620" w:type="dxa"/>
            <w:vAlign w:val="bottom"/>
            <w:vMerge w:val="restart"/>
          </w:tcPr>
          <w:p>
            <w:pPr>
              <w:jc w:val="center"/>
              <w:ind w:right="230"/>
              <w:spacing w:after="0" w:line="198" w:lineRule="exact"/>
              <w:rPr>
                <w:sz w:val="20"/>
                <w:szCs w:val="20"/>
                <w:color w:val="auto"/>
              </w:rPr>
            </w:pPr>
            <w:r>
              <w:rPr>
                <w:rFonts w:ascii="Arial" w:cs="Arial" w:eastAsia="Arial" w:hAnsi="Arial"/>
                <w:sz w:val="18"/>
                <w:szCs w:val="18"/>
                <w:b w:val="1"/>
                <w:bCs w:val="1"/>
                <w:color w:val="auto"/>
                <w:w w:val="98"/>
              </w:rPr>
              <w:t>OWNED BY</w:t>
            </w:r>
          </w:p>
        </w:tc>
        <w:tc>
          <w:tcPr>
            <w:tcW w:w="440" w:type="dxa"/>
            <w:vAlign w:val="bottom"/>
            <w:tcBorders>
              <w:bottom w:val="single" w:sz="8" w:color="auto"/>
            </w:tcBorders>
          </w:tcPr>
          <w:p>
            <w:pPr>
              <w:spacing w:after="0"/>
              <w:rPr>
                <w:sz w:val="4"/>
                <w:szCs w:val="4"/>
                <w:color w:val="auto"/>
              </w:rPr>
            </w:pPr>
          </w:p>
        </w:tc>
        <w:tc>
          <w:tcPr>
            <w:tcW w:w="8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620" w:type="dxa"/>
            <w:vAlign w:val="bottom"/>
            <w:vMerge w:val="continue"/>
          </w:tcPr>
          <w:p>
            <w:pPr>
              <w:spacing w:after="0"/>
              <w:rPr>
                <w:sz w:val="10"/>
                <w:szCs w:val="10"/>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04"/>
        </w:trPr>
        <w:tc>
          <w:tcPr>
            <w:tcW w:w="162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9"/>
                <w:szCs w:val="9"/>
                <w:color w:val="auto"/>
              </w:rPr>
            </w:pPr>
          </w:p>
        </w:tc>
        <w:tc>
          <w:tcPr>
            <w:tcW w:w="8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88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6"/>
        </w:trPr>
        <w:tc>
          <w:tcPr>
            <w:tcW w:w="16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PERSON WITH</w:t>
            </w:r>
          </w:p>
        </w:tc>
        <w:tc>
          <w:tcPr>
            <w:tcW w:w="440" w:type="dxa"/>
            <w:vAlign w:val="bottom"/>
            <w:tcBorders>
              <w:bottom w:val="single" w:sz="8" w:color="auto"/>
            </w:tcBorders>
          </w:tcPr>
          <w:p>
            <w:pPr>
              <w:spacing w:after="0"/>
              <w:rPr>
                <w:sz w:val="7"/>
                <w:szCs w:val="7"/>
                <w:color w:val="auto"/>
              </w:rPr>
            </w:pPr>
          </w:p>
        </w:tc>
        <w:tc>
          <w:tcPr>
            <w:tcW w:w="8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620" w:type="dxa"/>
            <w:vAlign w:val="bottom"/>
            <w:vMerge w:val="continue"/>
          </w:tcPr>
          <w:p>
            <w:pPr>
              <w:spacing w:after="0"/>
              <w:rPr>
                <w:sz w:val="11"/>
                <w:szCs w:val="11"/>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99"/>
        </w:trPr>
        <w:tc>
          <w:tcPr>
            <w:tcW w:w="16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8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 xml:space="preserve">672,411 </w:t>
      </w:r>
      <w:r>
        <w:rPr>
          <w:rFonts w:ascii="Arial" w:cs="Arial" w:eastAsia="Arial" w:hAnsi="Arial"/>
          <w:sz w:val="29"/>
          <w:szCs w:val="29"/>
          <w:b w:val="1"/>
          <w:bCs w:val="1"/>
          <w:color w:val="auto"/>
          <w:vertAlign w:val="superscript"/>
        </w:rPr>
        <w:t>(1)</w:t>
      </w:r>
    </w:p>
    <w:p>
      <w:pPr>
        <w:ind w:left="800" w:hanging="681"/>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672,411 </w:t>
      </w:r>
      <w:r>
        <w:rPr>
          <w:rFonts w:ascii="Arial" w:cs="Arial" w:eastAsia="Arial" w:hAnsi="Arial"/>
          <w:sz w:val="29"/>
          <w:szCs w:val="29"/>
          <w:b w:val="1"/>
          <w:bCs w:val="1"/>
          <w:color w:val="auto"/>
          <w:vertAlign w:val="superscript"/>
        </w:rPr>
        <w:t>(1)</w:t>
      </w:r>
    </w:p>
    <w:p>
      <w:pPr>
        <w:ind w:left="800" w:hanging="681"/>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22" w:lineRule="exact"/>
        <w:rPr>
          <w:rFonts w:ascii="Arial" w:cs="Arial" w:eastAsia="Arial" w:hAnsi="Arial"/>
          <w:sz w:val="18"/>
          <w:szCs w:val="18"/>
          <w:b w:val="1"/>
          <w:bCs w:val="1"/>
          <w:color w:val="auto"/>
        </w:rPr>
      </w:pPr>
    </w:p>
    <w:p>
      <w:pPr>
        <w:ind w:left="800" w:hanging="681"/>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2.7%</w:t>
      </w:r>
      <w:r>
        <w:rPr>
          <w:rFonts w:ascii="Arial" w:cs="Arial" w:eastAsia="Arial" w:hAnsi="Arial"/>
          <w:sz w:val="29"/>
          <w:szCs w:val="29"/>
          <w:b w:val="1"/>
          <w:bCs w:val="1"/>
          <w:color w:val="auto"/>
          <w:vertAlign w:val="superscript"/>
        </w:rPr>
        <w:t>(2)</w:t>
      </w:r>
    </w:p>
    <w:p>
      <w:pPr>
        <w:ind w:left="800" w:hanging="681"/>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8"/>
        <w:spacing w:after="0" w:line="268" w:lineRule="auto"/>
        <w:tabs>
          <w:tab w:leader="none" w:pos="22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Redmile Group, LLC’s beneficial ownership of the Issuer’s Common Stock (“Common Stock”) is comprised of 672,411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9" w:lineRule="exact"/>
        <w:rPr>
          <w:rFonts w:ascii="Arial" w:cs="Arial" w:eastAsia="Arial" w:hAnsi="Arial"/>
          <w:sz w:val="25"/>
          <w:szCs w:val="25"/>
          <w:color w:val="auto"/>
          <w:vertAlign w:val="superscript"/>
        </w:rPr>
      </w:pPr>
    </w:p>
    <w:p>
      <w:pPr>
        <w:ind w:right="560" w:firstLine="8"/>
        <w:spacing w:after="0" w:line="232" w:lineRule="auto"/>
        <w:tabs>
          <w:tab w:leader="none" w:pos="22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Percentage based on 24,925,118 shares of Common Stock outstanding as of November 5, 2021, as reported by the Issuer in its Form 10-Q for the quarterly period ended September 30, 2021 filed with the Securities and Exchange Commission on November 8, 2021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05380C102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886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pacing w:after="0" w:line="236" w:lineRule="exact"/>
        <w:rPr>
          <w:sz w:val="20"/>
          <w:szCs w:val="20"/>
          <w:color w:val="auto"/>
        </w:rPr>
      </w:pPr>
    </w:p>
    <w:p>
      <w:pPr>
        <w:ind w:left="800" w:hanging="681"/>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Jeremy C. Green</w:t>
      </w:r>
    </w:p>
    <w:p>
      <w:pPr>
        <w:spacing w:after="0" w:line="27" w:lineRule="exact"/>
        <w:rPr>
          <w:sz w:val="20"/>
          <w:szCs w:val="20"/>
          <w:color w:val="auto"/>
        </w:rPr>
      </w:pPr>
    </w:p>
    <w:p>
      <w:pPr>
        <w:ind w:left="800" w:hanging="681"/>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92"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58"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3" w:lineRule="exact"/>
        <w:rPr>
          <w:sz w:val="20"/>
          <w:szCs w:val="20"/>
          <w:color w:val="auto"/>
        </w:rPr>
      </w:pPr>
    </w:p>
    <w:p>
      <w:pPr>
        <w:ind w:left="800" w:hanging="681"/>
        <w:spacing w:after="0"/>
        <w:tabs>
          <w:tab w:leader="none" w:pos="8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5</w:t>
            </w:r>
          </w:p>
        </w:tc>
        <w:tc>
          <w:tcPr>
            <w:tcW w:w="8880" w:type="dxa"/>
            <w:vAlign w:val="bottom"/>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27"/>
        </w:trPr>
        <w:tc>
          <w:tcPr>
            <w:tcW w:w="164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8"/>
        </w:trPr>
        <w:tc>
          <w:tcPr>
            <w:tcW w:w="1640" w:type="dxa"/>
            <w:vAlign w:val="bottom"/>
            <w:vMerge w:val="continue"/>
          </w:tcPr>
          <w:p>
            <w:pPr>
              <w:spacing w:after="0"/>
              <w:rPr>
                <w:sz w:val="15"/>
                <w:szCs w:val="15"/>
                <w:color w:val="auto"/>
              </w:rPr>
            </w:pPr>
          </w:p>
        </w:tc>
        <w:tc>
          <w:tcPr>
            <w:tcW w:w="44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6</w:t>
            </w:r>
          </w:p>
        </w:tc>
        <w:tc>
          <w:tcPr>
            <w:tcW w:w="8880" w:type="dxa"/>
            <w:vAlign w:val="bottom"/>
          </w:tcPr>
          <w:p>
            <w:pPr>
              <w:ind w:left="220"/>
              <w:spacing w:after="0" w:line="177"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20"/>
                <w:szCs w:val="20"/>
                <w:color w:val="auto"/>
              </w:rPr>
            </w:pPr>
          </w:p>
        </w:tc>
        <w:tc>
          <w:tcPr>
            <w:tcW w:w="8880" w:type="dxa"/>
            <w:vAlign w:val="bottom"/>
          </w:tcPr>
          <w:p>
            <w:pPr>
              <w:ind w:left="220"/>
              <w:spacing w:after="0" w:line="235" w:lineRule="exact"/>
              <w:rPr>
                <w:sz w:val="20"/>
                <w:szCs w:val="20"/>
                <w:color w:val="auto"/>
              </w:rPr>
            </w:pPr>
            <w:r>
              <w:rPr>
                <w:rFonts w:ascii="Arial" w:cs="Arial" w:eastAsia="Arial" w:hAnsi="Arial"/>
                <w:sz w:val="17"/>
                <w:szCs w:val="17"/>
                <w:b w:val="1"/>
                <w:bCs w:val="1"/>
                <w:color w:val="auto"/>
              </w:rPr>
              <w:t xml:space="preserve">672,411 </w:t>
            </w:r>
            <w:r>
              <w:rPr>
                <w:rFonts w:ascii="Arial" w:cs="Arial" w:eastAsia="Arial" w:hAnsi="Arial"/>
                <w:sz w:val="27"/>
                <w:szCs w:val="27"/>
                <w:b w:val="1"/>
                <w:bCs w:val="1"/>
                <w:color w:val="auto"/>
                <w:vertAlign w:val="superscript"/>
              </w:rPr>
              <w:t>(3)</w:t>
            </w:r>
          </w:p>
        </w:tc>
        <w:tc>
          <w:tcPr>
            <w:tcW w:w="0" w:type="dxa"/>
            <w:vAlign w:val="bottom"/>
          </w:tcPr>
          <w:p>
            <w:pPr>
              <w:spacing w:after="0"/>
              <w:rPr>
                <w:sz w:val="1"/>
                <w:szCs w:val="1"/>
                <w:color w:val="auto"/>
              </w:rPr>
            </w:pPr>
          </w:p>
        </w:tc>
      </w:tr>
      <w:tr>
        <w:trPr>
          <w:trHeight w:val="54"/>
        </w:trPr>
        <w:tc>
          <w:tcPr>
            <w:tcW w:w="1640" w:type="dxa"/>
            <w:vAlign w:val="bottom"/>
            <w:vMerge w:val="restart"/>
          </w:tcPr>
          <w:p>
            <w:pPr>
              <w:jc w:val="center"/>
              <w:ind w:right="210"/>
              <w:spacing w:after="0" w:line="198" w:lineRule="exact"/>
              <w:rPr>
                <w:sz w:val="20"/>
                <w:szCs w:val="20"/>
                <w:color w:val="auto"/>
              </w:rPr>
            </w:pPr>
            <w:r>
              <w:rPr>
                <w:rFonts w:ascii="Arial" w:cs="Arial" w:eastAsia="Arial" w:hAnsi="Arial"/>
                <w:sz w:val="18"/>
                <w:szCs w:val="18"/>
                <w:b w:val="1"/>
                <w:bCs w:val="1"/>
                <w:color w:val="auto"/>
                <w:w w:val="98"/>
              </w:rPr>
              <w:t>OWNED BY</w:t>
            </w:r>
          </w:p>
        </w:tc>
        <w:tc>
          <w:tcPr>
            <w:tcW w:w="440" w:type="dxa"/>
            <w:vAlign w:val="bottom"/>
            <w:tcBorders>
              <w:bottom w:val="single" w:sz="8" w:color="auto"/>
            </w:tcBorders>
          </w:tcPr>
          <w:p>
            <w:pPr>
              <w:spacing w:after="0"/>
              <w:rPr>
                <w:sz w:val="4"/>
                <w:szCs w:val="4"/>
                <w:color w:val="auto"/>
              </w:rPr>
            </w:pPr>
          </w:p>
        </w:tc>
        <w:tc>
          <w:tcPr>
            <w:tcW w:w="8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640" w:type="dxa"/>
            <w:vAlign w:val="bottom"/>
            <w:vMerge w:val="continue"/>
          </w:tcPr>
          <w:p>
            <w:pPr>
              <w:spacing w:after="0"/>
              <w:rPr>
                <w:sz w:val="10"/>
                <w:szCs w:val="10"/>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04"/>
        </w:trPr>
        <w:tc>
          <w:tcPr>
            <w:tcW w:w="16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EACH</w:t>
            </w:r>
          </w:p>
        </w:tc>
        <w:tc>
          <w:tcPr>
            <w:tcW w:w="440" w:type="dxa"/>
            <w:vAlign w:val="bottom"/>
            <w:vMerge w:val="continue"/>
          </w:tcPr>
          <w:p>
            <w:pPr>
              <w:spacing w:after="0"/>
              <w:rPr>
                <w:sz w:val="9"/>
                <w:szCs w:val="9"/>
                <w:color w:val="auto"/>
              </w:rPr>
            </w:pPr>
          </w:p>
        </w:tc>
        <w:tc>
          <w:tcPr>
            <w:tcW w:w="8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8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88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6"/>
        </w:trPr>
        <w:tc>
          <w:tcPr>
            <w:tcW w:w="16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PERSON WITH</w:t>
            </w:r>
          </w:p>
        </w:tc>
        <w:tc>
          <w:tcPr>
            <w:tcW w:w="440" w:type="dxa"/>
            <w:vAlign w:val="bottom"/>
            <w:tcBorders>
              <w:bottom w:val="single" w:sz="8" w:color="auto"/>
            </w:tcBorders>
          </w:tcPr>
          <w:p>
            <w:pPr>
              <w:spacing w:after="0"/>
              <w:rPr>
                <w:sz w:val="7"/>
                <w:szCs w:val="7"/>
                <w:color w:val="auto"/>
              </w:rPr>
            </w:pPr>
          </w:p>
        </w:tc>
        <w:tc>
          <w:tcPr>
            <w:tcW w:w="8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640" w:type="dxa"/>
            <w:vAlign w:val="bottom"/>
            <w:vMerge w:val="continue"/>
          </w:tcPr>
          <w:p>
            <w:pPr>
              <w:spacing w:after="0"/>
              <w:rPr>
                <w:sz w:val="11"/>
                <w:szCs w:val="11"/>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99"/>
        </w:trPr>
        <w:tc>
          <w:tcPr>
            <w:tcW w:w="16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8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 xml:space="preserve">672,411 </w:t>
      </w:r>
      <w:r>
        <w:rPr>
          <w:rFonts w:ascii="Arial" w:cs="Arial" w:eastAsia="Arial" w:hAnsi="Arial"/>
          <w:sz w:val="29"/>
          <w:szCs w:val="29"/>
          <w:b w:val="1"/>
          <w:bCs w:val="1"/>
          <w:color w:val="auto"/>
          <w:vertAlign w:val="superscript"/>
        </w:rPr>
        <w:t>(3)</w:t>
      </w:r>
    </w:p>
    <w:p>
      <w:pPr>
        <w:ind w:left="800" w:hanging="681"/>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672,411 </w:t>
      </w:r>
      <w:r>
        <w:rPr>
          <w:rFonts w:ascii="Arial" w:cs="Arial" w:eastAsia="Arial" w:hAnsi="Arial"/>
          <w:sz w:val="29"/>
          <w:szCs w:val="29"/>
          <w:b w:val="1"/>
          <w:bCs w:val="1"/>
          <w:color w:val="auto"/>
          <w:vertAlign w:val="superscript"/>
        </w:rPr>
        <w:t>(3)</w:t>
      </w:r>
    </w:p>
    <w:p>
      <w:pPr>
        <w:ind w:left="800" w:hanging="681"/>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22" w:lineRule="exact"/>
        <w:rPr>
          <w:rFonts w:ascii="Arial" w:cs="Arial" w:eastAsia="Arial" w:hAnsi="Arial"/>
          <w:sz w:val="18"/>
          <w:szCs w:val="18"/>
          <w:b w:val="1"/>
          <w:bCs w:val="1"/>
          <w:color w:val="auto"/>
        </w:rPr>
      </w:pPr>
    </w:p>
    <w:p>
      <w:pPr>
        <w:ind w:left="800" w:hanging="681"/>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2.7%</w:t>
      </w:r>
      <w:r>
        <w:rPr>
          <w:rFonts w:ascii="Arial" w:cs="Arial" w:eastAsia="Arial" w:hAnsi="Arial"/>
          <w:sz w:val="29"/>
          <w:szCs w:val="29"/>
          <w:b w:val="1"/>
          <w:bCs w:val="1"/>
          <w:color w:val="auto"/>
          <w:vertAlign w:val="superscript"/>
        </w:rPr>
        <w:t>(4)</w:t>
      </w:r>
    </w:p>
    <w:p>
      <w:pPr>
        <w:ind w:left="800" w:hanging="681"/>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8"/>
        <w:spacing w:after="0" w:line="268" w:lineRule="auto"/>
        <w:tabs>
          <w:tab w:leader="none" w:pos="22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Jeremy C. Green’s beneficial ownership of Common Stock is comprised of 672,411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 w:lineRule="exact"/>
        <w:rPr>
          <w:rFonts w:ascii="Arial" w:cs="Arial" w:eastAsia="Arial" w:hAnsi="Arial"/>
          <w:sz w:val="25"/>
          <w:szCs w:val="25"/>
          <w:color w:val="auto"/>
          <w:vertAlign w:val="superscript"/>
        </w:rPr>
      </w:pPr>
    </w:p>
    <w:p>
      <w:pPr>
        <w:ind w:left="220" w:hanging="212"/>
        <w:spacing w:after="0" w:line="205" w:lineRule="auto"/>
        <w:tabs>
          <w:tab w:leader="none" w:pos="22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Percentage based on 24,925,118 shares of Common Stock outstanding as of November 5, 2021, as reported by the Issuer in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980" w:right="7639" w:hanging="648"/>
        <w:spacing w:after="0" w:line="530"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Name of Issuer AVITA Medical, Inc.</w:t>
      </w: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28159 Avenue Stanford, Suite 220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Valencia, California 91355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Persons Filing</w:t>
      </w:r>
    </w:p>
    <w:p>
      <w:pPr>
        <w:spacing w:after="0" w:line="225" w:lineRule="exact"/>
        <w:rPr>
          <w:rFonts w:ascii="Arial" w:cs="Arial" w:eastAsia="Arial" w:hAnsi="Arial"/>
          <w:sz w:val="18"/>
          <w:szCs w:val="18"/>
          <w:color w:val="auto"/>
        </w:rPr>
      </w:pPr>
    </w:p>
    <w:p>
      <w:pPr>
        <w:ind w:left="980" w:right="7619"/>
        <w:spacing w:after="0" w:line="342" w:lineRule="auto"/>
        <w:rPr>
          <w:rFonts w:ascii="Arial" w:cs="Arial" w:eastAsia="Arial" w:hAnsi="Arial"/>
          <w:sz w:val="18"/>
          <w:szCs w:val="18"/>
          <w:color w:val="auto"/>
        </w:rPr>
      </w:pPr>
      <w:r>
        <w:rPr>
          <w:rFonts w:ascii="Arial" w:cs="Arial" w:eastAsia="Arial" w:hAnsi="Arial"/>
          <w:sz w:val="16"/>
          <w:szCs w:val="16"/>
          <w:color w:val="auto"/>
        </w:rPr>
        <w:t>Redmile Group, LLC Jeremy C. Green</w:t>
      </w:r>
    </w:p>
    <w:p>
      <w:pPr>
        <w:spacing w:after="0" w:line="123"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980" w:right="6839"/>
        <w:spacing w:after="0" w:line="257" w:lineRule="auto"/>
        <w:rPr>
          <w:rFonts w:ascii="Arial" w:cs="Arial" w:eastAsia="Arial" w:hAnsi="Arial"/>
          <w:sz w:val="18"/>
          <w:szCs w:val="18"/>
          <w:color w:val="auto"/>
        </w:rPr>
      </w:pPr>
      <w:r>
        <w:rPr>
          <w:rFonts w:ascii="Arial" w:cs="Arial" w:eastAsia="Arial" w:hAnsi="Arial"/>
          <w:sz w:val="18"/>
          <w:szCs w:val="18"/>
          <w:color w:val="auto"/>
        </w:rPr>
        <w:t>Redmile Group, LLC One Letterman Drive Building D, Suite D3-300 The Presidio of San Francisco San Francisco, California 94129</w:t>
      </w:r>
    </w:p>
    <w:p>
      <w:pPr>
        <w:spacing w:after="0" w:line="18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Jeremy C. Green</w:t>
      </w:r>
    </w:p>
    <w:p>
      <w:pPr>
        <w:spacing w:after="0" w:line="23" w:lineRule="exact"/>
        <w:rPr>
          <w:rFonts w:ascii="Arial" w:cs="Arial" w:eastAsia="Arial" w:hAnsi="Arial"/>
          <w:sz w:val="18"/>
          <w:szCs w:val="18"/>
          <w:color w:val="auto"/>
        </w:rPr>
      </w:pPr>
    </w:p>
    <w:p>
      <w:pPr>
        <w:ind w:left="980" w:right="6839"/>
        <w:spacing w:after="0" w:line="271" w:lineRule="auto"/>
        <w:rPr>
          <w:rFonts w:ascii="Arial" w:cs="Arial" w:eastAsia="Arial" w:hAnsi="Arial"/>
          <w:sz w:val="18"/>
          <w:szCs w:val="18"/>
          <w:color w:val="auto"/>
        </w:rPr>
      </w:pPr>
      <w:r>
        <w:rPr>
          <w:rFonts w:ascii="Arial" w:cs="Arial" w:eastAsia="Arial" w:hAnsi="Arial"/>
          <w:sz w:val="17"/>
          <w:szCs w:val="17"/>
          <w:color w:val="auto"/>
        </w:rPr>
        <w:t>c/o Redmile Group, LLC One Letterman Drive Building D, Suite D3-300 The Presidio of San Francisco San Francisco, California 94129</w:t>
      </w:r>
    </w:p>
    <w:p>
      <w:pPr>
        <w:spacing w:after="0" w:line="178"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Redmile Group, LLC: Delaware</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Jeremy C. Green: United Kingdom</w:t>
      </w:r>
    </w:p>
    <w:p>
      <w:pPr>
        <w:spacing w:after="0" w:line="210" w:lineRule="exact"/>
        <w:rPr>
          <w:rFonts w:ascii="Arial" w:cs="Arial" w:eastAsia="Arial" w:hAnsi="Arial"/>
          <w:sz w:val="18"/>
          <w:szCs w:val="18"/>
          <w:color w:val="auto"/>
        </w:rPr>
      </w:pPr>
    </w:p>
    <w:p>
      <w:pPr>
        <w:ind w:left="980" w:right="6659" w:hanging="648"/>
        <w:spacing w:after="0" w:line="563"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Title of Class of Securities Common Stock, $0.0001 par value</w:t>
      </w:r>
    </w:p>
    <w:p>
      <w:pPr>
        <w:ind w:left="980" w:right="8019" w:hanging="648"/>
        <w:spacing w:after="0" w:line="560"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CUSIP Number 05380C102</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196" w:lineRule="exact"/>
        <w:rPr>
          <w:sz w:val="20"/>
          <w:szCs w:val="20"/>
          <w:color w:val="auto"/>
        </w:rPr>
      </w:pPr>
    </w:p>
    <w:p>
      <w:pPr>
        <w:ind w:left="1620" w:hanging="640"/>
        <w:spacing w:after="0" w:line="207" w:lineRule="exact"/>
        <w:tabs>
          <w:tab w:leader="none" w:pos="162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ind w:left="1620" w:hanging="640"/>
        <w:spacing w:after="0" w:line="207" w:lineRule="exact"/>
        <w:tabs>
          <w:tab w:leader="none" w:pos="162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980"/>
        <w:spacing w:after="0" w:line="239" w:lineRule="exact"/>
        <w:tabs>
          <w:tab w:leader="none" w:pos="1636"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960" w:right="140" w:hanging="980"/>
        <w:spacing w:after="0" w:line="239" w:lineRule="exact"/>
        <w:tabs>
          <w:tab w:leader="none" w:pos="1636"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 (J), please specify the type of institution: __________</w:t>
      </w:r>
    </w:p>
    <w:p>
      <w:pPr>
        <w:spacing w:after="0" w:line="1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620" w:right="7140"/>
        <w:spacing w:after="0" w:line="308" w:lineRule="auto"/>
        <w:rPr>
          <w:rFonts w:ascii="Arial" w:cs="Arial" w:eastAsia="Arial" w:hAnsi="Arial"/>
          <w:sz w:val="18"/>
          <w:szCs w:val="18"/>
          <w:color w:val="auto"/>
        </w:rPr>
      </w:pPr>
      <w:r>
        <w:rPr>
          <w:rFonts w:ascii="Arial" w:cs="Arial" w:eastAsia="Arial" w:hAnsi="Arial"/>
          <w:sz w:val="17"/>
          <w:szCs w:val="17"/>
          <w:color w:val="auto"/>
        </w:rPr>
        <w:t>Redmile Group, LLC – 672,411 * Jeremy C. Green – 672,411 *</w:t>
      </w:r>
    </w:p>
    <w:p>
      <w:pPr>
        <w:spacing w:after="0" w:line="146" w:lineRule="exact"/>
        <w:rPr>
          <w:rFonts w:ascii="Arial" w:cs="Arial" w:eastAsia="Arial" w:hAnsi="Arial"/>
          <w:sz w:val="18"/>
          <w:szCs w:val="18"/>
          <w:color w:val="auto"/>
        </w:rPr>
      </w:pPr>
    </w:p>
    <w:p>
      <w:pPr>
        <w:ind w:left="1620" w:hanging="64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620" w:right="7300"/>
        <w:spacing w:after="0" w:line="308" w:lineRule="auto"/>
        <w:rPr>
          <w:rFonts w:ascii="Arial" w:cs="Arial" w:eastAsia="Arial" w:hAnsi="Arial"/>
          <w:sz w:val="18"/>
          <w:szCs w:val="18"/>
          <w:color w:val="auto"/>
        </w:rPr>
      </w:pPr>
      <w:r>
        <w:rPr>
          <w:rFonts w:ascii="Arial" w:cs="Arial" w:eastAsia="Arial" w:hAnsi="Arial"/>
          <w:sz w:val="17"/>
          <w:szCs w:val="17"/>
          <w:color w:val="auto"/>
        </w:rPr>
        <w:t>Redmile Group, LLC – 2.7%** Jeremy C. Green – 2.7%**</w:t>
      </w:r>
    </w:p>
    <w:p>
      <w:pPr>
        <w:spacing w:after="0" w:line="146" w:lineRule="exact"/>
        <w:rPr>
          <w:rFonts w:ascii="Arial" w:cs="Arial" w:eastAsia="Arial" w:hAnsi="Arial"/>
          <w:sz w:val="18"/>
          <w:szCs w:val="18"/>
          <w:color w:val="auto"/>
        </w:rPr>
      </w:pPr>
    </w:p>
    <w:p>
      <w:pPr>
        <w:ind w:left="1620" w:hanging="64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Redmile Group, LLC has:</w:t>
      </w:r>
    </w:p>
    <w:p>
      <w:pPr>
        <w:spacing w:after="0" w:line="225" w:lineRule="exact"/>
        <w:rPr>
          <w:rFonts w:ascii="Arial" w:cs="Arial" w:eastAsia="Arial" w:hAnsi="Arial"/>
          <w:sz w:val="18"/>
          <w:szCs w:val="18"/>
          <w:color w:val="auto"/>
        </w:rPr>
      </w:pPr>
    </w:p>
    <w:p>
      <w:pPr>
        <w:ind w:left="2280" w:right="6060" w:hanging="652"/>
        <w:spacing w:after="0" w:line="500" w:lineRule="auto"/>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2280" w:hanging="652"/>
        <w:spacing w:after="0"/>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672,411 *</w:t>
      </w:r>
    </w:p>
    <w:p>
      <w:pPr>
        <w:spacing w:after="0" w:line="225" w:lineRule="exact"/>
        <w:rPr>
          <w:rFonts w:ascii="Arial" w:cs="Arial" w:eastAsia="Arial" w:hAnsi="Arial"/>
          <w:sz w:val="18"/>
          <w:szCs w:val="18"/>
          <w:color w:val="auto"/>
        </w:rPr>
      </w:pPr>
    </w:p>
    <w:p>
      <w:pPr>
        <w:ind w:left="2280" w:right="5160" w:hanging="652"/>
        <w:spacing w:after="0" w:line="500" w:lineRule="auto"/>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2280" w:right="4980" w:hanging="652"/>
        <w:spacing w:after="0" w:line="527" w:lineRule="auto"/>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672,411*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3" w:right="379" w:bottom="1440" w:gutter="0" w:footer="0" w:header="0"/>
        </w:sectPr>
      </w:pPr>
    </w:p>
    <w:bookmarkStart w:id="5" w:name="page6"/>
    <w:bookmarkEnd w:id="5"/>
    <w:p>
      <w:pPr>
        <w:ind w:left="980"/>
        <w:spacing w:after="0"/>
        <w:rPr>
          <w:sz w:val="20"/>
          <w:szCs w:val="20"/>
          <w:color w:val="auto"/>
        </w:rPr>
      </w:pPr>
      <w:r>
        <w:rPr>
          <w:rFonts w:ascii="Arial" w:cs="Arial" w:eastAsia="Arial" w:hAnsi="Arial"/>
          <w:sz w:val="18"/>
          <w:szCs w:val="18"/>
          <w:color w:val="auto"/>
        </w:rPr>
        <w:t>Number of shares as to which Jeremy C. Green has:</w:t>
      </w:r>
    </w:p>
    <w:p>
      <w:pPr>
        <w:spacing w:after="0" w:line="225" w:lineRule="exact"/>
        <w:rPr>
          <w:sz w:val="20"/>
          <w:szCs w:val="20"/>
          <w:color w:val="auto"/>
        </w:rPr>
      </w:pPr>
    </w:p>
    <w:p>
      <w:pPr>
        <w:ind w:left="2280" w:right="6080" w:hanging="652"/>
        <w:spacing w:after="0" w:line="500" w:lineRule="auto"/>
        <w:tabs>
          <w:tab w:leader="none" w:pos="22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2280" w:right="5900" w:hanging="652"/>
        <w:spacing w:after="0" w:line="500" w:lineRule="auto"/>
        <w:tabs>
          <w:tab w:leader="none" w:pos="22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power to vote or to direct the vote: 672,411*</w:t>
      </w:r>
    </w:p>
    <w:p>
      <w:pPr>
        <w:spacing w:after="0" w:line="1" w:lineRule="exact"/>
        <w:rPr>
          <w:rFonts w:ascii="Arial" w:cs="Arial" w:eastAsia="Arial" w:hAnsi="Arial"/>
          <w:sz w:val="18"/>
          <w:szCs w:val="18"/>
          <w:color w:val="auto"/>
        </w:rPr>
      </w:pPr>
    </w:p>
    <w:p>
      <w:pPr>
        <w:ind w:left="2280" w:right="5180" w:hanging="652"/>
        <w:spacing w:after="0" w:line="500" w:lineRule="auto"/>
        <w:tabs>
          <w:tab w:leader="none" w:pos="22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2280" w:right="5000" w:hanging="652"/>
        <w:spacing w:after="0" w:line="500" w:lineRule="auto"/>
        <w:tabs>
          <w:tab w:leader="none" w:pos="22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672,411*</w:t>
      </w:r>
    </w:p>
    <w:p>
      <w:pPr>
        <w:spacing w:after="0" w:line="1" w:lineRule="exact"/>
        <w:rPr>
          <w:rFonts w:ascii="Arial" w:cs="Arial" w:eastAsia="Arial" w:hAnsi="Arial"/>
          <w:sz w:val="18"/>
          <w:szCs w:val="18"/>
          <w:color w:val="auto"/>
        </w:rPr>
      </w:pPr>
    </w:p>
    <w:p>
      <w:pPr>
        <w:ind w:left="1580" w:right="20" w:hanging="270"/>
        <w:spacing w:after="0" w:line="286" w:lineRule="auto"/>
        <w:rPr>
          <w:rFonts w:ascii="Arial" w:cs="Arial" w:eastAsia="Arial" w:hAnsi="Arial"/>
          <w:sz w:val="18"/>
          <w:szCs w:val="18"/>
          <w:color w:val="auto"/>
        </w:rPr>
      </w:pPr>
      <w:r>
        <w:rPr>
          <w:rFonts w:ascii="Arial" w:cs="Arial" w:eastAsia="Arial" w:hAnsi="Arial"/>
          <w:sz w:val="16"/>
          <w:szCs w:val="16"/>
          <w:color w:val="auto"/>
        </w:rPr>
        <w:t>* Redmile Group, LLC’s and Jeremy C. Green’s beneficial ownership of the Issuer’s Common Stock is comprised of 672,411 shares of Common Stock owned by certain private investment vehicles and/or separately managed accounts managed by Redmile Group, LLC, which shares of Common Stock may be deemed beneficially owned by Redmile Group, LLC as investment manager of such private investment vehicles and/or separately managed accounts. The reported securities may also be deemed beneficially owned by Jeremy</w:t>
      </w:r>
    </w:p>
    <w:p>
      <w:pPr>
        <w:spacing w:after="0" w:line="1" w:lineRule="exact"/>
        <w:rPr>
          <w:rFonts w:ascii="Arial" w:cs="Arial" w:eastAsia="Arial" w:hAnsi="Arial"/>
          <w:sz w:val="18"/>
          <w:szCs w:val="18"/>
          <w:color w:val="auto"/>
        </w:rPr>
      </w:pPr>
    </w:p>
    <w:p>
      <w:pPr>
        <w:ind w:left="1580" w:right="160" w:hanging="6"/>
        <w:spacing w:after="0" w:line="260" w:lineRule="auto"/>
        <w:tabs>
          <w:tab w:leader="none" w:pos="17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Green as the principal of Redmile Group, LLC. Redmile Group, LLC and Mr. Green each disclaim beneficial ownership of these shares, except to the extent of its or his pecuniary interest in such shares, if any.</w:t>
      </w:r>
    </w:p>
    <w:p>
      <w:pPr>
        <w:spacing w:after="0" w:line="185" w:lineRule="exact"/>
        <w:rPr>
          <w:rFonts w:ascii="Arial" w:cs="Arial" w:eastAsia="Arial" w:hAnsi="Arial"/>
          <w:sz w:val="18"/>
          <w:szCs w:val="18"/>
          <w:color w:val="auto"/>
        </w:rPr>
      </w:pPr>
    </w:p>
    <w:p>
      <w:pPr>
        <w:ind w:left="1580" w:hanging="276"/>
        <w:spacing w:after="0" w:line="277" w:lineRule="auto"/>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Percentage based on 24,925,118 shares of Common Stock outstanding as of November 5, 2021, as reported by the Issuer in the Form 10-Q.</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980" w:right="1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the response to Item 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Redmile Group,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Jeremy C. Green</w:t>
            </w:r>
          </w:p>
        </w:tc>
      </w:tr>
      <w:tr>
        <w:trPr>
          <w:trHeight w:val="195"/>
        </w:trPr>
        <w:tc>
          <w:tcPr>
            <w:tcW w:w="6200" w:type="dxa"/>
            <w:vAlign w:val="bottom"/>
          </w:tcPr>
          <w:p>
            <w:pPr>
              <w:spacing w:after="0"/>
              <w:rPr>
                <w:sz w:val="16"/>
                <w:szCs w:val="16"/>
                <w:color w:val="auto"/>
              </w:rPr>
            </w:pPr>
          </w:p>
        </w:tc>
        <w:tc>
          <w:tcPr>
            <w:tcW w:w="5040" w:type="dxa"/>
            <w:vAlign w:val="bottom"/>
          </w:tcPr>
          <w:p>
            <w:pPr>
              <w:ind w:left="100"/>
              <w:spacing w:after="0" w:line="195" w:lineRule="exact"/>
              <w:rPr>
                <w:sz w:val="20"/>
                <w:szCs w:val="20"/>
                <w:color w:val="auto"/>
              </w:rPr>
            </w:pPr>
            <w:r>
              <w:rPr>
                <w:rFonts w:ascii="Arial" w:cs="Arial" w:eastAsia="Arial" w:hAnsi="Arial"/>
                <w:sz w:val="18"/>
                <w:szCs w:val="18"/>
                <w:color w:val="auto"/>
              </w:rPr>
              <w:t>Name: Jeremy C. Green</w:t>
            </w:r>
          </w:p>
        </w:tc>
      </w:tr>
      <w:tr>
        <w:trPr>
          <w:trHeight w:val="230"/>
        </w:trPr>
        <w:tc>
          <w:tcPr>
            <w:tcW w:w="6200" w:type="dxa"/>
            <w:vAlign w:val="bottom"/>
          </w:tcPr>
          <w:p>
            <w:pPr>
              <w:spacing w:after="0"/>
              <w:rPr>
                <w:sz w:val="20"/>
                <w:szCs w:val="20"/>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Title: Managing Member</w:t>
            </w:r>
          </w:p>
        </w:tc>
      </w:tr>
      <w:tr>
        <w:trPr>
          <w:trHeight w:val="432"/>
        </w:trPr>
        <w:tc>
          <w:tcPr>
            <w:tcW w:w="620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Jeremy C. Green</w:t>
            </w:r>
          </w:p>
        </w:tc>
      </w:tr>
      <w:tr>
        <w:trPr>
          <w:trHeight w:val="228"/>
        </w:trPr>
        <w:tc>
          <w:tcPr>
            <w:tcW w:w="620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Arial" w:cs="Arial" w:eastAsia="Arial" w:hAnsi="Arial"/>
                <w:sz w:val="18"/>
                <w:szCs w:val="18"/>
                <w:b w:val="1"/>
                <w:bCs w:val="1"/>
                <w:color w:val="auto"/>
              </w:rPr>
              <w:t>Jeremy C. Green</w:t>
            </w:r>
          </w:p>
        </w:tc>
      </w:tr>
      <w:tr>
        <w:trPr>
          <w:trHeight w:val="657"/>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undersigned hereby agree to the joint filing on behalf of each of them of a Statement on Schedule 13G (including any and all amendments thereto, the “</w:t>
      </w:r>
      <w:r>
        <w:rPr>
          <w:rFonts w:ascii="Arial" w:cs="Arial" w:eastAsia="Arial" w:hAnsi="Arial"/>
          <w:sz w:val="18"/>
          <w:szCs w:val="18"/>
          <w:u w:val="single" w:color="auto"/>
          <w:color w:val="auto"/>
        </w:rPr>
        <w:t>Schedule 13G</w:t>
      </w:r>
      <w:r>
        <w:rPr>
          <w:rFonts w:ascii="Arial" w:cs="Arial" w:eastAsia="Arial" w:hAnsi="Arial"/>
          <w:sz w:val="18"/>
          <w:szCs w:val="18"/>
          <w:color w:val="auto"/>
        </w:rPr>
        <w:t>”) relating to the Common Stock, $0.0001 par value per share, of AVITA Medical, Inc., which may be deemed necessary pursuant to Regulation 13D or 13G promulgated under the Exchange Act.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understood and agreed that a copy of this Joint Filing Agreement shall be attached as an exhibit to the Schedule 13G, filed on behalf of each of the parties 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this Joint Filing Agreement as of the 14th day of February, 2022.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REDMILE GROUP,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lvl w:ilvl="1">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2"/>
      <w:numFmt w:val="bullet"/>
      <w:start w:val="1"/>
    </w:lvl>
  </w:abstractNum>
  <w:abstractNum w:abstractNumId="4">
    <w:nsid w:val="1BEFD79F"/>
    <w:multiLevelType w:val="hybridMultilevel"/>
    <w:lvl w:ilvl="0">
      <w:lvlJc w:val="left"/>
      <w:lvlText w:val="3"/>
      <w:numFmt w:val="bullet"/>
      <w:start w:val="1"/>
    </w:lvl>
  </w:abstractNum>
  <w:abstractNum w:abstractNumId="5">
    <w:nsid w:val="41A7C4C9"/>
    <w:multiLevelType w:val="hybridMultilevel"/>
    <w:lvl w:ilvl="0">
      <w:lvlJc w:val="left"/>
      <w:lvlText w:val="4"/>
      <w:numFmt w:val="bullet"/>
      <w:start w:val="1"/>
    </w:lvl>
  </w:abstractNum>
  <w:abstractNum w:abstractNumId="6">
    <w:nsid w:val="6B68079A"/>
    <w:multiLevelType w:val="hybridMultilevel"/>
    <w:lvl w:ilvl="0">
      <w:lvlJc w:val="left"/>
      <w:lvlText w:val="9"/>
      <w:numFmt w:val="bullet"/>
      <w:start w:val="1"/>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1"/>
      <w:numFmt w:val="decimal"/>
      <w:start w:val="12"/>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bullet"/>
      <w:start w:val="1"/>
    </w:lvl>
  </w:abstractNum>
  <w:abstractNum w:abstractNumId="11">
    <w:nsid w:val="3F2DBA31"/>
    <w:multiLevelType w:val="hybridMultilevel"/>
    <w:lvl w:ilvl="0">
      <w:lvlJc w:val="left"/>
      <w:lvlText w:val="2"/>
      <w:numFmt w:val="bullet"/>
      <w:start w:val="1"/>
    </w:lvl>
  </w:abstractNum>
  <w:abstractNum w:abstractNumId="12">
    <w:nsid w:val="7C83E458"/>
    <w:multiLevelType w:val="hybridMultilevel"/>
    <w:lvl w:ilvl="0">
      <w:lvlJc w:val="left"/>
      <w:lvlText w:val="3"/>
      <w:numFmt w:val="bullet"/>
      <w:start w:val="1"/>
    </w:lvl>
  </w:abstractNum>
  <w:abstractNum w:abstractNumId="13">
    <w:nsid w:val="257130A3"/>
    <w:multiLevelType w:val="hybridMultilevel"/>
    <w:lvl w:ilvl="0">
      <w:lvlJc w:val="left"/>
      <w:lvlText w:val="9"/>
      <w:numFmt w:val="bullet"/>
      <w:start w:val="1"/>
    </w:lvl>
  </w:abstractNum>
  <w:abstractNum w:abstractNumId="14">
    <w:nsid w:val="62BBD95A"/>
    <w:multiLevelType w:val="hybridMultilevel"/>
    <w:lvl w:ilvl="0">
      <w:lvlJc w:val="left"/>
      <w:lvlText w:val="%1"/>
      <w:numFmt w:val="decimal"/>
      <w:start w:val="10"/>
    </w:lvl>
  </w:abstractNum>
  <w:abstractNum w:abstractNumId="15">
    <w:nsid w:val="436C6125"/>
    <w:multiLevelType w:val="hybridMultilevel"/>
    <w:lvl w:ilvl="0">
      <w:lvlJc w:val="left"/>
      <w:lvlText w:val="%1"/>
      <w:numFmt w:val="decimal"/>
      <w:start w:val="12"/>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4"/>
    </w:lvl>
  </w:abstractNum>
  <w:abstractNum w:abstractNumId="21">
    <w:nsid w:val="6763845E"/>
    <w:multiLevelType w:val="hybridMultilevel"/>
    <w:lvl w:ilvl="0">
      <w:lvlJc w:val="left"/>
      <w:lvlText w:val="(%1)"/>
      <w:numFmt w:val="lowerLetter"/>
      <w:start w:val="1"/>
    </w:lvl>
    <w:lvl w:ilvl="1">
      <w:lvlJc w:val="left"/>
      <w:lvlText w:val="(%2)"/>
      <w:numFmt w:val="lowerRoman"/>
      <w:start w:val="1"/>
    </w:lvl>
  </w:abstractNum>
  <w:abstractNum w:abstractNumId="22">
    <w:nsid w:val="75A2A8D4"/>
    <w:multiLevelType w:val="hybridMultilevel"/>
    <w:lvl w:ilvl="0">
      <w:lvlJc w:val="left"/>
      <w:lvlText w:val="*"/>
      <w:numFmt w:val="bullet"/>
      <w:start w:val="1"/>
    </w:lvl>
    <w:lvl w:ilvl="1">
      <w:lvlJc w:val="left"/>
      <w:lvlText w:val="%2"/>
      <w:numFmt w:val="upperLetter"/>
      <w:start w:val="1"/>
    </w:lvl>
    <w:lvl w:ilvl="2">
      <w:lvlJc w:val="left"/>
      <w:lvlText w:val="(%3)"/>
      <w:numFmt w:val="lowerRoman"/>
      <w:start w:val="1"/>
    </w:lvl>
  </w:abstractNum>
  <w:abstractNum w:abstractNumId="23">
    <w:nsid w:val="8EDBDAB"/>
    <w:multiLevelType w:val="hybridMultilevel"/>
    <w:lvl w:ilvl="0">
      <w:lvlJc w:val="left"/>
      <w:lvlText w:val="*"/>
      <w:numFmt w:val="bullet"/>
      <w:start w:val="1"/>
    </w:lvl>
    <w:lvl w:ilvl="1">
      <w:lvlJc w:val="left"/>
      <w:lvlText w:val="%2."/>
      <w:numFmt w:val="upperLetter"/>
      <w:start w:val="3"/>
    </w:lvl>
    <w:lvl w:ilvl="2">
      <w:lvlJc w:val="left"/>
      <w:lvlText w:val="%3"/>
      <w:numFmt w:val="lowerRoman"/>
      <w:start w:val="1"/>
    </w:lvl>
  </w:abstractNum>
  <w:abstractNum w:abstractNumId="24">
    <w:nsid w:val="79838CB2"/>
    <w:multiLevelType w:val="hybridMultilevel"/>
    <w:lvl w:ilvl="0">
      <w:lvlJc w:val="left"/>
      <w:lvlText w:val="**"/>
      <w:numFmt w:val="bullet"/>
      <w:start w:val="1"/>
    </w:lvl>
    <w:lvl w:ilvl="1">
      <w:lvlJc w:val="left"/>
      <w:lvlText w:val="%2"/>
      <w:numFmt w:val="upp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2022-02-14T16:48:29Z</dcterms:created>
  <dcterms:modified xsi:type="dcterms:W3CDTF">2022-02-14T16:48:29Z</dcterms:modified>
</cp:coreProperties>
</file>