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14, 2023</w:t>
      </w:r>
    </w:p>
    <w:p>
      <w:pPr>
        <w:spacing w:after="0" w:line="31"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-19050</wp:posOffset>
            </wp:positionV>
            <wp:extent cx="342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407035</wp:posOffset>
            </wp:positionV>
            <wp:extent cx="2280285" cy="1002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1002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28159 Avenue Stanford</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Suite 220</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(661) 367-9170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Donna Shiroma</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28159 Avenue Stanford</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Suite 220</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(661) 367-9170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Christopher H. Cunningham</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Coleman Wombwell</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925 Fourth Avenue</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(206) 370-7639</w:t>
      </w:r>
    </w:p>
    <w:p>
      <w:pPr>
        <w:spacing w:after="0" w:line="2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 as determined by the registrant.</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20"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1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910" w:orient="portrait"/>
          <w:cols w:equalWidth="0" w:num="1">
            <w:col w:w="11040"/>
          </w:cols>
          <w:pgMar w:left="320" w:top="226" w:right="539" w:bottom="0" w:gutter="0" w:footer="0" w:header="0"/>
        </w:sectPr>
      </w:pPr>
    </w:p>
    <w:bookmarkStart w:id="1" w:name="page2"/>
    <w:bookmarkEnd w:id="1"/>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right="7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registration statement contains:</w:t>
      </w:r>
    </w:p>
    <w:p>
      <w:pPr>
        <w:spacing w:after="0" w:line="131" w:lineRule="exact"/>
        <w:rPr>
          <w:sz w:val="20"/>
          <w:szCs w:val="20"/>
          <w:color w:val="auto"/>
        </w:rPr>
      </w:pPr>
    </w:p>
    <w:p>
      <w:pPr>
        <w:ind w:left="1080" w:right="3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up to $200,000,000 in the aggregate of the securities identified therein from time to time in one or more offerings;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(“the sales agreement prospectus supplement”) covering the offering, issuance and sale by us of up to 3,799,164 shares of our common stock that may be issued and sold under a sales agreement with Cowen and Company, LLC.</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one or more prospectus supplements to the base prospectus. The sales agreement prospectus supplement immediately follows the base prospectus. The dollar amount of the shares of common stock that may be offered, issued and sold under the sales agreement prospectus supplement is included in the $200,000,000 of securities that may be offered, issued and sold by us under the base prospectus. Upon termination of the sales agreement with Cowen and Company, LLC, any portion of the dollar amount of the shares included in the sales agreement prospectus supplement that is not sold pursuant to the sales agreement will be available for sale in other offerings pursuant to the base prospectus and one or more corresponding prospectus supplements, and if no shares are sold under the sales agreement, the full $200,000,000 of securities may be sold in other offerings pursuant to the base prospectus and one or more corresponding prospectus supplements.</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FF4338"/>
        </w:rPr>
        <w:t>SUBJECT TO COMPLETION, DATED APRIL 14,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189865</wp:posOffset>
            </wp:positionV>
            <wp:extent cx="2082800" cy="908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280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5"/>
          <w:szCs w:val="25"/>
          <w:b w:val="1"/>
          <w:bCs w:val="1"/>
          <w:color w:val="auto"/>
        </w:rPr>
        <w:t>of</w:t>
      </w:r>
    </w:p>
    <w:p>
      <w:pPr>
        <w:spacing w:after="0" w:line="2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offer and sell from time to time our common stock, preferred stock, warrants, and units. We refer to the common stock, preferred stock, and warrants and any related units collectively as the “securities.” The aggregate initial offering price of all securities sold by AVITA Medical, Inc. pursuant to this prospectus and any prospectus supplement will not exceed $200,000,000. The specific terms of any securities we offer will be included in a supplement to this prospectus.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 This prospectus may not be used to offer and sell securities unless accompanied by a prospectus supplement for those securities.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Stock Market LLC under the symbol “RCEL.” On Apri1 12, 2023, the last reported sale price for our common stock was $15.81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620"/>
        <w:spacing w:after="0" w:line="262"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 of this prospectus, together with risk factors contained in any applicable prospectus supplement, for factors you should consider before buying any of our securities.</w:t>
      </w:r>
    </w:p>
    <w:p>
      <w:pPr>
        <w:spacing w:after="0" w:line="15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The date of this Prospectus is</w:t>
        <w:tab/>
        <w:t>, 2023.</w:t>
      </w:r>
    </w:p>
    <w:p>
      <w:pPr>
        <w:sectPr>
          <w:pgSz w:w="11900" w:h="16838" w:orient="portrait"/>
          <w:cols w:equalWidth="0" w:num="1">
            <w:col w:w="11080"/>
          </w:cols>
          <w:pgMar w:left="320" w:top="455" w:right="4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55"/>
        </w:trPr>
        <w:tc>
          <w:tcPr>
            <w:tcW w:w="10680" w:type="dxa"/>
            <w:vAlign w:val="bottom"/>
            <w:gridSpan w:val="21"/>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7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1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 WE MAY OFFER</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Common Stock</w:t>
            </w:r>
          </w:p>
        </w:tc>
        <w:tc>
          <w:tcPr>
            <w:tcW w:w="3180" w:type="dxa"/>
            <w:vAlign w:val="bottom"/>
            <w:tcBorders>
              <w:top w:val="single" w:sz="8" w:color="0000EE"/>
            </w:tcBorders>
            <w:gridSpan w:val="15"/>
          </w:tcPr>
          <w:p>
            <w:pPr>
              <w:spacing w:after="0"/>
              <w:rPr>
                <w:sz w:val="17"/>
                <w:szCs w:val="17"/>
                <w:color w:val="auto"/>
              </w:rPr>
            </w:pPr>
          </w:p>
        </w:tc>
        <w:tc>
          <w:tcPr>
            <w:tcW w:w="636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Preferred Stock</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Limitation of Liability; Indemnification</w:t>
            </w:r>
          </w:p>
        </w:tc>
        <w:tc>
          <w:tcPr>
            <w:tcW w:w="782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Listings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Transfer Agent and Registrar</w:t>
            </w:r>
          </w:p>
        </w:tc>
        <w:tc>
          <w:tcPr>
            <w:tcW w:w="858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Exercise of Warrants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Modifications</w:t>
            </w:r>
          </w:p>
        </w:tc>
        <w:tc>
          <w:tcPr>
            <w:tcW w:w="91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Enforceability of Rights</w:t>
            </w:r>
          </w:p>
        </w:tc>
        <w:tc>
          <w:tcPr>
            <w:tcW w:w="89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6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CHESS DEPOSITARY INTERESTS</w:t>
            </w:r>
          </w:p>
        </w:tc>
        <w:tc>
          <w:tcPr>
            <w:tcW w:w="79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20" w:type="dxa"/>
            <w:vAlign w:val="bottom"/>
            <w:tcBorders>
              <w:top w:val="single" w:sz="8" w:color="0000EE"/>
            </w:tcBorders>
            <w:gridSpan w:val="5"/>
          </w:tcPr>
          <w:p>
            <w:pPr>
              <w:spacing w:after="0"/>
              <w:rPr>
                <w:sz w:val="17"/>
                <w:szCs w:val="17"/>
                <w:color w:val="auto"/>
              </w:rPr>
            </w:pPr>
          </w:p>
        </w:tc>
        <w:tc>
          <w:tcPr>
            <w:tcW w:w="86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800" w:type="dxa"/>
            <w:vAlign w:val="bottom"/>
            <w:gridSpan w:val="18"/>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5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or unless otherwise noted, all references in this prospectus or any prospectus supplement to “AVITA Medical” and to the “Company,” “we,” “us” or “our” are to AVITA Medical, Inc. and its subsidiaries.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or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Certain Information by Reference” below.</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different information than that contained or incorporated by reference in this prospectus supplement and any related free writing prospectus filed by us with the SEC.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within the meaning of</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190"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December 31, 2022. These documents are available through the SEC’s Electronic Data Gathering and Analysis Retrieval System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120" w:right="40" w:firstLine="440"/>
        <w:spacing w:after="0" w:line="217" w:lineRule="auto"/>
        <w:rPr>
          <w:sz w:val="20"/>
          <w:szCs w:val="20"/>
          <w:color w:val="auto"/>
        </w:rPr>
      </w:pPr>
      <w:r>
        <w:rPr>
          <w:rFonts w:ascii="Times New Roman" w:cs="Times New Roman" w:eastAsia="Times New Roman" w:hAnsi="Times New Roman"/>
          <w:sz w:val="18"/>
          <w:szCs w:val="18"/>
          <w:color w:val="auto"/>
        </w:rPr>
        <w:t>AVITA Medical, Inc. and its subsidiaries (including AVITA Medical Pty Limited (“</w:t>
      </w:r>
      <w:r>
        <w:rPr>
          <w:rFonts w:ascii="Times New Roman" w:cs="Times New Roman" w:eastAsia="Times New Roman" w:hAnsi="Times New Roman"/>
          <w:sz w:val="18"/>
          <w:szCs w:val="18"/>
          <w:b w:val="1"/>
          <w:bCs w:val="1"/>
          <w:color w:val="auto"/>
        </w:rPr>
        <w:t>AVITA Australia</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AVITA Medical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a regenerative medicine company leading the development and commercialization of devices and autologous cellular therapies for skin restoration. Our patented and proprietary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w:t>
      </w:r>
      <w:r>
        <w:rPr>
          <w:rFonts w:ascii="Times New Roman" w:cs="Times New Roman" w:eastAsia="Times New Roman" w:hAnsi="Times New Roman"/>
          <w:sz w:val="18"/>
          <w:szCs w:val="18"/>
          <w:b w:val="1"/>
          <w:bCs w:val="1"/>
          <w:color w:val="auto"/>
        </w:rPr>
        <w:t>RECELL System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RECELL</w:t>
      </w:r>
      <w:r>
        <w:rPr>
          <w:rFonts w:ascii="Times New Roman" w:cs="Times New Roman" w:eastAsia="Times New Roman" w:hAnsi="Times New Roman"/>
          <w:sz w:val="18"/>
          <w:szCs w:val="18"/>
          <w:color w:val="auto"/>
        </w:rPr>
        <w:t>”) technology platform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an autologous skin cell suspension that is sprayed onto the patient to regenerate natural healthy skin.</w:t>
      </w:r>
    </w:p>
    <w:p>
      <w:pPr>
        <w:spacing w:after="0" w:line="19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28159 Avenue Stanford, Suite 220, Valencia, CA 91355, and our telephone number is (661) 367-9170. Our website address is www.avitamedical.com. The information on, or that can be accessed through, our website is not part of this prospectus and is not incorporated by reference in this prospectus.</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are an “emerging growth company,” as defined in the Jumpstart Our Business Startups Act of 2012 (“</w:t>
      </w:r>
      <w:r>
        <w:rPr>
          <w:rFonts w:ascii="Times New Roman" w:cs="Times New Roman" w:eastAsia="Times New Roman" w:hAnsi="Times New Roman"/>
          <w:sz w:val="18"/>
          <w:szCs w:val="18"/>
          <w:b w:val="1"/>
          <w:bCs w:val="1"/>
          <w:color w:val="auto"/>
        </w:rPr>
        <w:t>JOBS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For as long as we continue to be an emerging growth company, we may take advantage of certain exemptions and relief from various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remain an emerging growth company until the earliest of (i) the last day of the fiscal year following the fifth anniversary of the date of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first sale of our common stock pursuant to an effective registration statement under the Securities Act which, given the filing of the S-8 Registration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 on August 27, 2020, will be December 31, 2025, (ii) the last day of the fiscal year in which we have total annual gross revenue of at least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$1.235 billion, (iii) the last day of the fiscal year in which we are deemed to be a “large accelerated filer” as defined in Rule 12b-2 under the Exchange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 or (iv) the date on which we have issued more than $1.0 billion in non-convertible debt securities during the prior three-year period.</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 factors described in our Annual Report on Form 10-K for our most recent fiscal year (together with any material changes thereto contained in subsequently filed Quarterly Reports on Form 10-Q and Current Reports on Form 8-K) and those contained in our other filings with the SEC, which are incorporated by reference in this prospectus and any accompanying prospectus supplement.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specified otherwise in the applicable prospectus supplement, we expect to use the net proceeds we receive from the sale of the securities offered by this prospectus for general corporate purposes, which may include, among other things:</w:t>
      </w:r>
    </w:p>
    <w:p>
      <w:pPr>
        <w:spacing w:after="0" w:line="67"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and redemptions of securities.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short-term indebtedness.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5"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 WE MAY OFFER</w:t>
      </w:r>
    </w:p>
    <w:p>
      <w:pPr>
        <w:spacing w:after="0" w:line="22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are a Delaware corporation. The rights of our stockholders are governed by the Delaware General Corporation Law, or the DGCL, and our amended certificate of incorporation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our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our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may consider relevant.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outstanding shares of our common stock are fully paid and non-assessable.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Stockholder Meetings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and Bylaws provide that annual stockholder meetings will be held at a date, place (if any) and time, as exclusively selected by our board of directors. To the extent permitted under applicable law, we may but are not obligated to conduct meetings by remote communications, including by webcast.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has the authority to issue up to 10,000,000 shares of preferred stock, par value $0.0001 per share, in one or more series, each of which will have such distinctive designation or title as shall be determined by our board of directors prior to the issuance of any shares thereof. Preferred stock will have such voting powers, whole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our board of directors prior to the issuance of any shares thereof. The designations, powers, rights and preferences of our preferred stock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our preferred stock are currently issued and outstanding.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the Certificate and Bylaws and DGCL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Some provisions of the DGCL, our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our best interest, including transactions that might result in a premium over the market price for our common stock.</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the Company’s common stock.</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the above provisions of Section 203 do not apply if:</w:t>
      </w:r>
    </w:p>
    <w:p>
      <w:pPr>
        <w:spacing w:after="0" w:line="131" w:lineRule="exact"/>
        <w:rPr>
          <w:sz w:val="20"/>
          <w:szCs w:val="20"/>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or the business combination before the date of that transaction;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45" w:lineRule="exact"/>
        <w:rPr>
          <w:rFonts w:ascii="Times New Roman" w:cs="Times New Roman" w:eastAsia="Times New Roman" w:hAnsi="Times New Roman"/>
          <w:sz w:val="17"/>
          <w:szCs w:val="17"/>
          <w:color w:val="auto"/>
        </w:rPr>
      </w:pPr>
    </w:p>
    <w:p>
      <w:pPr>
        <w:ind w:left="1080" w:right="56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Bylaws provide that a special meeting of stockholders (1) may be called at any time by the order of a majority of our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Composition of our Board of Directors; Election and Removal of Directors; Filling Vacancies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consists of one or more directors. In any uncontested elections of directors, a director nominee for our board of directors of the Company will be elected by the plurality of the votes cast with respect to such director at a meeting at which a quorum is present.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 contested election, a plurality voting standard will apply to director elections. The directors of the Company are elected until the expiration of the term for which they are elected and until their respective successors are duly elected and qualified.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directors of the Company may be removed by the affirmative vote of the holders of at least a majority of the Company’s then-outstanding common stock. Furthermore, any vacancy on the Company’s board of directors, however occurring, including a vacancy resulting from an increase in the size of the board, may be filled only by a majority vote of our board of directors then in office, even if less than a quorum, or by the sole remaining director.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the Certificate and Bylaws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Certificate may be amended in any manner permitted under the DGCL and the Bylaws may be amended by the holders of at a majority of the voting power of the then outstanding voting stock or by our board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of Liability and Indemnification Matters</w:t>
      </w:r>
    </w:p>
    <w:p>
      <w:pPr>
        <w:spacing w:after="0" w:line="119"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Securities Exchange Listings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Shares of our common stock are listed on The Nasdaq Stock Market LLC under the symbol “RCEL.” Our Chess Depositary Interests (“CDIs”) are quoted on the Australian Securities Exchange Ltd (“ASX”) under the ticker code, “AVH”. One share of common stock on Nasdaq is equivalent to five CDIs on the ASX.</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and its address is 250 Royall St., Canton, Massachusetts 02021.</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360"/>
          </w:cols>
          <w:pgMar w:left="320" w:top="455" w:right="1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 WE MAY OFFER</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offer shares of our preferred stock from time to time, in one or more series of preferred stock. Pursuant to our Certificate, we have the authority to issue 10,000,000 shares of preferred stock, $0.0001 par value. As of April 12, 2023,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and payments upon liquidation. The issuance could decrease the market price of our common stock. The issuance of preferred stock also could delay, deter, or prevent a change of control of the Company.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material provisions of the preferred stock in this section. This summary is not complete. If we offer preferred stock, we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certificate of designation and prospectus supplement relating to any series of preferred stock we are offering will include specific terms relating to the offering. These terms will include some or all of the following:</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the series of preferred stock;</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if any, or the method of calculating and paying the dividend, the date from which dividends will accrue and whether dividends will be cumulative;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or purchase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preferred stock for other securities of us or any other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preferences and relative, participating, optional or other special rights or any qualifications, limitations, or restrictions on the rights of the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shares of preferred stock we issue will, at the time of issuance, be fully paid and non-assessable.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 WE MAY OFFER</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any warrants that we are offering will include specific terms relating to the offering. These terms will include some or all of the following:</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stock or preferred stock purchasable upon exercise of the warrants, and procedures by which those numbers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may exercise warrants at any time up to the close of business on the expiration date provided in the applicable prospectus supplement.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close of business on the expiration date, unexercised warrants are void.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subject to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 the period of time during which the warrants may be exercised;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and adversely affect the exercise rights of the holders of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 WE MAY OFFER</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any units we are offering will include specific terms relating to the offering. These terms will include some or all of the following:</w:t>
      </w:r>
    </w:p>
    <w:p>
      <w:pPr>
        <w:spacing w:after="0" w:line="67" w:lineRule="exact"/>
        <w:rPr>
          <w:sz w:val="20"/>
          <w:szCs w:val="20"/>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units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CHESS DEPOSITARY INTERESTS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176" w:lineRule="exact"/>
        <w:rPr>
          <w:sz w:val="20"/>
          <w:szCs w:val="20"/>
          <w:color w:val="auto"/>
        </w:rPr>
      </w:pPr>
    </w:p>
    <w:p>
      <w:pPr>
        <w:jc w:val="center"/>
        <w:ind w:left="660" w:right="220"/>
        <w:spacing w:after="0" w:line="454" w:lineRule="auto"/>
        <w:rPr>
          <w:sz w:val="20"/>
          <w:szCs w:val="20"/>
          <w:color w:val="auto"/>
        </w:rPr>
      </w:pPr>
      <w:r>
        <w:rPr>
          <w:rFonts w:ascii="Times New Roman" w:cs="Times New Roman" w:eastAsia="Times New Roman" w:hAnsi="Times New Roman"/>
          <w:sz w:val="18"/>
          <w:szCs w:val="18"/>
          <w:color w:val="auto"/>
        </w:rPr>
        <w:t>Our CDIs are quoted on the ASX under the ticker code, “AVH”. One share of common stock on Nasdaq is equivalent to five CDIs on the ASX. 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67" w:lineRule="exact"/>
        <w:rPr>
          <w:sz w:val="20"/>
          <w:szCs w:val="20"/>
          <w:color w:val="auto"/>
        </w:rPr>
      </w:pPr>
    </w:p>
    <w:p>
      <w:pPr>
        <w:ind w:left="1080" w:right="4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Stock Market LLC or the ASX in accordance with the rules of the ASX (including through at-the-market offerings) or any other organized market where the securities may be traded;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who may act as agents or principals;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on a firm commitment or best-efforts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 of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a block of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of securities exchangeable, convertible or exercisable for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above.</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At any time a particular offer of securities covered by this prospectus is made, a revised prospectus or prospectus supplement, if required, will be distributed which will set forth:</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broker-dealers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be received by us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concessions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risk factors applicable to the securities that we propose to sell;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the securities may be listed.</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9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under the Exchange Act. You can read our SEC filings, including the registration statement,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as filed with the SEC on February 23,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dated </w:t>
      </w:r>
      <w:hyperlink r:id="rId43">
        <w:r>
          <w:rPr>
            <w:rFonts w:ascii="Times New Roman" w:cs="Times New Roman" w:eastAsia="Times New Roman" w:hAnsi="Times New Roman"/>
            <w:sz w:val="18"/>
            <w:szCs w:val="18"/>
            <w:u w:val="single" w:color="auto"/>
            <w:color w:val="0000EE"/>
          </w:rPr>
          <w:t>January 20,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21,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22, 2023</w:t>
        </w:r>
      </w:hyperlink>
      <w:r>
        <w:rPr>
          <w:rFonts w:ascii="Times New Roman" w:cs="Times New Roman" w:eastAsia="Times New Roman" w:hAnsi="Times New Roman"/>
          <w:sz w:val="18"/>
          <w:szCs w:val="18"/>
          <w:color w:val="auto"/>
        </w:rPr>
        <w:t xml:space="preserve">, and </w:t>
      </w:r>
      <w:hyperlink r:id="rId46">
        <w:r>
          <w:rPr>
            <w:rFonts w:ascii="Times New Roman" w:cs="Times New Roman" w:eastAsia="Times New Roman" w:hAnsi="Times New Roman"/>
            <w:sz w:val="18"/>
            <w:szCs w:val="18"/>
            <w:u w:val="single" w:color="auto"/>
            <w:color w:val="0000EE"/>
          </w:rPr>
          <w:t>March 27,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our common stock contained in </w:t>
      </w:r>
      <w:hyperlink r:id="rId4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February 23, 2022, including any Amendment or reports filed for the purpose of updating this description;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subsequently filed by us pursuant to Sections 13(a), 13(c), 14 or 15(d) of the Exchange Act prior to the termination of this offering,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12"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request and obtain a copy of any or all of the documents that are incorporated by reference into this prospectus but not delivered with the prospectus, including exhibits that are specifically incorporated by reference into such documents, at no cost, by writing or telephoning us at the following address or phone number:</w:t>
      </w:r>
    </w:p>
    <w:p>
      <w:pPr>
        <w:spacing w:after="0" w:line="1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28159 Avenue Stanford</w:t>
      </w:r>
    </w:p>
    <w:p>
      <w:pPr>
        <w:spacing w:after="0" w:line="1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Suite 220</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(661) 367-9170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Donna Shiroma, General Counsel</w:t>
      </w: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supplement is not complete and may be changed. These securities may not be sold until the registration statement filed with the Securities and Exchange Commission is effective. This prospectus supplement is not an offer to sell nor does it seek an offer to buy these securities in any jurisdiction where the offer or sale is not permitted.</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April 14, 2023.</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80" w:type="dxa"/>
            <w:vAlign w:val="bottom"/>
          </w:tcPr>
          <w:p>
            <w:pPr>
              <w:spacing w:after="0"/>
              <w:rPr>
                <w:sz w:val="18"/>
                <w:szCs w:val="18"/>
                <w:color w:val="auto"/>
              </w:rPr>
            </w:pPr>
          </w:p>
        </w:tc>
      </w:t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 the Prospectus dated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color w:val="auto"/>
              </w:rPr>
              <w:t>)</w:t>
            </w:r>
          </w:p>
        </w:tc>
      </w:tr>
    </w:tbl>
    <w:p>
      <w:pPr>
        <w:spacing w:after="0" w:line="1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Up to 3,799,164</w:t>
      </w:r>
    </w:p>
    <w:p>
      <w:pPr>
        <w:spacing w:after="0" w:line="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Shares of</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with Cowen and Company, LLC, or Cowen, relating to shares of our common stock offered by this prospectus supplement and the accompanying prospectus. In accordance with the terms of the sales agreement, we may offer and sell up to 3,799,164 shares of our common stock from time to time through Cowen acting as our agent.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common stock trades on The Nasdaq Stock Market LLC under the symbol “RCEL.” Our CHESS Depositary Interests (“CDIs”) are listed on the Australian Securities Exchange (“ASX”) under the symbol “AVH”, with five CDIs being equivalent to one share of our common stock. On April 12, 2023, the last reported sale price for our common stock on Nasdaq was $15.81 per share and the last reported sale price of our CDIs on the ASX was $4.75 per CDI.</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will be made in sales deemed to be “at the market offerings” as defined in Rule 415 promulgated under the Securities Act of 1933, as amended, or the Securities Act. Cowen is not required to sell any specific amount of securities, but will act as our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compensation to Cowen for sales of common stock sold pursuant to the sales agreement will be an amount equal to 3% of the gross proceeds of any shares of common stock sold under the sales agreement. In connection with the sale of the common stock on our behalf, Cowen will be deemed to be an “underwriter” within the meaning of the Securities Act and the compensation to Cowen will be deemed to be underwriting commissions or discounts. We have also agreed to provide indemnification and contribution to Cowen with respect to certain liabilities, including liabilities under the Securities Act and the Exchange Act of 1934, as amended, or the Exchange Act.</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defined in the Jumpstart Our Business Startups Act of 2012 and, as such, are subject to certain reduced public company reporting requirements. See “The Company—Implications of Being an Emerging Growth Company”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Our business and an investment in our securities involve significant risks. Please read carefully the section entitled</w:t>
      </w:r>
    </w:p>
    <w:p>
      <w:pPr>
        <w:spacing w:after="0" w:line="18" w:lineRule="exact"/>
        <w:rPr>
          <w:sz w:val="20"/>
          <w:szCs w:val="20"/>
          <w:color w:val="auto"/>
        </w:rPr>
      </w:pPr>
    </w:p>
    <w:p>
      <w:pPr>
        <w:ind w:left="120" w:right="200"/>
        <w:spacing w:after="0" w:line="23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xml:space="preserve"> ” beginning on page S-5 of this prospectus supplement and in the documents incorporated by reference into this prospectus supplement.</w:t>
      </w:r>
    </w:p>
    <w:p>
      <w:pPr>
        <w:spacing w:after="0" w:line="183"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3500"/>
        <w:spacing w:after="0"/>
        <w:tabs>
          <w:tab w:leader="none" w:pos="724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w:t>
      </w:r>
      <w:r>
        <w:rPr>
          <w:sz w:val="20"/>
          <w:szCs w:val="20"/>
          <w:color w:val="auto"/>
        </w:rPr>
        <w:tab/>
      </w:r>
      <w:r>
        <w:rPr>
          <w:rFonts w:ascii="Times New Roman" w:cs="Times New Roman" w:eastAsia="Times New Roman" w:hAnsi="Times New Roman"/>
          <w:sz w:val="17"/>
          <w:szCs w:val="17"/>
          <w:b w:val="1"/>
          <w:bCs w:val="1"/>
          <w:color w:val="auto"/>
        </w:rPr>
        <w:t>, 2023.</w:t>
      </w:r>
    </w:p>
    <w:p>
      <w:pPr>
        <w:sectPr>
          <w:pgSz w:w="11900" w:h="16838" w:orient="portrait"/>
          <w:cols w:equalWidth="0" w:num="1">
            <w:col w:w="11120"/>
          </w:cols>
          <w:pgMar w:left="320" w:top="455"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9"/>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3800" w:type="dxa"/>
            <w:vAlign w:val="bottom"/>
            <w:gridSpan w:val="10"/>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that we filed with the U.S. Securities and Exchange Commission, or the SEC, utilizing a “shelf” registration process. Under this shelf registration process, we may from time to time sell up to 3,799,164 shares of our common stock under this prospectus supplement and accompanying prospectus at prices and on terms to be determined by market conditions at the time of the offering.</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common stock that we are offering, we urge you to carefully read this prospectus supplement, the accompanying prospectus and all of the information incorporated by reference herein and therein,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and in any document incorporated by reference in this prospectus supplement, on the other hand, you should rely on the information in this prospectus supplement and the documents incorporated by reference herein,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and Cowen has not, authorized anyone to provide you with different information than that contained or incorporated by reference in this prospectus supplement and any related free writing prospectus filed by us with the SEC. We and Cowen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of Certain Information by Reference” in this prospectus supplement.</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to “AVITA,” “we,” “our,” “us” and “the Company” refer, collectively, to AVITA Medical, Inc., a Delaware corporation, and its consolidated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contain forward-looking statements within the meaning of Section 27A of the Securities Act and Section 21E of the Securities Exchange Act. The words “anticipate,” “believe,” “ensure,” “expect,” “if,” “intend,” “estimate,” “probable,” “project,” “forecasts,” “predict,” “outlook,” “aim,” “will,” “could,” “should,” “would,” “may,” “likely” and similar expressions, and the negative thereof, are intended to identify forward-looking statements. These forward-looking statements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benefits of our RECELL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RECELL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future revenue and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technologies and our ability to operate our business without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new governmental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or our industry;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COVID-19 pandemic and related governmental regulations and restrictions may impact our business, including our research, clinical trials, manufacturing and financial condition.</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most recent Annual Report on Form 10-K and any subsequently filed Quarterly Reports on Form 10-Q. These documents are available through the SEC’s Electronic Data Gathering and Analysis Retrieval System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50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6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and therein, including the information set forth under the heading “Risk Factors” in this prospectus supplement and incorporated by reference from our Annual Report on Form 10-K for the year ended December 31, 2022, as well as our consolidated financial statements and the related notes and the other documents incorporated by reference into this prospectus supplement and the accompanying prospectus.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ind w:left="300" w:right="100"/>
        <w:spacing w:after="0"/>
        <w:rPr>
          <w:sz w:val="20"/>
          <w:szCs w:val="20"/>
          <w:color w:val="auto"/>
        </w:rPr>
      </w:pPr>
      <w:r>
        <w:rPr>
          <w:rFonts w:ascii="Times New Roman" w:cs="Times New Roman" w:eastAsia="Times New Roman" w:hAnsi="Times New Roman"/>
          <w:sz w:val="18"/>
          <w:szCs w:val="18"/>
          <w:color w:val="auto"/>
        </w:rPr>
        <w:t>AVITA Medical, Inc. (collectively, including its subsidiaries, “</w:t>
      </w:r>
      <w:r>
        <w:rPr>
          <w:rFonts w:ascii="Times New Roman" w:cs="Times New Roman" w:eastAsia="Times New Roman" w:hAnsi="Times New Roman"/>
          <w:sz w:val="18"/>
          <w:szCs w:val="18"/>
          <w:b w:val="1"/>
          <w:bCs w:val="1"/>
          <w:color w:val="auto"/>
        </w:rPr>
        <w:t>AVITA Medical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a regenerative medicine company leading the development and commercialization of devices and autologous cellular therapies for skin restoration. Our patented and proprietary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w:t>
      </w:r>
      <w:r>
        <w:rPr>
          <w:rFonts w:ascii="Times New Roman" w:cs="Times New Roman" w:eastAsia="Times New Roman" w:hAnsi="Times New Roman"/>
          <w:sz w:val="18"/>
          <w:szCs w:val="18"/>
          <w:b w:val="1"/>
          <w:bCs w:val="1"/>
          <w:color w:val="auto"/>
        </w:rPr>
        <w:t>RECELL System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RECELL</w:t>
      </w:r>
      <w:r>
        <w:rPr>
          <w:rFonts w:ascii="Times New Roman" w:cs="Times New Roman" w:eastAsia="Times New Roman" w:hAnsi="Times New Roman"/>
          <w:sz w:val="18"/>
          <w:szCs w:val="18"/>
          <w:color w:val="auto"/>
        </w:rPr>
        <w:t>”) technology platform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an autologous skin cell suspension that is sprayed onto the patient to regenerate natural healthy skin.</w:t>
      </w:r>
    </w:p>
    <w:p>
      <w:pPr>
        <w:spacing w:after="0" w:line="72"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7"/>
          <w:szCs w:val="17"/>
          <w:color w:val="auto"/>
        </w:rPr>
        <w:t>The RECELL System has a long-established safety profile, and clear potential for clinical and health-economic value propositions across a range of skin-related clinical indications. The patented and proprietary platform technology underlying Spray-On Skin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Cells originated in Australia, based on the seminal work of Professor Fiona Wood and fellow scientist Marie Stoner. RECELL was initially launched in the E.U. in 2005, and then in Australia in 2006, ahead of pivotal outcomes data demonstrating clinical performance relative to standard care. Pivotal trials were conducted in the U.S. beginning in 2010. In September 2018, the U.S. Food and Drug Administration (“</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approved RECELL as a Class 3 device through a premarket approval (“</w:t>
      </w:r>
      <w:r>
        <w:rPr>
          <w:rFonts w:ascii="Times New Roman" w:cs="Times New Roman" w:eastAsia="Times New Roman" w:hAnsi="Times New Roman"/>
          <w:sz w:val="17"/>
          <w:szCs w:val="17"/>
          <w:b w:val="1"/>
          <w:bCs w:val="1"/>
          <w:color w:val="auto"/>
        </w:rPr>
        <w:t>PMA</w:t>
      </w:r>
      <w:r>
        <w:rPr>
          <w:rFonts w:ascii="Times New Roman" w:cs="Times New Roman" w:eastAsia="Times New Roman" w:hAnsi="Times New Roman"/>
          <w:sz w:val="17"/>
          <w:szCs w:val="17"/>
          <w:color w:val="auto"/>
        </w:rPr>
        <w:t>”) for the treatment of acute thermal burn injuries in patients 18 years and older. Following receipt of our original PMA, we commenced commercialization of the RECELL System in January 2019 in the United States. RECELL is a first-of-kind medical device approved through FDA’s Center for Biologics Evaluation and Research, and the first Class 3 device approved for use in burn care in over 20 years.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28159 Avenue Stanford, Suite 220, Valencia, CA 91355. Our telephone number is (661) 367-9170. Our website address is www.avitamedical.com. The information on, or that can be accessed through, our website is not part of this prospectus supplement and is not incorporated by reference in this prospectus supplement.</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81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8970" cy="381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prospectus. For a more complete description of the terms of our common stock, see “Description of Common Stock We May Offer” in the accompanying prospectus.</w:t>
      </w:r>
    </w:p>
    <w:p>
      <w:pPr>
        <w:sectPr>
          <w:pgSz w:w="11900" w:h="16838" w:orient="portrait"/>
          <w:cols w:equalWidth="0" w:num="1">
            <w:col w:w="11140"/>
          </w:cols>
          <w:pgMar w:left="320" w:top="455" w:right="439" w:bottom="1440" w:gutter="0" w:footer="0" w:header="0"/>
        </w:sectPr>
      </w:pP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3,799,164 shares of our common stock.</w:t>
      </w:r>
    </w:p>
    <w:p>
      <w:pPr>
        <w:spacing w:after="0" w:line="11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“At the market” offerings that may be made from time to time through our sales agent, Cowen and Company, LLC. See “Plan of Distribution” on page S-9 for further information.</w:t>
      </w:r>
    </w:p>
    <w:p>
      <w:pPr>
        <w:spacing w:after="0" w:line="64" w:lineRule="exact"/>
        <w:rPr>
          <w:sz w:val="20"/>
          <w:szCs w:val="20"/>
          <w:color w:val="auto"/>
        </w:rPr>
      </w:pPr>
    </w:p>
    <w:p>
      <w:pPr>
        <w:sectPr>
          <w:pgSz w:w="11900" w:h="16838" w:orient="portrait"/>
          <w:cols w:equalWidth="0" w:num="2">
            <w:col w:w="5220" w:space="720"/>
            <w:col w:w="52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intend to use the net proceeds from the sale of any securities</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offered under this prospectus supplement for general corporate</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purposes. Although we have not yet identified specific uses for these</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proceeds, we currently anticipate using the proceeds to fund some or</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all of the following purposes: our product development pipeline and</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 pursue approvals of our products for additional indications, which</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may include licensing arrangements. See “Use of Proceeds” on page</w:t>
            </w:r>
          </w:p>
        </w:tc>
      </w:tr>
      <w:tr>
        <w:trPr>
          <w:trHeight w:val="234"/>
        </w:trPr>
        <w:tc>
          <w:tcPr>
            <w:tcW w:w="4640" w:type="dxa"/>
            <w:vAlign w:val="bottom"/>
          </w:tcPr>
          <w:p>
            <w:pPr>
              <w:spacing w:after="0"/>
              <w:rPr>
                <w:sz w:val="20"/>
                <w:szCs w:val="20"/>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S-7 for further information.</w:t>
            </w:r>
          </w:p>
        </w:tc>
      </w:tr>
      <w:tr>
        <w:trPr>
          <w:trHeight w:val="30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Investing in our common stock involves certain risks. See “Risk</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Factors” beginning on page S-5 of this prospectus supplement and</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risk factors set forth in our most recently filed Annual Report on</w:t>
            </w:r>
          </w:p>
        </w:tc>
      </w:tr>
      <w:tr>
        <w:trPr>
          <w:trHeight w:val="216"/>
        </w:trPr>
        <w:tc>
          <w:tcPr>
            <w:tcW w:w="4640" w:type="dxa"/>
            <w:vAlign w:val="bottom"/>
          </w:tcPr>
          <w:p>
            <w:pPr>
              <w:spacing w:after="0"/>
              <w:rPr>
                <w:sz w:val="18"/>
                <w:szCs w:val="18"/>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Form 10-K for the year ended December 31, 2022, which are</w:t>
            </w:r>
          </w:p>
        </w:tc>
      </w:tr>
      <w:tr>
        <w:trPr>
          <w:trHeight w:val="234"/>
        </w:trPr>
        <w:tc>
          <w:tcPr>
            <w:tcW w:w="4640" w:type="dxa"/>
            <w:vAlign w:val="bottom"/>
          </w:tcPr>
          <w:p>
            <w:pPr>
              <w:spacing w:after="0"/>
              <w:rPr>
                <w:sz w:val="20"/>
                <w:szCs w:val="20"/>
                <w:color w:val="auto"/>
              </w:rPr>
            </w:pP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incorporated by reference into this prospectus supplement.</w:t>
            </w:r>
          </w:p>
        </w:tc>
      </w:tr>
      <w:tr>
        <w:trPr>
          <w:trHeight w:val="32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Nasdaq Stock Market LLC Trading Symbol</w:t>
            </w:r>
          </w:p>
        </w:tc>
        <w:tc>
          <w:tcPr>
            <w:tcW w:w="63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“RCEL”</w:t>
            </w:r>
          </w:p>
        </w:tc>
      </w:tr>
      <w:tr>
        <w:trPr>
          <w:trHeight w:val="159"/>
        </w:trPr>
        <w:tc>
          <w:tcPr>
            <w:tcW w:w="4640" w:type="dxa"/>
            <w:vAlign w:val="bottom"/>
            <w:tcBorders>
              <w:bottom w:val="single" w:sz="8" w:color="auto"/>
            </w:tcBorders>
          </w:tcPr>
          <w:p>
            <w:pPr>
              <w:spacing w:after="0"/>
              <w:rPr>
                <w:sz w:val="13"/>
                <w:szCs w:val="13"/>
                <w:color w:val="auto"/>
              </w:rPr>
            </w:pPr>
          </w:p>
        </w:tc>
        <w:tc>
          <w:tcPr>
            <w:tcW w:w="6380" w:type="dxa"/>
            <w:vAlign w:val="bottom"/>
            <w:tcBorders>
              <w:bottom w:val="single" w:sz="8" w:color="auto"/>
            </w:tcBorders>
          </w:tcPr>
          <w:p>
            <w:pPr>
              <w:spacing w:after="0"/>
              <w:rPr>
                <w:sz w:val="13"/>
                <w:szCs w:val="13"/>
                <w:color w:val="auto"/>
              </w:rPr>
            </w:pPr>
          </w:p>
        </w:tc>
      </w:tr>
      <w:tr>
        <w:trPr>
          <w:trHeight w:val="361"/>
        </w:trPr>
        <w:tc>
          <w:tcPr>
            <w:tcW w:w="4640" w:type="dxa"/>
            <w:vAlign w:val="bottom"/>
          </w:tcPr>
          <w:p>
            <w:pPr>
              <w:spacing w:after="0"/>
              <w:rPr>
                <w:sz w:val="24"/>
                <w:szCs w:val="24"/>
                <w:color w:val="auto"/>
              </w:rPr>
            </w:pPr>
          </w:p>
        </w:tc>
        <w:tc>
          <w:tcPr>
            <w:tcW w:w="6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following risk factors, as well as the risk factors set forth in our Annual Report on Form 10-K for the year ended December 31, 2022, as updated by our subsequent filings under the Securities Exchange Act of 1934, as amended, each of which is incorporated by reference in this prospectus supplement and the accompanying prospectus, before you make an investment decision. Additional risks we are not presently aware of or that we currently believe are immaterial may also impair our business operations. If any of the following events actually occur, our business, operating results, prospects or financial condition could be materially and adversely affected.</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Risks Relating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proceeds from this offering, and we may not use the proceeds effectively.</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you do not agree with or that do not improve our results of operations or enhance the value of our common stock — see “Use of Proceeds”. Our failure to apply these funds effectively could have a material adverse effect on our business and cause the price of our common stock to decline.</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stockholders will benefit from an investment in our stock only if it appreciates in value</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shares of stock. 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our board of directors deems relevant, including among others, our results of operations, financial condition and cash requirements, as well as business prospects. Accordingly, realization of a gain on stockholders’ investments will depend on the appreciation of the price of our stock. There is no guarantee that our stock will appreciate in value.</w:t>
      </w:r>
    </w:p>
    <w:p>
      <w:pPr>
        <w:spacing w:after="0" w:line="29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and other transactions that we may pursue, could depress the market price of our common stock.</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markets and the perception that those sales may occur could adversely affect the market price of our common stock. The completion of this offering will notably increase the number of shares of our common stock that may be sold in the public market because the shares of our common stock issued by us through this offering will be freely tradeable without restriction on further registration under the Securities Act. In addition, future issuances of equity securities may dilute the interests of our existing stockholders, including you, and could cause the market price of our common stock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stock price has been volatile. The market price for our common stock may be influenced by many factors, including the other risks described in this section titled “Risk Factors,” the risk factors set forth in our Annual Report on Form 10-K for the year ended December 31, 2022, additional SEC filings we incorporate by reference herein and the following:</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fluctuations in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rates or our competitors’ growth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 and announcements by competitors of related regulatory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one or more patient serious adverse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in the industry;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interest rates and the war in Ukraine, as well as other global economic and social events on the capital markets and equity share prices;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by us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including shareholder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or audits by regulators into the operations of our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initiated by our competitors or clients;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the common stock or CDIs by us, our directors, senior management or our stockholders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social effects of the COVID-19 virus or other pandemics;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additional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prices for our product or for our raw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for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and regulations affecting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operations, clinical trials (including patient enrollment), availability of materials from our suppliers, and sales of our products.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We may issue and sell up to 3,799,164 shares of our common stock from time to time. Because there is no minimum offering amount required as a condition to close this offering, the actual total public offering amount, commissions and net proceeds to us, if any, are not determinable at this time.</w:t>
      </w:r>
    </w:p>
    <w:p>
      <w:pPr>
        <w:spacing w:after="0" w:line="14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 corporate purposes. Although we have not yet identified specific uses for these proceeds, we currently anticipate using the proceeds to fund some or all of the following purposes: our product development pipeline and to pursue approvals of our products for additional indications, which may include licensing arrangements.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not determined the exact amounts we plan to spend on any of the items listed above or the timing of these expenditures. The amounts and timing of our actual expenditures may vary significantly depending on numerous factors, including the actual net proceeds from this offering, the progress of our development efforts, the status of and results from clinical trials and manufacturing activities, as well as any collaborations that we may enter into with third parties for our product candidates, and any unforeseen cash needs. As a result, our management will retain broad discretion over the allocation of the net proceeds from this offering. We have no current understandings, agreements or commitments for any material acquisitions or additional licenses of any products, businesses or technologies.</w:t>
      </w:r>
    </w:p>
    <w:p>
      <w:pPr>
        <w:spacing w:after="0" w:line="18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Pending the uses described above, we intend to invest the net proceeds from this offering in short-term, investment-grade, interest-bearing securities such as money market accounts, certificates of deposit, commercial paper, and guaranteed obligations of the U.S. government.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to the extent of the difference between the public offering price per share of our common stock and the net tangible book value per share of our common stock after this offering. We calculate net tangible book value per share by dividing our net tangible assets (tangible assets less total liabilities) by the number of shares of our common stock issued and outstanding.</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net tangible book value at December 31, 2022 was $84.0 million, or $3.33 per share, based on 25,208,436 shares of our common stock outstanding as of such date. After giving effect to the assumed sale by us of 3,799,164 shares of our common stock at an assumed public offering price of $15.81 per share (the last sale price of our common stock on April 12, 2023 as reported on The Nasdaq Stock Market LLC), less the estimated commission and estimated offering expenses payable by us, our net tangible book value at December 31, 2022 would have been $141.9 million, or $4.89 per share. This represents an immediate increase in pro forma net tangible book value of $1.56 per share to existing stockholders and an immediate dilution of $10.92 per share to investors in this offering. The following table illustrates this per share dilution. The as-adjusted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w:t>
      </w: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 of common stock</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15.81</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2022</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$3.33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5"/>
        </w:trPr>
        <w:tc>
          <w:tcPr>
            <w:tcW w:w="6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As-adjusted net tangible book value per share as of December 31, 2022 after</w:t>
            </w:r>
          </w:p>
        </w:tc>
        <w:tc>
          <w:tcPr>
            <w:tcW w:w="4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10.92</w:t>
            </w:r>
          </w:p>
        </w:tc>
      </w:tr>
      <w:tr>
        <w:trPr>
          <w:trHeight w:val="20"/>
        </w:trPr>
        <w:tc>
          <w:tcPr>
            <w:tcW w:w="6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table and calculations above are based on 25,208,436 shares of our common stock outstanding as of December 31, 2022, and exclude the following:</w:t>
      </w:r>
    </w:p>
    <w:p>
      <w:pPr>
        <w:spacing w:after="0" w:line="67" w:lineRule="exact"/>
        <w:rPr>
          <w:sz w:val="20"/>
          <w:szCs w:val="20"/>
          <w:color w:val="auto"/>
        </w:rPr>
      </w:pPr>
    </w:p>
    <w:p>
      <w:pPr>
        <w:ind w:left="1080" w:right="3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2,235,446 shares of our common stock issuable upon the exercise of stock options outstanding as of December 31, 2022, at a weighted average exercise price of $12.47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460,518 shares of our common stock issuable upon the vesting of restricted stock units outstanding as of December 31, 2022;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244,675 additional shares of our common stock available for future issuance under our 2020 Omnibus Incentive Plan as of December 31, 2022.</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Cowen, under which we may issue and sell from time to time up to 3,799,164 shares of our common stock through Cowen as our sales agent. Sales of our common stock, if any, will be made at market prices by any method that is deemed to be an “at the market” offering as defined in Rule 415 under the Securities Act, including sales made directly on The Nasdaq Stock Market LLC or any other trading market for our common stock. If authorized by us in writing, Cowen may purchase shares of our common stock as principal.</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Cowen as sales agent equals 3% of the gross sales price of the shares sold through it pursuant to the sales agreement. We have also agreed to reimburse Cowen up to $95,000 of Cowen’s actual outside legal expenses incurred by Cowen in connection with this offering. We estimate that the total expenses of the offering payable by us, excluding commissions payable to Cowen under the sales agreement, will be approximately $320,000.</w:t>
      </w:r>
    </w:p>
    <w:p>
      <w:pPr>
        <w:spacing w:after="0" w:line="18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Cowen will provide written confirmation to us following the close of trading on The Nasdaq Stock Market LLC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Cowen under the sales agreement, the net proceeds to us and the compensation paid by us to Cowen in connection with the sales of common stock. We will also report the number of shares of common stock sold through Cowen under the sales agreement to the ASX in accordance with the requirements of the ASX Listing Rules.</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ASX Listing Rules may impose limits on the number of shares that we can issue under the sales agreement without shareholder approval. In particular, Listing Rule 7.1 provides that a company may not, without prior shareholder approval, issue, or agree to issue, an amount of equity securities in any twelve-month period exceeding 15% of the number of shares outstanding at the commencement of that 12-month period.</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After May 28, 2024, settlement for sales of common stock will occur on the first business day that is also a trading day (or such earlier day as is industry practice for regular-way trading) following the date on which any sales were made in return for payment of the net proceeds to us. There is no arrangement for funds to be received in an escrow, trust or similar arrangement.</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Cowen may be deemed to be an “underwriter” within the meaning of the Securities Act, and the compensation paid to Cowen may be deemed to be underwriting commissions or discounts. We have agreed in the sales agreement to provide indemnification and contribution to Cowen against certain liabilities, including liabilities under the Securities Act. As sales agent, Cowen will not engage in any transaction that stabilizes our common stock.</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LLC and trades under the symbol “RCEL”. The transfer agent of our common stock is Computershare Trust Company, N.A. Our CDIs are listed on the ASX under the symbol “AVH”, with five CDIs being equivalent to one share of our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K&amp;L Gates LLP, Seattle, Washington. The sales agent is represented in this offering by Davis Polk &amp; Wardwell LLP, Menlo Park, California.</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we filed with the SEC under the Securities Act. This prospectus supplement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87"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w:t>
      </w:r>
    </w:p>
    <w:p>
      <w:pPr>
        <w:spacing w:after="0" w:line="14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www.avitamedical.com. The information set forth on, or accessible through, our website is not part of this prospectus supplement.</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supplement, and later information that we file with the SEC automatically updates and supersedes this information. We incorporate by reference the documents listed below, except to the extent information in those documents is different from the information contained in this prospectus supplement, and all future documents filed with the SEC under Sections 13(a), 13(c), 14, or 15(d) of the Exchange Act until we terminate the offering of these securities (unless otherwise noted, the SEC file number for each of the documents listed below is 001-39059):</w:t>
      </w:r>
    </w:p>
    <w:p>
      <w:pPr>
        <w:spacing w:after="0" w:line="93"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February 23,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3">
        <w:r>
          <w:rPr>
            <w:rFonts w:ascii="Times New Roman" w:cs="Times New Roman" w:eastAsia="Times New Roman" w:hAnsi="Times New Roman"/>
            <w:sz w:val="18"/>
            <w:szCs w:val="18"/>
            <w:u w:val="single" w:color="auto"/>
            <w:color w:val="0000EE"/>
          </w:rPr>
          <w:t>January 20,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21,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22, 2023</w:t>
        </w:r>
      </w:hyperlink>
      <w:r>
        <w:rPr>
          <w:rFonts w:ascii="Times New Roman" w:cs="Times New Roman" w:eastAsia="Times New Roman" w:hAnsi="Times New Roman"/>
          <w:sz w:val="18"/>
          <w:szCs w:val="18"/>
          <w:color w:val="auto"/>
        </w:rPr>
        <w:t xml:space="preserve">, and </w:t>
      </w:r>
      <w:hyperlink r:id="rId46">
        <w:r>
          <w:rPr>
            <w:rFonts w:ascii="Times New Roman" w:cs="Times New Roman" w:eastAsia="Times New Roman" w:hAnsi="Times New Roman"/>
            <w:sz w:val="18"/>
            <w:szCs w:val="18"/>
            <w:u w:val="single" w:color="auto"/>
            <w:color w:val="0000EE"/>
          </w:rPr>
          <w:t>March 27,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our common stock contained in </w:t>
      </w:r>
      <w:hyperlink r:id="rId4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February 23, 2022, including any amendment or reports filed for the purpose of updating this description;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or 15(d) of the Exchange Act prior to the termination of this offering (other than information furnished under Item 2.02 or Item 7.01 of any Form 8-K which information is not deemed filed under the Exchange Act).</w:t>
      </w:r>
    </w:p>
    <w:p>
      <w:pPr>
        <w:spacing w:after="0" w:line="108"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may request and obtain a copy of any or all of the documents that are incorporated by reference into this prospectus supplement but not delivered with the prospectus supplement, including exhibits that are specifically incorporated by reference into such documents, at no cost, by writing or telephoning us at the following address or phone number:</w:t>
      </w:r>
    </w:p>
    <w:p>
      <w:pPr>
        <w:spacing w:after="0" w:line="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28159 Avenue Stanford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Suite 220</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(661) 367-9170</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Attn: Donna Shiroma, General Counsel</w:t>
      </w:r>
    </w:p>
    <w:p>
      <w:pPr>
        <w:spacing w:after="0" w:line="3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00"/>
          </w:cols>
          <w:pgMar w:left="320" w:top="455"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Up to 3,799,164</w:t>
      </w:r>
    </w:p>
    <w:p>
      <w:pPr>
        <w:spacing w:after="0" w:line="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Shares of</w:t>
      </w:r>
    </w:p>
    <w:p>
      <w:pPr>
        <w:spacing w:after="0" w:line="385"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relating to the issuance and distribution of the securities being registered hereby, other than underwriting discounts and commissions, all of which shall be borne by the Company. All such fees and expenses, except for the SEC Registration Fee, are estimated:</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$7,760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and expenses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bl>
    <w:p>
      <w:pPr>
        <w:spacing w:after="0" w:line="98"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number of issuances and the amount of securities offered and accordingly cannot be estimated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Officers and Directors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AVITA Medical’s certificate of incorporation limits the liability of directors to the maximum extent permitted by Section 145 of the Delaware General Corporation Law. Delaware law provides that the directors of a corporation will not be personally liable to such corporation or its stockholders for monetary damages for breach of their fiduciary duties as directors, except for liability (i) for any breach of their duty of loyalty to the corporation or its stockholders; (ii) for acts or omissions not in good faith or which involve intentional misconduct or a knowing violation of law; (iii) for unlawful payments of dividends or unlawful stock repurchases or redemptions as provided in Section 174 of the Delaware General Corporation Law; or (iv) for any transaction from which the director derives an improper personal benefit.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provides officers’ and directors’ liability insurance for its officers and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20" w:type="dxa"/>
            <w:vAlign w:val="bottom"/>
          </w:tcPr>
          <w:p>
            <w:pPr>
              <w:spacing w:after="0"/>
              <w:rPr>
                <w:sz w:val="15"/>
                <w:szCs w:val="15"/>
                <w:color w:val="auto"/>
              </w:rPr>
            </w:pPr>
          </w:p>
        </w:tc>
        <w:tc>
          <w:tcPr>
            <w:tcW w:w="96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1"/>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Underwriting Agreement **</w:t>
            </w:r>
          </w:p>
        </w:tc>
      </w:tr>
      <w:tr>
        <w:trPr>
          <w:trHeight w:val="283"/>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Sales Agreement, by and between the Company and Cowen and Company, LLC, dated April 14, 2023*</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Incorporation of the Company (Incorporated by reference to Exhibit 3.1 of the Form 8-K12G of the Company filed</w:t>
              </w:r>
            </w:hyperlink>
          </w:p>
        </w:tc>
        <w:tc>
          <w:tcPr>
            <w:tcW w:w="40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June 30, 2020.)</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4"/>
                <w:szCs w:val="24"/>
                <w:color w:val="auto"/>
              </w:rPr>
            </w:pPr>
          </w:p>
        </w:tc>
        <w:tc>
          <w:tcPr>
            <w:tcW w:w="9680" w:type="dxa"/>
            <w:vAlign w:val="bottom"/>
            <w:gridSpan w:val="10"/>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Amendment of Certificate of Incorporation (incorporated by reference to Exhibit 3.2 of the Form 10-KT filed on</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February 28, 2022)</w:t>
              </w:r>
            </w:hyperlink>
          </w:p>
        </w:tc>
        <w:tc>
          <w:tcPr>
            <w:tcW w:w="7720" w:type="dxa"/>
            <w:vAlign w:val="bottom"/>
            <w:tcBorders>
              <w:top w:val="single" w:sz="8" w:color="0000EE"/>
            </w:tcBorders>
            <w:gridSpan w:val="5"/>
          </w:tcPr>
          <w:p>
            <w:pPr>
              <w:spacing w:after="0"/>
              <w:rPr>
                <w:sz w:val="17"/>
                <w:szCs w:val="17"/>
                <w:color w:val="auto"/>
              </w:rPr>
            </w:pPr>
          </w:p>
        </w:tc>
        <w:tc>
          <w:tcPr>
            <w:tcW w:w="580" w:type="dxa"/>
            <w:vAlign w:val="bottom"/>
            <w:gridSpan w:val="3"/>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4"/>
                <w:szCs w:val="24"/>
                <w:color w:val="auto"/>
              </w:rPr>
            </w:pPr>
          </w:p>
        </w:tc>
        <w:tc>
          <w:tcPr>
            <w:tcW w:w="9680" w:type="dxa"/>
            <w:vAlign w:val="bottom"/>
            <w:gridSpan w:val="10"/>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Amended and Restated Bylaws of the Company (Incorporated by reference to Exhibit 3.3 of the Company’s Form 10-KT filed on</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February 28, 2022)</w:t>
              </w:r>
            </w:hyperlink>
          </w:p>
        </w:tc>
        <w:tc>
          <w:tcPr>
            <w:tcW w:w="7940" w:type="dxa"/>
            <w:vAlign w:val="bottom"/>
            <w:tcBorders>
              <w:top w:val="single" w:sz="8" w:color="0000EE"/>
            </w:tcBorders>
            <w:gridSpan w:val="7"/>
          </w:tcPr>
          <w:p>
            <w:pPr>
              <w:spacing w:after="0"/>
              <w:rPr>
                <w:sz w:val="17"/>
                <w:szCs w:val="17"/>
                <w:color w:val="auto"/>
              </w:rPr>
            </w:pPr>
          </w:p>
        </w:tc>
        <w:tc>
          <w:tcPr>
            <w:tcW w:w="360" w:type="dxa"/>
            <w:vAlign w:val="bottom"/>
          </w:tcPr>
          <w:p>
            <w:pPr>
              <w:spacing w:after="0"/>
              <w:rPr>
                <w:sz w:val="17"/>
                <w:szCs w:val="17"/>
                <w:color w:val="auto"/>
              </w:rPr>
            </w:pPr>
          </w:p>
        </w:tc>
      </w:tr>
      <w:tr>
        <w:trPr>
          <w:trHeight w:val="345"/>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Certificate of Designation of Preferred Stock **</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Preferred Stock Certificate **</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Warrant Agreement (including form of Warrant Certificate) **</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Unit Agreement (including form of Unit Certificate) **</w:t>
            </w:r>
          </w:p>
        </w:tc>
      </w:tr>
      <w:tr>
        <w:trPr>
          <w:trHeight w:val="283"/>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K&amp;L Gates LLP as to the legality of the securities being issued*</w:t>
            </w:r>
          </w:p>
        </w:tc>
      </w:tr>
      <w:tr>
        <w:trPr>
          <w:trHeight w:val="30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24"/>
                <w:szCs w:val="24"/>
                <w:color w:val="auto"/>
              </w:rPr>
            </w:pPr>
          </w:p>
        </w:tc>
        <w:tc>
          <w:tcPr>
            <w:tcW w:w="54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Consent of Grant Thornton LLP*</w:t>
            </w:r>
          </w:p>
        </w:tc>
        <w:tc>
          <w:tcPr>
            <w:tcW w:w="4220" w:type="dxa"/>
            <w:vAlign w:val="bottom"/>
            <w:gridSpan w:val="5"/>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K&amp;L Gates LLP (included within Exhibit 5.1)*</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60" w:hanging="1254"/>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(included in the signature page hereto)</w:t>
      </w:r>
    </w:p>
    <w:p>
      <w:pPr>
        <w:spacing w:after="0" w:line="117" w:lineRule="exact"/>
        <w:rPr>
          <w:sz w:val="20"/>
          <w:szCs w:val="20"/>
          <w:color w:val="auto"/>
        </w:rPr>
      </w:pPr>
    </w:p>
    <w:p>
      <w:pPr>
        <w:ind w:left="1460" w:hanging="1344"/>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document to be incorporated by reference herein in connection with the issuance of the securities.</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540" w:hanging="439"/>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30" w:lineRule="exact"/>
        <w:rPr>
          <w:rFonts w:ascii="Times New Roman" w:cs="Times New Roman" w:eastAsia="Times New Roman" w:hAnsi="Times New Roman"/>
          <w:sz w:val="18"/>
          <w:szCs w:val="18"/>
          <w:color w:val="auto"/>
        </w:rPr>
      </w:pPr>
    </w:p>
    <w:p>
      <w:pPr>
        <w:ind w:left="2080" w:hanging="533"/>
        <w:spacing w:after="0" w:line="254" w:lineRule="auto"/>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2080" w:right="540" w:hanging="533"/>
        <w:spacing w:after="0" w:line="282" w:lineRule="auto"/>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 (ii) and (iii)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subparagraphs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87" w:lineRule="exact"/>
        <w:rPr>
          <w:sz w:val="20"/>
          <w:szCs w:val="20"/>
          <w:color w:val="auto"/>
        </w:rPr>
      </w:pPr>
    </w:p>
    <w:p>
      <w:pPr>
        <w:ind w:left="1540" w:right="180" w:hanging="439"/>
        <w:spacing w:after="0" w:line="266"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the registrant is relying on Rule 430B:</w:t>
      </w:r>
    </w:p>
    <w:p>
      <w:pPr>
        <w:spacing w:after="0" w:line="27" w:lineRule="exact"/>
        <w:rPr>
          <w:rFonts w:ascii="Times New Roman" w:cs="Times New Roman" w:eastAsia="Times New Roman" w:hAnsi="Times New Roman"/>
          <w:sz w:val="18"/>
          <w:szCs w:val="18"/>
          <w:color w:val="auto"/>
        </w:rPr>
      </w:pPr>
    </w:p>
    <w:p>
      <w:pPr>
        <w:ind w:left="15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96" w:lineRule="exact"/>
        <w:rPr>
          <w:rFonts w:ascii="Times New Roman" w:cs="Times New Roman" w:eastAsia="Times New Roman" w:hAnsi="Times New Roman"/>
          <w:sz w:val="18"/>
          <w:szCs w:val="18"/>
          <w:color w:val="auto"/>
        </w:rPr>
      </w:pPr>
    </w:p>
    <w:p>
      <w:pPr>
        <w:ind w:left="1540" w:right="80" w:hanging="439"/>
        <w:spacing w:after="0" w:line="258"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2080" w:right="20" w:hanging="533"/>
        <w:spacing w:after="0" w:line="282" w:lineRule="auto"/>
        <w:tabs>
          <w:tab w:leader="none" w:pos="2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080" w:right="100" w:hanging="533"/>
        <w:spacing w:after="0" w:line="282" w:lineRule="auto"/>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080" w:hanging="533"/>
        <w:spacing w:after="0" w:line="282" w:lineRule="auto"/>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Valencia, California, on April 14, 2023.</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James Corbett</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James Corbett and Sean Ekins,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88"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April 14,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Corbett</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Ekins</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Ekins</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 Panaccio</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3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Curnock Cook</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33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Suzanne Crowe</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33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Stern Reed</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33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McNamara</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33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Cary Vance</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Cary Vance</w:t>
            </w:r>
          </w:p>
        </w:tc>
        <w:tc>
          <w:tcPr>
            <w:tcW w:w="3340" w:type="dxa"/>
            <w:vAlign w:val="bottom"/>
          </w:tcPr>
          <w:p>
            <w:pPr>
              <w:spacing w:after="0"/>
              <w:rPr>
                <w:sz w:val="19"/>
                <w:szCs w:val="19"/>
                <w:color w:val="auto"/>
              </w:rPr>
            </w:pPr>
          </w:p>
        </w:tc>
      </w:tr>
    </w:tbl>
    <w:p>
      <w:pPr>
        <w:sectPr>
          <w:pgSz w:w="11900" w:h="16838" w:orient="portrait"/>
          <w:cols w:equalWidth="0" w:num="1">
            <w:col w:w="11120"/>
          </w:cols>
          <w:pgMar w:left="320" w:top="455" w:right="4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3,799,164</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April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196" w:lineRule="auto"/>
        <w:rPr>
          <w:sz w:val="20"/>
          <w:szCs w:val="20"/>
          <w:color w:val="auto"/>
        </w:rPr>
      </w:pPr>
      <w:r>
        <w:rPr>
          <w:rFonts w:ascii="Times New Roman" w:cs="Times New Roman" w:eastAsia="Times New Roman" w:hAnsi="Times New Roman"/>
          <w:sz w:val="18"/>
          <w:szCs w:val="18"/>
          <w:color w:val="auto"/>
        </w:rPr>
        <w:t>599 Lexington Avenue,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AVITA Medical,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Cowen and Company, LLC (“</w:t>
      </w:r>
      <w:r>
        <w:rPr>
          <w:rFonts w:ascii="Times New Roman" w:cs="Times New Roman" w:eastAsia="Times New Roman" w:hAnsi="Times New Roman"/>
          <w:sz w:val="18"/>
          <w:szCs w:val="18"/>
          <w:b w:val="1"/>
          <w:bCs w:val="1"/>
          <w:u w:val="single" w:color="auto"/>
          <w:color w:val="auto"/>
        </w:rPr>
        <w:t>Cowen</w:t>
      </w:r>
      <w:r>
        <w:rPr>
          <w:rFonts w:ascii="Times New Roman" w:cs="Times New Roman" w:eastAsia="Times New Roman" w:hAnsi="Times New Roman"/>
          <w:sz w:val="18"/>
          <w:szCs w:val="18"/>
          <w:color w:val="auto"/>
        </w:rPr>
        <w:t>”), as follows:</w:t>
      </w:r>
    </w:p>
    <w:p>
      <w:pPr>
        <w:spacing w:after="0" w:line="51" w:lineRule="exact"/>
        <w:rPr>
          <w:sz w:val="20"/>
          <w:szCs w:val="20"/>
          <w:color w:val="auto"/>
        </w:rPr>
      </w:pPr>
    </w:p>
    <w:p>
      <w:pPr>
        <w:ind w:right="160" w:firstLine="436"/>
        <w:spacing w:after="0" w:line="254"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Cowen, acting as agent and/or principal, up to 3,799,164 shares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after such Registration Statement has been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(as defined below) to issue the Common Stock.</w:t>
      </w:r>
    </w:p>
    <w:p>
      <w:pPr>
        <w:spacing w:after="0" w:line="19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shall file,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supplement specifically relating to the Placement Shares (the “</w:t>
      </w:r>
      <w:r>
        <w:rPr>
          <w:rFonts w:ascii="Times New Roman" w:cs="Times New Roman" w:eastAsia="Times New Roman" w:hAnsi="Times New Roman"/>
          <w:sz w:val="18"/>
          <w:szCs w:val="18"/>
          <w:b w:val="1"/>
          <w:bCs w:val="1"/>
          <w:u w:val="single" w:color="auto"/>
          <w:color w:val="auto"/>
        </w:rPr>
        <w:t>ATM Prospectus</w:t>
      </w:r>
      <w:r>
        <w:rPr>
          <w:rFonts w:ascii="Times New Roman" w:cs="Times New Roman" w:eastAsia="Times New Roman" w:hAnsi="Times New Roman"/>
          <w:sz w:val="18"/>
          <w:szCs w:val="18"/>
          <w:color w:val="auto"/>
        </w:rPr>
        <w:t>”) to the base prospectus included as part of such registration statement, and shall, if necessary, prepare a prospectus supplement specifically relating to the Placement Shares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shall furnish to Cowen, for use by Cowen, copies of the prospectus included as part of such registration statement, as supplemented by the ATM Prospectus and the Prospectus Supplement, if any, relating to the Placement Shares. Except where the context otherwise</w:t>
      </w:r>
    </w:p>
    <w:p>
      <w:pPr>
        <w:sectPr>
          <w:pgSz w:w="11900" w:h="16838" w:orient="portrait"/>
          <w:cols w:equalWidth="0" w:num="1">
            <w:col w:w="11020"/>
          </w:cols>
          <w:pgMar w:left="440" w:top="117"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requires, such registration statement, and any post-effective amendment thereto, as amended when it becomes effective, including all documents filed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thereof or incorporated by reference therein, and including any information contained in a Prospectus (as defined below) subsequently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424(b) under the Securities Act or deemed to be a part of such registration statement pursuant to Rule 430B or 462(b)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 or any subsequent registration statement on Form S-3 filed pursuant to Rule 415(a)(6) under the Securities Act by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any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therein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included in the Registration Statement, as it may be supplemented by the ATM Prospectus and the Prospectus Supplement, if any, in the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which such prospectus, ATM Prospectus and/or Prospectus Supplement have most recently been filed by the Company with the Commission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Rule 424(b) under the Securities Act, together with any “issuer free writing prospectus,” as defined in Rule 433 of the Securities Act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consented to by Cowen,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required to be filed with the Commission by the Company or (iii) is exempt from filing pursuant to Rule 433(d)(5)(i), in each case in the form filed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filed with the Commission or, if not required to be filed, in the form retained in the Company’s records pursuant to Rule 433(g), is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called the “</w:t>
      </w:r>
      <w:r>
        <w:rPr>
          <w:rFonts w:ascii="Times New Roman" w:cs="Times New Roman" w:eastAsia="Times New Roman" w:hAnsi="Times New Roman"/>
          <w:sz w:val="17"/>
          <w:szCs w:val="17"/>
          <w:b w:val="1"/>
          <w:bCs w:val="1"/>
          <w:u w:val="single" w:color="auto"/>
          <w:color w:val="auto"/>
        </w:rPr>
        <w:t>Prospectus</w:t>
      </w:r>
      <w:r>
        <w:rPr>
          <w:rFonts w:ascii="Times New Roman" w:cs="Times New Roman" w:eastAsia="Times New Roman" w:hAnsi="Times New Roman"/>
          <w:sz w:val="17"/>
          <w:szCs w:val="17"/>
          <w:color w:val="auto"/>
        </w:rPr>
        <w:t>.” Any reference herein to the Registration Statement, the Prospectus or any amendment or supplement thereto shall be deemed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and include the documents incorporated by reference therein, and any reference herein to the terms “amend,” “amendment” or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Registration Statement or the Prospectus shall be deemed to refer to and include the filing after the execution hereof of any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Commission deemed to be incorporated by reference therein. For purposes of this Agreement, all references to the Registration Statement,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to any amendment or supplement thereto shall be deemed to include any copy filed with the Commission pursuant to the Electronic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40" w:firstLine="436"/>
        <w:spacing w:after="0" w:line="253"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the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Cowen by email notice (or other method mutually agreed to in writing by the parties)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any minimum price below which sales may not be made and the aggregate dollar amount of Placement Shares that may be sold under this Agreement as of the time of the Placement Notice, a form of which containing such minimum sales parameters necessary is attached hereto as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color w:val="auto"/>
        </w:rPr>
        <w:t>. The Placement Notice shall originate from any of the individuals from the Company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copy to each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individuals from the Company listed on such schedule), and shall be addressed to each of the individuals from Cowen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from time to time. The Placement Notice shall be effective upon receipt by Cowen unless and until (i)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Cowen declines to accept the terms contained therein for any reason, in its sole discretion, (ii) the entire amount of the Placement Shares have been sold, (iii)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Company suspends or terminates the Placement Notice, (iv) the Company issues a subsequent Placement Notice with parameters superseding those in the earlier</w:t>
      </w:r>
    </w:p>
    <w:p>
      <w:pPr>
        <w:spacing w:after="0" w:line="126"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0"/>
          </w:cols>
          <w:pgMar w:left="440" w:top="270" w:right="459" w:bottom="1440" w:gutter="0" w:footer="0" w:header="0"/>
        </w:sectPr>
      </w:pPr>
    </w:p>
    <w:bookmarkStart w:id="40" w:name="page41"/>
    <w:bookmarkEnd w:id="40"/>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dated Placement Notice, or (v) this Agreement has been terminated under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amount of any discount, commission or other compensation to be paid by the Company to Cowen in connection with the sale of the Placement Shares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Notwithstanding any other provision of this Agreement, the Company shall not instruct Cowen, through a Placement Notice, to sell a number of Placement Shares beyond that permitted by the Listing Rules (as defined below) it is subjected to.</w:t>
      </w:r>
    </w:p>
    <w:p>
      <w:pPr>
        <w:spacing w:after="0" w:line="192" w:lineRule="exact"/>
        <w:rPr>
          <w:sz w:val="20"/>
          <w:szCs w:val="20"/>
          <w:color w:val="auto"/>
        </w:rPr>
      </w:pPr>
    </w:p>
    <w:p>
      <w:pPr>
        <w:ind w:left="4" w:firstLine="436"/>
        <w:spacing w:after="0" w:line="267" w:lineRule="auto"/>
        <w:tabs>
          <w:tab w:leader="none" w:pos="62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of Placement Shares by Cowen.</w:t>
      </w:r>
      <w:r>
        <w:rPr>
          <w:rFonts w:ascii="Times New Roman" w:cs="Times New Roman" w:eastAsia="Times New Roman" w:hAnsi="Times New Roman"/>
          <w:sz w:val="17"/>
          <w:szCs w:val="17"/>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Times New Roman" w:cs="Times New Roman" w:eastAsia="Times New Roman" w:hAnsi="Times New Roman"/>
          <w:sz w:val="17"/>
          <w:szCs w:val="17"/>
          <w:b w:val="1"/>
          <w:bCs w:val="1"/>
          <w:u w:val="single" w:color="auto"/>
          <w:color w:val="auto"/>
        </w:rPr>
        <w:t>Nasdaq</w:t>
      </w:r>
      <w:r>
        <w:rPr>
          <w:rFonts w:ascii="Times New Roman" w:cs="Times New Roman" w:eastAsia="Times New Roman" w:hAnsi="Times New Roman"/>
          <w:sz w:val="17"/>
          <w:szCs w:val="17"/>
          <w:color w:val="auto"/>
        </w:rPr>
        <w:t xml:space="preserve">”) to sell such Placement Shares up to the amount specified, and otherwise in accordance with the terms of such Placement Notice. Cowen will provide written confirmation to the Company (including by email correspondence to each of the individuals of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Cowen for a sale of Placement Shares that would constitute a “block” within the meaning of Rule 10b-18(a)(5) under the Exchange Act (a “</w:t>
      </w:r>
      <w:r>
        <w:rPr>
          <w:rFonts w:ascii="Times New Roman" w:cs="Times New Roman" w:eastAsia="Times New Roman" w:hAnsi="Times New Roman"/>
          <w:sz w:val="17"/>
          <w:szCs w:val="17"/>
          <w:b w:val="1"/>
          <w:bCs w:val="1"/>
          <w:u w:val="single" w:color="auto"/>
          <w:color w:val="auto"/>
        </w:rPr>
        <w:t>Block Sale</w:t>
      </w:r>
      <w:r>
        <w:rPr>
          <w:rFonts w:ascii="Times New Roman" w:cs="Times New Roman" w:eastAsia="Times New Roman" w:hAnsi="Times New Roman"/>
          <w:sz w:val="17"/>
          <w:szCs w:val="17"/>
          <w:color w:val="auto"/>
        </w:rPr>
        <w:t xml:space="preserve">”), the Company will provide Cowen, at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hereof, each dated the Settlement Date, and such other documents and information as Cowen shall reasonably request. Cowen may sell Placement Shares by any method permitted by law deemed to be an “at the market” offering as defined in Rule 415 of the Securities Act, including without limitation sales made through Nasdaq or on any other existing trading market for the Common Stock. Cowen shall not purchase Placement Shares for its own account as principal unless expressly authorized to do so by the Company in a Placement Notice. The Company acknowledges and agrees that (i) there can be no assurance that Cowen will be successful in selling Placement Shares, (ii) 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and</w:t>
      </w:r>
    </w:p>
    <w:p>
      <w:pPr>
        <w:spacing w:after="0" w:line="207" w:lineRule="exact"/>
        <w:rPr>
          <w:rFonts w:ascii="Times New Roman" w:cs="Times New Roman" w:eastAsia="Times New Roman" w:hAnsi="Times New Roman"/>
          <w:sz w:val="17"/>
          <w:szCs w:val="17"/>
          <w:color w:val="auto"/>
        </w:rPr>
      </w:pPr>
    </w:p>
    <w:p>
      <w:pPr>
        <w:ind w:left="4" w:right="140" w:hanging="4"/>
        <w:spacing w:after="0" w:line="255"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Company’s sole responsibility to not instruct Cowen to sell a number of Placement Shares beyond that permitted by the Listing Rules.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Company’s Common Stock is purchased and sold on the principal market on which the Common Stock is listed or quoted.</w:t>
      </w:r>
    </w:p>
    <w:p>
      <w:pPr>
        <w:spacing w:after="0" w:line="11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84"/>
          </w:cols>
          <w:pgMar w:left="436" w:top="270" w:right="479" w:bottom="1440" w:gutter="0" w:footer="0" w:header="0"/>
        </w:sectPr>
      </w:pPr>
    </w:p>
    <w:bookmarkStart w:id="41" w:name="page42"/>
    <w:bookmarkEnd w:id="4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the Company shall not offer, sell or deliver, or request the offer or sale, of any Placement Shares pursuant to this Agreement and, by notice to Cowen given by telephone (confirmed promptly by email), shall cancel any instructions for the offer or sale of any Placement Shares, and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b w:val="1"/>
          <w:bCs w:val="1"/>
          <w:u w:val="single" w:color="auto"/>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Announcement</w:t>
      </w:r>
      <w:r>
        <w:rPr>
          <w:rFonts w:ascii="Times New Roman" w:cs="Times New Roman" w:eastAsia="Times New Roman" w:hAnsi="Times New Roman"/>
          <w:sz w:val="18"/>
          <w:szCs w:val="18"/>
          <w:color w:val="auto"/>
        </w:rPr>
        <w:t>”) through and including the time that the Company files a Quarterly Report on Form 10-Q or an Annual Report on Form 10-K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consolidated financial statements as of and for the same period or periods, as the case may be, covered by such Earnings Announcement.</w:t>
      </w:r>
    </w:p>
    <w:p>
      <w:pPr>
        <w:spacing w:after="0" w:line="189" w:lineRule="exact"/>
        <w:rPr>
          <w:sz w:val="20"/>
          <w:szCs w:val="20"/>
          <w:color w:val="auto"/>
        </w:rPr>
      </w:pPr>
    </w:p>
    <w:p>
      <w:pPr>
        <w:ind w:left="620" w:hanging="184"/>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5"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Cowen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promptly by verifiable facsimile transmission or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the other unless it is made to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as such schedule may be amended from time to time.</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176" w:lineRule="exact"/>
        <w:rPr>
          <w:sz w:val="20"/>
          <w:szCs w:val="20"/>
          <w:color w:val="auto"/>
        </w:rPr>
      </w:pPr>
    </w:p>
    <w:p>
      <w:pPr>
        <w:ind w:left="620" w:hanging="18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p>
    <w:p>
      <w:pPr>
        <w:spacing w:after="0" w:line="117" w:lineRule="exact"/>
        <w:rPr>
          <w:sz w:val="20"/>
          <w:szCs w:val="20"/>
          <w:color w:val="auto"/>
        </w:rPr>
      </w:pPr>
    </w:p>
    <w:p>
      <w:pPr>
        <w:ind w:left="1420" w:right="40" w:firstLine="391"/>
        <w:spacing w:after="0" w:line="221" w:lineRule="auto"/>
        <w:tabs>
          <w:tab w:leader="none" w:pos="20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and the first such settlement date, the “</w:t>
      </w:r>
      <w:r>
        <w:rPr>
          <w:rFonts w:ascii="Times New Roman" w:cs="Times New Roman" w:eastAsia="Times New Roman" w:hAnsi="Times New Roman"/>
          <w:sz w:val="18"/>
          <w:szCs w:val="18"/>
          <w:b w:val="1"/>
          <w:bCs w:val="1"/>
          <w:u w:val="single" w:color="auto"/>
          <w:color w:val="auto"/>
        </w:rPr>
        <w:t>First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and after May 28, 2024, settlement for sales of Placement Shares will occur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(or such earlier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is industry practice for regular-way trading) following the date on which such sales are made. The amount of proceeds to be delivered to the Company on a Settlement</w:t>
      </w:r>
    </w:p>
    <w:p>
      <w:pPr>
        <w:spacing w:after="0" w:line="131"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20"/>
          </w:cols>
          <w:pgMar w:left="440" w:top="270" w:right="439" w:bottom="1440" w:gutter="0" w:footer="0" w:header="0"/>
        </w:sectPr>
      </w:pPr>
    </w:p>
    <w:bookmarkStart w:id="42" w:name="page43"/>
    <w:bookmarkEnd w:id="42"/>
    <w:p>
      <w:pPr>
        <w:ind w:left="984"/>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(ii) any other amounts due and payable by the Company to Cowen hereunder pursuant to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hereof, and (iii) any transaction fees imposed by any governmental or self-regulatory organization in respect of such sales.</w:t>
      </w:r>
    </w:p>
    <w:p>
      <w:pPr>
        <w:spacing w:after="0" w:line="75" w:lineRule="exact"/>
        <w:rPr>
          <w:sz w:val="20"/>
          <w:szCs w:val="20"/>
          <w:color w:val="auto"/>
        </w:rPr>
      </w:pPr>
    </w:p>
    <w:p>
      <w:pPr>
        <w:ind w:left="984" w:right="20" w:firstLine="391"/>
        <w:spacing w:after="0" w:line="252" w:lineRule="auto"/>
        <w:tabs>
          <w:tab w:leader="none" w:pos="162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Cowen’s or its designee’s account (provided Cowen shall have given the Company written notice of such designee at least one (1) Trading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Cowen will be responsible for providing DWAC instructions or instructions for delivery by other means with regard to the transfer of the Placement Shares being sold. The Company agrees that if the Company, or its transfer agent (if applicable), defaults in its obligation to deliver duly authorized Placement Shares on a Settlement Date (other than as a result of a failure by Cowen to provide instructions for delivery),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(Indemnification and Contribution) hereto, it will (i) hold Cowen harmless against any loss, claim, damage, or reasonable and documented expense (including reasonable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197" w:lineRule="exact"/>
        <w:rPr>
          <w:rFonts w:ascii="Times New Roman" w:cs="Times New Roman" w:eastAsia="Times New Roman" w:hAnsi="Times New Roman"/>
          <w:sz w:val="18"/>
          <w:szCs w:val="18"/>
          <w:color w:val="auto"/>
        </w:rPr>
      </w:pPr>
    </w:p>
    <w:p>
      <w:pPr>
        <w:ind w:left="-436" w:firstLine="436"/>
        <w:spacing w:after="0" w:line="261" w:lineRule="auto"/>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otherwise disclosed in the Registration Statement or the Prospectus, the Company represents and warrants to, and agrees with,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544"/>
          </w:cols>
          <w:pgMar w:left="876" w:top="266" w:right="479" w:bottom="1440" w:gutter="0" w:footer="0" w:header="0"/>
        </w:sectPr>
      </w:pPr>
    </w:p>
    <w:bookmarkStart w:id="43" w:name="page44"/>
    <w:bookmarkEnd w:id="43"/>
    <w:p>
      <w:pPr>
        <w:ind w:left="420" w:right="60" w:firstLine="391"/>
        <w:spacing w:after="0" w:line="254" w:lineRule="auto"/>
        <w:tabs>
          <w:tab w:leader="none" w:pos="10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Registration Requirements</w:t>
      </w:r>
      <w:r>
        <w:rPr>
          <w:rFonts w:ascii="Times New Roman" w:cs="Times New Roman" w:eastAsia="Times New Roman" w:hAnsi="Times New Roman"/>
          <w:sz w:val="18"/>
          <w:szCs w:val="18"/>
          <w:color w:val="auto"/>
        </w:rPr>
        <w:t>. The Registration Statement and any Rule 462(b) Registration Statement have or will have been declared effective by the Commission under the Securities Act and any Rule 462(b) Registration Statement shall have become effective under the Securities Act prior to the issuance of any Placement Notice by the Company.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The sale of the Placement Shares hereunder meets the requirements of General Instruction I.B.1 of Form S-3.</w:t>
      </w:r>
    </w:p>
    <w:p>
      <w:pPr>
        <w:spacing w:after="0" w:line="83" w:lineRule="exact"/>
        <w:rPr>
          <w:rFonts w:ascii="Times New Roman" w:cs="Times New Roman" w:eastAsia="Times New Roman" w:hAnsi="Times New Roman"/>
          <w:sz w:val="18"/>
          <w:szCs w:val="18"/>
          <w:color w:val="auto"/>
        </w:rPr>
      </w:pPr>
    </w:p>
    <w:p>
      <w:pPr>
        <w:ind w:left="420" w:firstLine="391"/>
        <w:spacing w:after="0" w:line="268" w:lineRule="auto"/>
        <w:tabs>
          <w:tab w:leader="none" w:pos="105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Misstatement or Omission</w:t>
      </w:r>
      <w:r>
        <w:rPr>
          <w:rFonts w:ascii="Times New Roman" w:cs="Times New Roman" w:eastAsia="Times New Roman" w:hAnsi="Times New Roman"/>
          <w:sz w:val="17"/>
          <w:szCs w:val="17"/>
          <w:color w:val="auto"/>
        </w:rPr>
        <w:t>. The Prospectus, when filed with the Commission, complied or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17"/>
          <w:szCs w:val="17"/>
          <w:b w:val="1"/>
          <w:bCs w:val="1"/>
          <w:u w:val="single" w:color="auto"/>
          <w:color w:val="auto"/>
        </w:rPr>
        <w:t>Time of Sale</w:t>
      </w:r>
      <w:r>
        <w:rPr>
          <w:rFonts w:ascii="Times New Roman" w:cs="Times New Roman" w:eastAsia="Times New Roman" w:hAnsi="Times New Roman"/>
          <w:sz w:val="17"/>
          <w:szCs w:val="17"/>
          <w:color w:val="auto"/>
        </w:rPr>
        <w:t>” means with respect to each offering of Placement Shares pursuant to this Agreement, the time of Cowen’s initial entry into contracts with purchasers for the sale of such Placement Shares.</w:t>
      </w:r>
    </w:p>
    <w:p>
      <w:pPr>
        <w:spacing w:after="0" w:line="114" w:lineRule="exact"/>
        <w:rPr>
          <w:rFonts w:ascii="Times New Roman" w:cs="Times New Roman" w:eastAsia="Times New Roman" w:hAnsi="Times New Roman"/>
          <w:sz w:val="17"/>
          <w:szCs w:val="17"/>
          <w:color w:val="auto"/>
        </w:rPr>
      </w:pPr>
    </w:p>
    <w:p>
      <w:pPr>
        <w:ind w:left="4460" w:hanging="106"/>
        <w:spacing w:after="0"/>
        <w:tabs>
          <w:tab w:leader="none" w:pos="4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9980"/>
          </w:cols>
          <w:pgMar w:left="1440" w:top="270" w:right="479" w:bottom="1440" w:gutter="0" w:footer="0" w:header="0"/>
        </w:sectPr>
      </w:pPr>
    </w:p>
    <w:bookmarkStart w:id="44" w:name="page45"/>
    <w:bookmarkEnd w:id="44"/>
    <w:p>
      <w:pPr>
        <w:ind w:left="420" w:right="20" w:firstLine="391"/>
        <w:spacing w:after="0" w:line="255" w:lineRule="auto"/>
        <w:tabs>
          <w:tab w:leader="none" w:pos="10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Offering Materials Furnished to Cowen</w:t>
      </w:r>
      <w:r>
        <w:rPr>
          <w:rFonts w:ascii="Times New Roman" w:cs="Times New Roman" w:eastAsia="Times New Roman" w:hAnsi="Times New Roman"/>
          <w:sz w:val="18"/>
          <w:szCs w:val="18"/>
          <w:color w:val="auto"/>
        </w:rPr>
        <w:t>. 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 The Registration Statement, the Prospectus and any Permitted Free Writing Prospectus (to the extent any such Permitted Free Writing Prospectus was required to be filed with the Commission) delivered to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80" w:lineRule="exact"/>
        <w:rPr>
          <w:rFonts w:ascii="Times New Roman" w:cs="Times New Roman" w:eastAsia="Times New Roman" w:hAnsi="Times New Roman"/>
          <w:sz w:val="18"/>
          <w:szCs w:val="18"/>
          <w:color w:val="auto"/>
        </w:rPr>
      </w:pPr>
    </w:p>
    <w:p>
      <w:pPr>
        <w:ind w:left="420" w:right="80" w:firstLine="391"/>
        <w:spacing w:after="0" w:line="282" w:lineRule="auto"/>
        <w:tabs>
          <w:tab w:leader="none" w:pos="10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is an “emerging growth company,” as defined in Section 2(a) of the Securities Act. The Company agrees to notify Cowen promptly upon the Company ceasing to be an emerging growth company.</w:t>
      </w:r>
    </w:p>
    <w:p>
      <w:pPr>
        <w:spacing w:after="0" w:line="53" w:lineRule="exact"/>
        <w:rPr>
          <w:rFonts w:ascii="Times New Roman" w:cs="Times New Roman" w:eastAsia="Times New Roman" w:hAnsi="Times New Roman"/>
          <w:sz w:val="18"/>
          <w:szCs w:val="18"/>
          <w:color w:val="auto"/>
        </w:rPr>
      </w:pPr>
    </w:p>
    <w:p>
      <w:pPr>
        <w:ind w:left="420" w:firstLine="391"/>
        <w:spacing w:after="0" w:line="258" w:lineRule="auto"/>
        <w:tabs>
          <w:tab w:leader="none" w:pos="10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any offering participant made a bona fide offer (within the meaning of Rule 164(h)(2) under the Securities Act) of the Placement Shares and at the date hereof, the Company was not and is not an “ineligible issuer,” as defined in Rule 405 under the Securities Act. The Company has paid the registration fee for this offering pursuant to Rule 457 under the Securities Act. The Company agrees to notify Cowen promptly upon the Company becoming an “ineligible issuer.”</w:t>
      </w:r>
    </w:p>
    <w:p>
      <w:pPr>
        <w:spacing w:after="0" w:line="75" w:lineRule="exact"/>
        <w:rPr>
          <w:rFonts w:ascii="Times New Roman" w:cs="Times New Roman" w:eastAsia="Times New Roman" w:hAnsi="Times New Roman"/>
          <w:sz w:val="18"/>
          <w:szCs w:val="18"/>
          <w:color w:val="auto"/>
        </w:rPr>
      </w:pPr>
    </w:p>
    <w:p>
      <w:pPr>
        <w:ind w:left="420" w:right="240" w:firstLine="391"/>
        <w:spacing w:after="0" w:line="266" w:lineRule="auto"/>
        <w:tabs>
          <w:tab w:leader="none" w:pos="10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67" w:lineRule="exact"/>
        <w:rPr>
          <w:rFonts w:ascii="Times New Roman" w:cs="Times New Roman" w:eastAsia="Times New Roman" w:hAnsi="Times New Roman"/>
          <w:sz w:val="18"/>
          <w:szCs w:val="18"/>
          <w:color w:val="auto"/>
        </w:rPr>
      </w:pPr>
    </w:p>
    <w:p>
      <w:pPr>
        <w:ind w:left="420" w:firstLine="391"/>
        <w:spacing w:after="0" w:line="266" w:lineRule="auto"/>
        <w:tabs>
          <w:tab w:leader="none" w:pos="10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67" w:lineRule="exact"/>
        <w:rPr>
          <w:rFonts w:ascii="Times New Roman" w:cs="Times New Roman" w:eastAsia="Times New Roman" w:hAnsi="Times New Roman"/>
          <w:sz w:val="18"/>
          <w:szCs w:val="18"/>
          <w:color w:val="auto"/>
        </w:rPr>
      </w:pPr>
    </w:p>
    <w:p>
      <w:pPr>
        <w:ind w:left="420" w:right="80" w:firstLine="391"/>
        <w:spacing w:after="0" w:line="261" w:lineRule="auto"/>
        <w:tabs>
          <w:tab w:leader="none" w:pos="10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Sales Agreement</w:t>
      </w:r>
      <w:r>
        <w:rPr>
          <w:rFonts w:ascii="Times New Roman" w:cs="Times New Roman" w:eastAsia="Times New Roman" w:hAnsi="Times New Roman"/>
          <w:sz w:val="18"/>
          <w:szCs w:val="18"/>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12"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9960"/>
          </w:cols>
          <w:pgMar w:left="1440" w:top="270" w:right="499" w:bottom="1440" w:gutter="0" w:footer="0" w:header="0"/>
        </w:sectPr>
      </w:pPr>
    </w:p>
    <w:bookmarkStart w:id="45" w:name="page46"/>
    <w:bookmarkEnd w:id="45"/>
    <w:p>
      <w:pPr>
        <w:ind w:left="420" w:right="20" w:firstLine="391"/>
        <w:spacing w:after="0" w:line="256" w:lineRule="auto"/>
        <w:tabs>
          <w:tab w:leader="none" w:pos="1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of the Common Stock</w:t>
      </w:r>
      <w:r>
        <w:rPr>
          <w:rFonts w:ascii="Times New Roman" w:cs="Times New Roman" w:eastAsia="Times New Roman" w:hAnsi="Times New Roman"/>
          <w:sz w:val="18"/>
          <w:szCs w:val="18"/>
          <w:color w:val="auto"/>
        </w:rPr>
        <w:t>. The Placement Shares, when issued and delivered, will be duly authorized for issuance and sale pursuant to this Agreement and, when issued and delivered by the Company against payment therefor pursuant to this Agreement (including the terms set forth in the applicable Placement Notice), will be duly authorized, validly issued, fully paid and nonassessable, free and clear of any pledge, lien, encumbrance, security interest, preemptive rights or other claim, and the issuance and sale of the Placement Shares by the Company is not subject to preemptive or other similar rights arising by operation of law, under the organizational documents of the Company or under any agreement to which the Company or any Subsidiary is a party.</w:t>
      </w:r>
    </w:p>
    <w:p>
      <w:pPr>
        <w:spacing w:after="0" w:line="79" w:lineRule="exact"/>
        <w:rPr>
          <w:rFonts w:ascii="Times New Roman" w:cs="Times New Roman" w:eastAsia="Times New Roman" w:hAnsi="Times New Roman"/>
          <w:sz w:val="18"/>
          <w:szCs w:val="18"/>
          <w:color w:val="auto"/>
        </w:rPr>
      </w:pPr>
    </w:p>
    <w:p>
      <w:pPr>
        <w:ind w:left="420" w:right="280" w:firstLine="391"/>
        <w:spacing w:after="0" w:line="266" w:lineRule="auto"/>
        <w:tabs>
          <w:tab w:leader="none" w:pos="1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67" w:lineRule="exact"/>
        <w:rPr>
          <w:rFonts w:ascii="Times New Roman" w:cs="Times New Roman" w:eastAsia="Times New Roman" w:hAnsi="Times New Roman"/>
          <w:sz w:val="18"/>
          <w:szCs w:val="18"/>
          <w:color w:val="auto"/>
        </w:rPr>
      </w:pPr>
    </w:p>
    <w:p>
      <w:pPr>
        <w:ind w:left="420" w:firstLine="391"/>
        <w:spacing w:after="0" w:line="253" w:lineRule="auto"/>
        <w:tabs>
          <w:tab w:leader="none" w:pos="10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or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spacing w:after="0" w:line="302" w:lineRule="exact"/>
        <w:rPr>
          <w:rFonts w:ascii="Times New Roman" w:cs="Times New Roman" w:eastAsia="Times New Roman" w:hAnsi="Times New Roman"/>
          <w:sz w:val="18"/>
          <w:szCs w:val="18"/>
          <w:color w:val="auto"/>
        </w:rPr>
      </w:pPr>
    </w:p>
    <w:p>
      <w:pPr>
        <w:ind w:left="420" w:right="40" w:firstLine="391"/>
        <w:spacing w:after="0" w:line="261" w:lineRule="auto"/>
        <w:tabs>
          <w:tab w:leader="none" w:pos="1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Grant Thornton LLP, who has expressed its opinion with respect to the financial statements of the Company (which term as used in this Agreement includes the related notes thereto) and supporting schedules filed with the Commission or incorporated by reference as a part of the Registration Statement and included in the Prospectus, is an independent registered public accounting firm with respect to the Company as required by the Securities Act and the Exchange Act.</w:t>
      </w:r>
    </w:p>
    <w:p>
      <w:pPr>
        <w:spacing w:after="0" w:line="112"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020"/>
          </w:cols>
          <w:pgMar w:left="1440" w:top="270" w:right="439" w:bottom="1440" w:gutter="0" w:footer="0" w:header="0"/>
        </w:sectPr>
      </w:pPr>
    </w:p>
    <w:bookmarkStart w:id="46" w:name="page47"/>
    <w:bookmarkEnd w:id="46"/>
    <w:p>
      <w:pPr>
        <w:ind w:left="420" w:firstLine="391"/>
        <w:spacing w:after="0" w:line="253"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Preparation of the Financial Statements</w:t>
      </w:r>
      <w:r>
        <w:rPr>
          <w:rFonts w:ascii="Times New Roman" w:cs="Times New Roman" w:eastAsia="Times New Roman" w:hAnsi="Times New Roman"/>
          <w:sz w:val="18"/>
          <w:szCs w:val="18"/>
          <w:color w:val="auto"/>
        </w:rPr>
        <w:t>. The financial statements (including the related notes thereto) filed with the Commission as a part of or incorporated by reference in the Registration Statement and included in the Prospectus comply in all material respects with the applicable requirements of the Securities Act and present fairly in all material respects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in all material respects the information required to be stated therein. The other financial information included in the Registration Statement and Prospectus present fairly in all material respects the information shown thereby. Such financial statements and supporting schedules have been prepared in conformity with generally accepted accounting principles as applied in the United States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applied on a consistent basis throughout the periods involved, except as may be expressly stated in the related notes thereto or, in the case of unaudited financial statements, which are subject to normal year-end adjustments and do not contain certain footnotes as permitted by the applicable rules of the Commission. Except as included therein, no other financial statements or supporting schedules are required to be included in or incorporated in the Registration Statement or the Prospectus under the Securities Act or the rules and regulations promulgated thereunder.</w:t>
      </w:r>
    </w:p>
    <w:p>
      <w:pPr>
        <w:spacing w:after="0" w:line="79" w:lineRule="exact"/>
        <w:rPr>
          <w:rFonts w:ascii="Times New Roman" w:cs="Times New Roman" w:eastAsia="Times New Roman" w:hAnsi="Times New Roman"/>
          <w:sz w:val="18"/>
          <w:szCs w:val="18"/>
          <w:color w:val="auto"/>
        </w:rPr>
      </w:pPr>
    </w:p>
    <w:p>
      <w:pPr>
        <w:ind w:left="420" w:right="220" w:firstLine="391"/>
        <w:spacing w:after="0" w:line="266" w:lineRule="auto"/>
        <w:tabs>
          <w:tab w:leader="none" w:pos="10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left="420" w:right="40" w:firstLine="391"/>
        <w:spacing w:after="0" w:line="255" w:lineRule="auto"/>
        <w:tabs>
          <w:tab w:leader="none" w:pos="10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 and its Subsidiaries</w:t>
      </w:r>
      <w:r>
        <w:rPr>
          <w:rFonts w:ascii="Times New Roman" w:cs="Times New Roman" w:eastAsia="Times New Roman" w:hAnsi="Times New Roman"/>
          <w:sz w:val="18"/>
          <w:szCs w:val="18"/>
          <w:color w:val="auto"/>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Each subsidiary of the Company (each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organized and is validly existing as a corporation or limited liability company in good standing under the laws of the jurisdiction of its organization and has the requisite power and authority to own, lease and operate its</w:t>
      </w:r>
    </w:p>
    <w:p>
      <w:pPr>
        <w:spacing w:after="0" w:line="121"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9980"/>
          </w:cols>
          <w:pgMar w:left="1440" w:top="270" w:right="479" w:bottom="1440" w:gutter="0" w:footer="0" w:header="0"/>
        </w:sectPr>
      </w:pPr>
    </w:p>
    <w:bookmarkStart w:id="47" w:name="page48"/>
    <w:bookmarkEnd w:id="47"/>
    <w:p>
      <w:pPr>
        <w:ind w:lef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properties and to conduct its business as described in the Prospectus.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84" w:lineRule="exact"/>
        <w:rPr>
          <w:sz w:val="20"/>
          <w:szCs w:val="20"/>
          <w:color w:val="auto"/>
        </w:rPr>
      </w:pPr>
    </w:p>
    <w:p>
      <w:pPr>
        <w:ind w:left="420" w:right="120" w:firstLine="391"/>
        <w:spacing w:after="0" w:line="253" w:lineRule="auto"/>
        <w:tabs>
          <w:tab w:leader="none" w:pos="10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Matters</w:t>
      </w:r>
      <w:r>
        <w:rPr>
          <w:rFonts w:ascii="Times New Roman" w:cs="Times New Roman" w:eastAsia="Times New Roman" w:hAnsi="Times New Roman"/>
          <w:sz w:val="18"/>
          <w:szCs w:val="18"/>
          <w:color w:val="auto"/>
        </w:rPr>
        <w:t>.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spacing w:after="0" w:line="86" w:lineRule="exact"/>
        <w:rPr>
          <w:rFonts w:ascii="Times New Roman" w:cs="Times New Roman" w:eastAsia="Times New Roman" w:hAnsi="Times New Roman"/>
          <w:sz w:val="18"/>
          <w:szCs w:val="18"/>
          <w:color w:val="auto"/>
        </w:rPr>
      </w:pPr>
    </w:p>
    <w:p>
      <w:pPr>
        <w:ind w:left="420" w:right="40" w:firstLine="391"/>
        <w:spacing w:after="0" w:line="261" w:lineRule="auto"/>
        <w:tabs>
          <w:tab w:leader="none" w:pos="10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is in violation of its charter or by-laws or is in default (or, with the giving of notice or lapse of time, would be in default) (“</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under any indenture, mortgage, loan or credit agreement, note, contract, franchise, lease or other instrument to which the Company or any of its Subsidiaries is a party or by which it or any of</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9980"/>
          </w:cols>
          <w:pgMar w:left="1440" w:top="270" w:right="479" w:bottom="1440" w:gutter="0" w:footer="0" w:header="0"/>
        </w:sectPr>
      </w:pPr>
    </w:p>
    <w:bookmarkStart w:id="48" w:name="page49"/>
    <w:bookmarkEnd w:id="48"/>
    <w:p>
      <w:pPr>
        <w:ind w:left="420"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them may be bound, or to which any of the property or assets of the Company or any of its Subsidiaries is subject (each, an “</w:t>
      </w:r>
      <w:r>
        <w:rPr>
          <w:rFonts w:ascii="Times New Roman" w:cs="Times New Roman" w:eastAsia="Times New Roman" w:hAnsi="Times New Roman"/>
          <w:sz w:val="18"/>
          <w:szCs w:val="18"/>
          <w:b w:val="1"/>
          <w:bCs w:val="1"/>
          <w:u w:val="single" w:color="auto"/>
          <w:color w:val="auto"/>
        </w:rPr>
        <w:t>Existing Instrument</w:t>
      </w:r>
      <w:r>
        <w:rPr>
          <w:rFonts w:ascii="Times New Roman" w:cs="Times New Roman" w:eastAsia="Times New Roman" w:hAnsi="Times New Roman"/>
          <w:sz w:val="18"/>
          <w:szCs w:val="18"/>
          <w:color w:val="auto"/>
        </w:rPr>
        <w:t>”), except for such Defaults as would not, individually or in the aggregate, result in a Material Adverse Change. The Company’s execution, delivery and performance of this Agreement, the issuance and sale of the Placement Shares and consummation of the transactions contemplated hereby and by the Prospectus (i) have been duly authorized by all necessary corporate action and will not result in any violation of the provisions of the charter or by-laws of the Company or any Subsidiary,</w:t>
      </w:r>
    </w:p>
    <w:p>
      <w:pPr>
        <w:spacing w:after="0" w:line="3" w:lineRule="exact"/>
        <w:rPr>
          <w:sz w:val="20"/>
          <w:szCs w:val="20"/>
          <w:color w:val="auto"/>
        </w:rPr>
      </w:pPr>
    </w:p>
    <w:p>
      <w:pPr>
        <w:ind w:left="700" w:hanging="272"/>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conflict with or constitute a breach of, or Default under, or result in the creation or imposition of any lien, charge or</w:t>
      </w:r>
    </w:p>
    <w:p>
      <w:pPr>
        <w:spacing w:after="0" w:line="9" w:lineRule="exact"/>
        <w:rPr>
          <w:rFonts w:ascii="Times New Roman" w:cs="Times New Roman" w:eastAsia="Times New Roman" w:hAnsi="Times New Roman"/>
          <w:sz w:val="18"/>
          <w:szCs w:val="18"/>
          <w:color w:val="auto"/>
        </w:rPr>
      </w:pPr>
    </w:p>
    <w:p>
      <w:pPr>
        <w:ind w:left="4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No consent, approval, authorization or other order of, or registration or filing with, any court or other governmental or regulatory authority or agency, is required for the Company’s execution, delivery and performance of this Agreement, the issuance and sale of the Placement Shares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20" w:right="140" w:firstLine="391"/>
        <w:spacing w:after="0" w:line="253" w:lineRule="auto"/>
        <w:tabs>
          <w:tab w:leader="none" w:pos="10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disclosed in the Registration Statement and the Prospectus, there are no legal, governmental or regulatory investigations, actions, suits or proceedings pending or, to the Company’s knowledge, contemplated or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or imminent. There are no current or pending legal, governmental or regulatory investigations, actions, suits or proceedings that are required under the Securities Act to be described in the Registration Statement or the Prospectus that are</w:t>
      </w:r>
    </w:p>
    <w:p>
      <w:pPr>
        <w:spacing w:after="0" w:line="124" w:lineRule="exact"/>
        <w:rPr>
          <w:rFonts w:ascii="Times New Roman" w:cs="Times New Roman" w:eastAsia="Times New Roman" w:hAnsi="Times New Roman"/>
          <w:sz w:val="18"/>
          <w:szCs w:val="18"/>
          <w:color w:val="auto"/>
        </w:rPr>
      </w:pPr>
    </w:p>
    <w:p>
      <w:pPr>
        <w:ind w:left="4420" w:hanging="108"/>
        <w:spacing w:after="0"/>
        <w:tabs>
          <w:tab w:leader="none" w:pos="44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000"/>
          </w:cols>
          <w:pgMar w:left="1440" w:top="270" w:right="459" w:bottom="1440" w:gutter="0" w:footer="0" w:header="0"/>
        </w:sectPr>
      </w:pPr>
    </w:p>
    <w:bookmarkStart w:id="49" w:name="page50"/>
    <w:bookmarkEnd w:id="49"/>
    <w:p>
      <w:pPr>
        <w:ind w:left="420" w:right="6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so described in the Registration Statement and the Prospectus and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w:t>
      </w:r>
    </w:p>
    <w:p>
      <w:pPr>
        <w:spacing w:after="0" w:line="72" w:lineRule="exact"/>
        <w:rPr>
          <w:sz w:val="20"/>
          <w:szCs w:val="20"/>
          <w:color w:val="auto"/>
        </w:rPr>
      </w:pPr>
    </w:p>
    <w:p>
      <w:pPr>
        <w:ind w:left="420" w:right="80" w:firstLine="391"/>
        <w:spacing w:after="0" w:line="256" w:lineRule="auto"/>
        <w:tabs>
          <w:tab w:leader="none" w:pos="10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and each Subsidiary possess such valid and current certificates, authorizations or permits issued by the appropriate state, federal or foreign regulatory agencies or bodies necessary to conduct their respective businesses, other than those which the failure to possess or own would not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w:t>
      </w:r>
    </w:p>
    <w:p>
      <w:pPr>
        <w:spacing w:after="0" w:line="79" w:lineRule="exact"/>
        <w:rPr>
          <w:rFonts w:ascii="Times New Roman" w:cs="Times New Roman" w:eastAsia="Times New Roman" w:hAnsi="Times New Roman"/>
          <w:sz w:val="18"/>
          <w:szCs w:val="18"/>
          <w:color w:val="auto"/>
        </w:rPr>
      </w:pPr>
    </w:p>
    <w:p>
      <w:pPr>
        <w:ind w:left="420" w:firstLine="391"/>
        <w:spacing w:after="0" w:line="254" w:lineRule="auto"/>
        <w:tabs>
          <w:tab w:leader="none" w:pos="10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xml:space="preserve">. The Company and its consolidated Subsidiaries have filed all necessary federal, state and foreign income, property and franchise tax returns, or extensions thereof which have been required to be filed, and have paid all taxes required to be paid by any of them and, if due and payable, any related or similar assessment, fine or penalty levied against any of them except as may be being contested in good faith and by appropriate proceedings or where the failure to do so would not reasonably be excepted to result in a Material Adverse Change. The Company has made adequate charges, accruals and reserves in the applicable financial statements referred to in </w:t>
      </w:r>
      <w:r>
        <w:rPr>
          <w:rFonts w:ascii="Times New Roman" w:cs="Times New Roman" w:eastAsia="Times New Roman" w:hAnsi="Times New Roman"/>
          <w:sz w:val="18"/>
          <w:szCs w:val="18"/>
          <w:u w:val="single" w:color="auto"/>
          <w:color w:val="auto"/>
        </w:rPr>
        <w:t>Section 1(l)</w:t>
      </w:r>
      <w:r>
        <w:rPr>
          <w:rFonts w:ascii="Times New Roman" w:cs="Times New Roman" w:eastAsia="Times New Roman" w:hAnsi="Times New Roman"/>
          <w:sz w:val="18"/>
          <w:szCs w:val="18"/>
          <w:color w:val="auto"/>
        </w:rPr>
        <w:t xml:space="preserve"> above in respect of all federal, state and foreign income, property and franchise taxes for all periods as to which the tax liability of the Company or any of its consolidated Subsidiaries has not been finally determined.</w:t>
      </w:r>
    </w:p>
    <w:p>
      <w:pPr>
        <w:spacing w:after="0" w:line="83" w:lineRule="exact"/>
        <w:rPr>
          <w:rFonts w:ascii="Times New Roman" w:cs="Times New Roman" w:eastAsia="Times New Roman" w:hAnsi="Times New Roman"/>
          <w:sz w:val="18"/>
          <w:szCs w:val="18"/>
          <w:color w:val="auto"/>
        </w:rPr>
      </w:pPr>
    </w:p>
    <w:p>
      <w:pPr>
        <w:ind w:left="420" w:right="620" w:firstLine="391"/>
        <w:spacing w:after="0" w:line="266" w:lineRule="auto"/>
        <w:tabs>
          <w:tab w:leader="none" w:pos="10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The Company has been advised of the rules and requirements under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The Company is not, and after receipt of payment for the Common Stock will not be, an “investment company” within the meaning of the Investment Company Act.</w:t>
      </w:r>
    </w:p>
    <w:p>
      <w:pPr>
        <w:spacing w:after="0" w:line="67" w:lineRule="exact"/>
        <w:rPr>
          <w:rFonts w:ascii="Times New Roman" w:cs="Times New Roman" w:eastAsia="Times New Roman" w:hAnsi="Times New Roman"/>
          <w:sz w:val="18"/>
          <w:szCs w:val="18"/>
          <w:color w:val="auto"/>
        </w:rPr>
      </w:pPr>
    </w:p>
    <w:p>
      <w:pPr>
        <w:ind w:left="420" w:right="360" w:firstLine="391"/>
        <w:spacing w:after="0" w:line="261" w:lineRule="auto"/>
        <w:tabs>
          <w:tab w:leader="none" w:pos="10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are insured by insurers of recognized financial responsibility with policies in such amounts and with such deductibles and covering such risks as the Company reasonably believes are generally deemed prudent and customary for the business for which it is engaged including, but not limited to, policies covering real and personal property owned or leased</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000"/>
          </w:cols>
          <w:pgMar w:left="1440" w:top="270" w:right="459" w:bottom="1440" w:gutter="0" w:footer="0" w:header="0"/>
        </w:sectPr>
      </w:pPr>
    </w:p>
    <w:bookmarkStart w:id="50" w:name="page51"/>
    <w:bookmarkEnd w:id="50"/>
    <w:p>
      <w:pPr>
        <w:ind w:left="420"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Company and its Subsidiaries against theft, damage, destruction, acts of vandalism and earthquakes.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72" w:lineRule="exact"/>
        <w:rPr>
          <w:sz w:val="20"/>
          <w:szCs w:val="20"/>
          <w:color w:val="auto"/>
        </w:rPr>
      </w:pPr>
    </w:p>
    <w:p>
      <w:pPr>
        <w:ind w:left="420" w:right="60" w:firstLine="391"/>
        <w:spacing w:after="0" w:line="266" w:lineRule="auto"/>
        <w:tabs>
          <w:tab w:leader="none" w:pos="109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w:t>
      </w:r>
      <w:r>
        <w:rPr>
          <w:rFonts w:ascii="Times New Roman" w:cs="Times New Roman" w:eastAsia="Times New Roman" w:hAnsi="Times New Roman"/>
          <w:sz w:val="18"/>
          <w:szCs w:val="18"/>
          <w:color w:val="auto"/>
        </w:rPr>
        <w:t>. The Company, without giving effect to activities by Cowen,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67" w:lineRule="exact"/>
        <w:rPr>
          <w:rFonts w:ascii="Times New Roman" w:cs="Times New Roman" w:eastAsia="Times New Roman" w:hAnsi="Times New Roman"/>
          <w:sz w:val="18"/>
          <w:szCs w:val="18"/>
          <w:color w:val="auto"/>
        </w:rPr>
      </w:pPr>
    </w:p>
    <w:p>
      <w:pPr>
        <w:jc w:val="both"/>
        <w:ind w:left="420" w:right="20" w:firstLine="391"/>
        <w:spacing w:after="0" w:line="266" w:lineRule="auto"/>
        <w:tabs>
          <w:tab w:leader="none" w:pos="10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Subsidiary or any other person required by the Securities Act to be described in the Registration Statement and the Prospectus which have not been described in such documents as required.</w:t>
      </w:r>
    </w:p>
    <w:p>
      <w:pPr>
        <w:spacing w:after="0" w:line="67" w:lineRule="exact"/>
        <w:rPr>
          <w:rFonts w:ascii="Times New Roman" w:cs="Times New Roman" w:eastAsia="Times New Roman" w:hAnsi="Times New Roman"/>
          <w:sz w:val="18"/>
          <w:szCs w:val="18"/>
          <w:color w:val="auto"/>
        </w:rPr>
      </w:pPr>
    </w:p>
    <w:p>
      <w:pPr>
        <w:ind w:left="420" w:firstLine="391"/>
        <w:spacing w:after="0" w:line="256" w:lineRule="auto"/>
        <w:tabs>
          <w:tab w:leader="none" w:pos="10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left="420" w:right="220" w:firstLine="391"/>
        <w:spacing w:after="0" w:line="276" w:lineRule="auto"/>
        <w:tabs>
          <w:tab w:leader="none" w:pos="104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Unlawful Contributions or Other Payments</w:t>
      </w:r>
      <w:r>
        <w:rPr>
          <w:rFonts w:ascii="Times New Roman" w:cs="Times New Roman" w:eastAsia="Times New Roman" w:hAnsi="Times New Roman"/>
          <w:sz w:val="17"/>
          <w:szCs w:val="17"/>
          <w:color w:val="auto"/>
        </w:rPr>
        <w:t>. Neither the Company nor any of its Subsidiaries nor, to the Company’s knowledge, any director, officer, employee, agent, affiliate or other person acting on behalf of the Company or any Subsidiary has</w:t>
      </w:r>
    </w:p>
    <w:p>
      <w:pPr>
        <w:ind w:left="640" w:hanging="212"/>
        <w:spacing w:after="0"/>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used any corporate funds for any unlawful contribution, gift, entertainment or other unlawful expense relating to political activity;</w:t>
      </w:r>
    </w:p>
    <w:p>
      <w:pPr>
        <w:spacing w:after="0" w:line="20" w:lineRule="exact"/>
        <w:rPr>
          <w:rFonts w:ascii="Times New Roman" w:cs="Times New Roman" w:eastAsia="Times New Roman" w:hAnsi="Times New Roman"/>
          <w:sz w:val="17"/>
          <w:szCs w:val="17"/>
          <w:color w:val="auto"/>
        </w:rPr>
      </w:pPr>
    </w:p>
    <w:p>
      <w:pPr>
        <w:ind w:left="420" w:right="140" w:firstLine="8"/>
        <w:spacing w:after="0" w:line="253"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direct or indirect unlawful payment to any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w:t>
      </w:r>
    </w:p>
    <w:p>
      <w:pPr>
        <w:spacing w:after="0" w:line="11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000"/>
          </w:cols>
          <w:pgMar w:left="1440" w:top="270" w:right="459" w:bottom="1440" w:gutter="0" w:footer="0" w:header="0"/>
        </w:sectPr>
      </w:pPr>
    </w:p>
    <w:bookmarkStart w:id="51" w:name="page52"/>
    <w:bookmarkEnd w:id="51"/>
    <w:p>
      <w:pPr>
        <w:ind w:left="439" w:right="20" w:firstLine="391"/>
        <w:spacing w:after="0" w:line="254" w:lineRule="auto"/>
        <w:tabs>
          <w:tab w:leader="none" w:pos="114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body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arbitrator involving the Company or any of its Subsidiaries with respect to Anti-Money Laundering Laws is pending, or to the knowledge of the Company, threatened.</w:t>
      </w:r>
    </w:p>
    <w:p>
      <w:pPr>
        <w:spacing w:after="0" w:line="80" w:lineRule="exact"/>
        <w:rPr>
          <w:rFonts w:ascii="Times New Roman" w:cs="Times New Roman" w:eastAsia="Times New Roman" w:hAnsi="Times New Roman"/>
          <w:sz w:val="18"/>
          <w:szCs w:val="18"/>
          <w:color w:val="auto"/>
        </w:rPr>
      </w:pPr>
    </w:p>
    <w:p>
      <w:pPr>
        <w:ind w:left="1179" w:hanging="349"/>
        <w:spacing w:after="0"/>
        <w:tabs>
          <w:tab w:leader="none" w:pos="117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39" w:hanging="439"/>
        <w:spacing w:after="0" w:line="254" w:lineRule="auto"/>
        <w:tabs>
          <w:tab w:leader="none" w:pos="4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a Person that is: (i) the subject of any sanctions administered or enforced by the U.S. Department of Treasury’s Office of Foreign Assets Control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the United Nations Security Council, the European Union (“</w:t>
      </w:r>
      <w:r>
        <w:rPr>
          <w:rFonts w:ascii="Times New Roman" w:cs="Times New Roman" w:eastAsia="Times New Roman" w:hAnsi="Times New Roman"/>
          <w:sz w:val="18"/>
          <w:szCs w:val="18"/>
          <w:b w:val="1"/>
          <w:bCs w:val="1"/>
          <w:u w:val="single" w:color="auto"/>
          <w:color w:val="auto"/>
        </w:rPr>
        <w:t>EU</w:t>
      </w:r>
      <w:r>
        <w:rPr>
          <w:rFonts w:ascii="Times New Roman" w:cs="Times New Roman" w:eastAsia="Times New Roman" w:hAnsi="Times New Roman"/>
          <w:sz w:val="18"/>
          <w:szCs w:val="18"/>
          <w:color w:val="auto"/>
        </w:rPr>
        <w:t>”), His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(ii) located, organized, or resident in a country or territory that is the subject of a U.S. government embargo (including, without limitation, the so-called Donetsk People’s Republic, the so-called Luhansk People’s Republic, the Crimea Region of Ukraine, Cuba, Iran, North Korea, Sudan and Syria).</w:t>
      </w:r>
    </w:p>
    <w:p>
      <w:pPr>
        <w:spacing w:after="0" w:line="97" w:lineRule="exact"/>
        <w:rPr>
          <w:rFonts w:ascii="Times New Roman" w:cs="Times New Roman" w:eastAsia="Times New Roman" w:hAnsi="Times New Roman"/>
          <w:sz w:val="18"/>
          <w:szCs w:val="18"/>
          <w:color w:val="auto"/>
        </w:rPr>
      </w:pPr>
    </w:p>
    <w:p>
      <w:pPr>
        <w:ind w:left="439" w:right="80" w:hanging="439"/>
        <w:spacing w:after="0" w:line="258" w:lineRule="auto"/>
        <w:tabs>
          <w:tab w:leader="none" w:pos="4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Cowen)</w:t>
      </w:r>
    </w:p>
    <w:p>
      <w:pPr>
        <w:spacing w:after="0" w:line="88" w:lineRule="exact"/>
        <w:rPr>
          <w:rFonts w:ascii="Times New Roman" w:cs="Times New Roman" w:eastAsia="Times New Roman" w:hAnsi="Times New Roman"/>
          <w:sz w:val="18"/>
          <w:szCs w:val="18"/>
          <w:color w:val="auto"/>
        </w:rPr>
      </w:pPr>
    </w:p>
    <w:p>
      <w:pPr>
        <w:ind w:left="439" w:hanging="439"/>
        <w:spacing w:after="0" w:line="261" w:lineRule="auto"/>
        <w:tabs>
          <w:tab w:leader="none" w:pos="4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(5) years,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spacing w:after="0" w:line="112" w:lineRule="exact"/>
        <w:rPr>
          <w:rFonts w:ascii="Times New Roman" w:cs="Times New Roman" w:eastAsia="Times New Roman" w:hAnsi="Times New Roman"/>
          <w:sz w:val="18"/>
          <w:szCs w:val="18"/>
          <w:color w:val="auto"/>
        </w:rPr>
      </w:pPr>
    </w:p>
    <w:p>
      <w:pPr>
        <w:ind w:left="4439" w:hanging="111"/>
        <w:spacing w:after="0"/>
        <w:tabs>
          <w:tab w:leader="none" w:pos="4439"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019"/>
          </w:cols>
          <w:pgMar w:left="1421" w:top="270" w:right="459" w:bottom="1440" w:gutter="0" w:footer="0" w:header="0"/>
        </w:sectPr>
      </w:pPr>
    </w:p>
    <w:bookmarkStart w:id="52" w:name="page53"/>
    <w:bookmarkEnd w:id="52"/>
    <w:p>
      <w:pPr>
        <w:ind w:left="420" w:firstLine="391"/>
        <w:spacing w:after="0" w:line="251" w:lineRule="auto"/>
        <w:tabs>
          <w:tab w:leader="none" w:pos="11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Accounting System</w:t>
      </w:r>
      <w:r>
        <w:rPr>
          <w:rFonts w:ascii="Times New Roman" w:cs="Times New Roman" w:eastAsia="Times New Roman" w:hAnsi="Times New Roman"/>
          <w:sz w:val="18"/>
          <w:szCs w:val="18"/>
          <w:color w:val="auto"/>
        </w:rPr>
        <w:t>. The Company maintains a system of “internal control over financial reporting” (as such term is defined in Rule 13a-15(f) of the General Rules and Regulations under the Exchange Act (the “</w:t>
      </w:r>
      <w:r>
        <w:rPr>
          <w:rFonts w:ascii="Times New Roman" w:cs="Times New Roman" w:eastAsia="Times New Roman" w:hAnsi="Times New Roman"/>
          <w:sz w:val="18"/>
          <w:szCs w:val="18"/>
          <w:b w:val="1"/>
          <w:bCs w:val="1"/>
          <w:u w:val="single" w:color="auto"/>
          <w:color w:val="auto"/>
        </w:rPr>
        <w:t>Exchange Act Rules</w:t>
      </w:r>
      <w:r>
        <w:rPr>
          <w:rFonts w:ascii="Times New Roman" w:cs="Times New Roman" w:eastAsia="Times New Roman" w:hAnsi="Times New Roman"/>
          <w:sz w:val="18"/>
          <w:szCs w:val="18"/>
          <w:color w:val="auto"/>
        </w:rPr>
        <w:t>”)) that is designed to comply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The Company’s internal control over financial reporting is effective. Based on the Company’s most recent evaluation of its internal controls over financial reporting pursuant to Rule 13a-15(c) of the Exchange Act, except as disclosed in the Registration Statement and the Prospectus, there are no material weaknesses in the Company’s internal controls. The Company’s auditors and the Audit Committee of the Board of Directors of the Company have been advised of: (i) 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w:t>
      </w:r>
    </w:p>
    <w:p>
      <w:pPr>
        <w:spacing w:after="0" w:line="10" w:lineRule="exact"/>
        <w:rPr>
          <w:rFonts w:ascii="Times New Roman" w:cs="Times New Roman" w:eastAsia="Times New Roman" w:hAnsi="Times New Roman"/>
          <w:sz w:val="18"/>
          <w:szCs w:val="18"/>
          <w:color w:val="auto"/>
        </w:rPr>
      </w:pPr>
    </w:p>
    <w:p>
      <w:pPr>
        <w:ind w:left="420" w:right="120" w:firstLine="8"/>
        <w:spacing w:after="0" w:line="260"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controls over financial reporting.</w:t>
      </w:r>
    </w:p>
    <w:p>
      <w:pPr>
        <w:spacing w:after="0" w:line="73" w:lineRule="exact"/>
        <w:rPr>
          <w:rFonts w:ascii="Times New Roman" w:cs="Times New Roman" w:eastAsia="Times New Roman" w:hAnsi="Times New Roman"/>
          <w:sz w:val="18"/>
          <w:szCs w:val="18"/>
          <w:color w:val="auto"/>
        </w:rPr>
      </w:pPr>
    </w:p>
    <w:p>
      <w:pPr>
        <w:ind w:left="420" w:firstLine="391"/>
        <w:spacing w:after="0" w:line="255" w:lineRule="auto"/>
        <w:tabs>
          <w:tab w:leader="none" w:pos="114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their disclosure controls as required by Rule 13a-15 of the Exchange Act.</w:t>
      </w:r>
    </w:p>
    <w:p>
      <w:pPr>
        <w:spacing w:after="0" w:line="12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9980"/>
          </w:cols>
          <w:pgMar w:left="1440" w:top="270" w:right="479" w:bottom="1440" w:gutter="0" w:footer="0" w:header="0"/>
        </w:sectPr>
      </w:pPr>
    </w:p>
    <w:bookmarkStart w:id="53" w:name="page54"/>
    <w:bookmarkEnd w:id="53"/>
    <w:p>
      <w:pPr>
        <w:ind w:left="420" w:firstLine="391"/>
        <w:spacing w:after="0" w:line="251" w:lineRule="auto"/>
        <w:tabs>
          <w:tab w:leader="none" w:pos="11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Environmental Laws</w:t>
      </w:r>
      <w:r>
        <w:rPr>
          <w:rFonts w:ascii="Times New Roman" w:cs="Times New Roman" w:eastAsia="Times New Roman" w:hAnsi="Times New Roman"/>
          <w:sz w:val="18"/>
          <w:szCs w:val="18"/>
          <w:color w:val="auto"/>
        </w:rPr>
        <w:t>. Except as otherwise disclosed in the Registration Statement or the Prospectus, and 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18"/>
          <w:szCs w:val="18"/>
          <w:b w:val="1"/>
          <w:bCs w:val="1"/>
          <w:u w:val="single" w:color="auto"/>
          <w:color w:val="auto"/>
        </w:rPr>
        <w:t>Materials of Environmental Concern</w:t>
      </w:r>
      <w:r>
        <w:rPr>
          <w:rFonts w:ascii="Times New Roman" w:cs="Times New Roman" w:eastAsia="Times New Roman" w:hAnsi="Times New Roman"/>
          <w:sz w:val="18"/>
          <w:szCs w:val="18"/>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cs="Times New Roman" w:eastAsia="Times New Roman" w:hAnsi="Times New Roman"/>
          <w:sz w:val="18"/>
          <w:szCs w:val="18"/>
          <w:b w:val="1"/>
          <w:bCs w:val="1"/>
          <w:u w:val="single" w:color="auto"/>
          <w:color w:val="auto"/>
        </w:rPr>
        <w:t>Environmental Claims</w:t>
      </w:r>
      <w:r>
        <w:rPr>
          <w:rFonts w:ascii="Times New Roman" w:cs="Times New Roman" w:eastAsia="Times New Roman" w:hAnsi="Times New Roman"/>
          <w:sz w:val="18"/>
          <w:szCs w:val="18"/>
          <w:color w:val="auto"/>
        </w:rPr>
        <w:t>”),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spacing w:after="0" w:line="136"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000"/>
          </w:cols>
          <w:pgMar w:left="1440" w:top="270" w:right="459" w:bottom="1440" w:gutter="0" w:footer="0" w:header="0"/>
        </w:sectPr>
      </w:pPr>
    </w:p>
    <w:bookmarkStart w:id="54" w:name="page55"/>
    <w:bookmarkEnd w:id="54"/>
    <w:p>
      <w:pPr>
        <w:ind w:left="420" w:firstLine="391"/>
        <w:spacing w:after="0" w:line="254" w:lineRule="auto"/>
        <w:tabs>
          <w:tab w:leader="none" w:pos="10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Listing</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80" w:lineRule="exact"/>
        <w:rPr>
          <w:rFonts w:ascii="Times New Roman" w:cs="Times New Roman" w:eastAsia="Times New Roman" w:hAnsi="Times New Roman"/>
          <w:sz w:val="18"/>
          <w:szCs w:val="18"/>
          <w:color w:val="auto"/>
        </w:rPr>
      </w:pPr>
    </w:p>
    <w:p>
      <w:pPr>
        <w:ind w:left="420" w:right="440" w:firstLine="391"/>
        <w:spacing w:after="0" w:line="282" w:lineRule="auto"/>
        <w:tabs>
          <w:tab w:leader="none" w:pos="11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Cowen, there is no broker, finder or other party that is entitled to receive from the Company any brokerage or finder’s fee or other fee or commission as a result of any transactions contemplated by this Agreement.</w:t>
      </w:r>
    </w:p>
    <w:p>
      <w:pPr>
        <w:spacing w:after="0" w:line="53" w:lineRule="exact"/>
        <w:rPr>
          <w:rFonts w:ascii="Times New Roman" w:cs="Times New Roman" w:eastAsia="Times New Roman" w:hAnsi="Times New Roman"/>
          <w:sz w:val="18"/>
          <w:szCs w:val="18"/>
          <w:color w:val="auto"/>
        </w:rPr>
      </w:pPr>
    </w:p>
    <w:p>
      <w:pPr>
        <w:jc w:val="both"/>
        <w:ind w:left="420" w:right="60" w:firstLine="391"/>
        <w:spacing w:after="0" w:line="266" w:lineRule="auto"/>
        <w:tabs>
          <w:tab w:leader="none" w:pos="11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Indebtedness</w:t>
      </w:r>
      <w:r>
        <w:rPr>
          <w:rFonts w:ascii="Times New Roman" w:cs="Times New Roman" w:eastAsia="Times New Roman" w:hAnsi="Times New Roman"/>
          <w:sz w:val="18"/>
          <w:szCs w:val="18"/>
          <w:color w:val="auto"/>
        </w:rPr>
        <w:t>. Except as described in the Registration Statement and the Prospectus, there are no outstanding loans, advances (except normal advances for business expenses in the ordinary course of business) or guarantees of indebtedness by the Company to or for the benefit of any of the officers or directors of the Company.</w:t>
      </w:r>
    </w:p>
    <w:p>
      <w:pPr>
        <w:spacing w:after="0" w:line="67" w:lineRule="exact"/>
        <w:rPr>
          <w:rFonts w:ascii="Times New Roman" w:cs="Times New Roman" w:eastAsia="Times New Roman" w:hAnsi="Times New Roman"/>
          <w:sz w:val="18"/>
          <w:szCs w:val="18"/>
          <w:color w:val="auto"/>
        </w:rPr>
      </w:pPr>
    </w:p>
    <w:p>
      <w:pPr>
        <w:ind w:left="420" w:right="120" w:firstLine="391"/>
        <w:spacing w:after="0" w:line="282" w:lineRule="auto"/>
        <w:tabs>
          <w:tab w:leader="none" w:pos="10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Cowen or legal counsel for Cowen for any legal, tax or accounting advice in connection with the offering and sale of the Placement Shares.</w:t>
      </w:r>
    </w:p>
    <w:p>
      <w:pPr>
        <w:spacing w:after="0" w:line="53" w:lineRule="exact"/>
        <w:rPr>
          <w:rFonts w:ascii="Times New Roman" w:cs="Times New Roman" w:eastAsia="Times New Roman" w:hAnsi="Times New Roman"/>
          <w:sz w:val="18"/>
          <w:szCs w:val="18"/>
          <w:color w:val="auto"/>
        </w:rPr>
      </w:pPr>
    </w:p>
    <w:p>
      <w:pPr>
        <w:ind w:left="420" w:right="480" w:firstLine="391"/>
        <w:spacing w:after="0" w:line="282" w:lineRule="auto"/>
        <w:tabs>
          <w:tab w:leader="none" w:pos="10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Exemption</w:t>
      </w:r>
      <w:r>
        <w:rPr>
          <w:rFonts w:ascii="Times New Roman" w:cs="Times New Roman" w:eastAsia="Times New Roman" w:hAnsi="Times New Roman"/>
          <w:sz w:val="18"/>
          <w:szCs w:val="18"/>
          <w:color w:val="auto"/>
        </w:rPr>
        <w:t>. The Company qualifies as an “experienced issuer” (within the meaning of FINRA Conduct Rule 5110(j)(6)) for purposes of the exemption from filing under FINRA Conduct Rule 5110(h)(1)(C).</w:t>
      </w:r>
    </w:p>
    <w:p>
      <w:pPr>
        <w:spacing w:after="0" w:line="53" w:lineRule="exact"/>
        <w:rPr>
          <w:rFonts w:ascii="Times New Roman" w:cs="Times New Roman" w:eastAsia="Times New Roman" w:hAnsi="Times New Roman"/>
          <w:sz w:val="18"/>
          <w:szCs w:val="18"/>
          <w:color w:val="auto"/>
        </w:rPr>
      </w:pPr>
    </w:p>
    <w:p>
      <w:pPr>
        <w:ind w:left="1160" w:hanging="349"/>
        <w:spacing w:after="0"/>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has not been advised, and has no reason to believe, that it and each of its</w:t>
      </w:r>
    </w:p>
    <w:p>
      <w:pPr>
        <w:spacing w:after="0" w:line="27" w:lineRule="exact"/>
        <w:rPr>
          <w:rFonts w:ascii="Times New Roman" w:cs="Times New Roman" w:eastAsia="Times New Roman" w:hAnsi="Times New Roman"/>
          <w:sz w:val="18"/>
          <w:szCs w:val="18"/>
          <w:color w:val="auto"/>
        </w:rPr>
      </w:pPr>
    </w:p>
    <w:p>
      <w:pPr>
        <w:ind w:left="4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1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9980"/>
          </w:cols>
          <w:pgMar w:left="1440" w:top="270" w:right="479" w:bottom="1440" w:gutter="0" w:footer="0" w:header="0"/>
        </w:sectPr>
      </w:pPr>
    </w:p>
    <w:bookmarkStart w:id="55" w:name="page56"/>
    <w:bookmarkEnd w:id="55"/>
    <w:p>
      <w:pPr>
        <w:ind w:left="420" w:firstLine="391"/>
        <w:spacing w:after="0" w:line="251" w:lineRule="auto"/>
        <w:tabs>
          <w:tab w:leader="none" w:pos="10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w:t>
      </w:r>
      <w:r>
        <w:rPr>
          <w:rFonts w:ascii="Times New Roman" w:cs="Times New Roman" w:eastAsia="Times New Roman" w:hAnsi="Times New Roman"/>
          <w:sz w:val="18"/>
          <w:szCs w:val="18"/>
          <w:color w:val="auto"/>
        </w:rPr>
        <w:t>. The Company and each of its Subsidiaries owns, possesses, or has the valid and enforceable right to use all Intellectual Property necessary for the conduct of the Company’s and its Subsidiaries’ businesses as now conducted or as proposed to be conducted, and as described in the Registration Statement and the Prospectus to be conducted. Furthermore, (A) to the knowledge of the Company, there is no infringement, misappropriation or violation by third parties of any Intellectual Property owned or controlled by the Company or any of its Subsidiaries, except as disclosed to Cowen; (B)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except as disclosed to Cowen;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enforceability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neither the Company or any of its Subsidiaries has received any written notice of any such claim and the Company is unaware of any other fact which would form a reasonable basis for any such claim;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(F) there is no prior art or public or commercial activity of which the Company is aware that may render any patent included in the Intellectual Property owned or controlled by the Company or any of its Subsidiaries invalid or that would preclude the issuance of any patent on any patent application included in such Intellectual Property owned or controlled by the</w:t>
      </w:r>
    </w:p>
    <w:p>
      <w:pPr>
        <w:spacing w:after="0" w:line="13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9980"/>
          </w:cols>
          <w:pgMar w:left="1440" w:top="270" w:right="479" w:bottom="1440" w:gutter="0" w:footer="0" w:header="0"/>
        </w:sectPr>
      </w:pPr>
    </w:p>
    <w:bookmarkStart w:id="56" w:name="page57"/>
    <w:bookmarkEnd w:id="56"/>
    <w:p>
      <w:pPr>
        <w:ind w:left="420"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any of its Subsidiaries, which has not been disclosed to the U.S. Patent and Trademark Office or the relevant foreign patent authority, as the case may be; (G) to the Company’s knowledge, issued patents included in the Intellectual Property owned or controlled by the Company or any of its Subsidiaries are valid and enforceable and the Company is unaware of any facts that would preclude the issuance of a valid and enforceable patent on any pending patent application included in such Intellectual Property;</w:t>
      </w:r>
    </w:p>
    <w:p>
      <w:pPr>
        <w:spacing w:after="0" w:line="3" w:lineRule="exact"/>
        <w:rPr>
          <w:sz w:val="20"/>
          <w:szCs w:val="20"/>
          <w:color w:val="auto"/>
        </w:rPr>
      </w:pPr>
    </w:p>
    <w:p>
      <w:pPr>
        <w:ind w:left="420" w:firstLine="8"/>
        <w:spacing w:after="0" w:line="251" w:lineRule="auto"/>
        <w:tabs>
          <w:tab w:leader="none" w:pos="7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has taken reasonable steps necessary to secure the interests of the Company and its Subsidiaries in the Intellectual Property purported to be owned or controlled by the Company or any of its Subsidiaries from all employees, consultants, agents or contractors that developed (in whole or in part) such Intellectual Property; (I) the Company and its Subsidiaries have taken reasonable steps in accordance with normal industry practice to maintain the confidentiality of its trade secrets and other confidential information and to the Company’s knowledge, no such Intellectual Property has been disclosed other than to employees, representatives and agents of the Company or any of its Subsidiaries, all of whom are bound by written and enforceable confidentiality agreements; (J) no government funding, facilities or resources of a university, college, other educational institution or research center was used in the development of any Intellectual Property that is owned or purported to be owned by the Company or any of its Subsidiaries that would confer upon any governmental agency or body, university, college, other educational institution or research center any claim or right in or to any such Intellectual Property; and (K) to the Company’s knowledge, no material technology employed by the Company has been obtained or is being used by the Company in violation of the rights of any entity.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mean all patents, trademarks and service marks, trade names, trade dress, copyrights, copyrightable works, databases, licenses, inventions, invention registrations, invention disclosures, trade secrets, domain names, social media identifiers and accounts and other source indicators, software, technology, know-how (including other unpatented and/or unpatentable proprietary or confidential information, systems or procedures) and all other similar intellectual property or proprietary rights (including all registrations and applications for registration of, and all goodwill associated with, the foregoing) in the United States and foreign jurisdictions.</w:t>
      </w:r>
    </w:p>
    <w:p>
      <w:pPr>
        <w:spacing w:after="0" w:line="81" w:lineRule="exact"/>
        <w:rPr>
          <w:rFonts w:ascii="Times New Roman" w:cs="Times New Roman" w:eastAsia="Times New Roman" w:hAnsi="Times New Roman"/>
          <w:sz w:val="18"/>
          <w:szCs w:val="18"/>
          <w:color w:val="auto"/>
        </w:rPr>
      </w:pPr>
    </w:p>
    <w:p>
      <w:pPr>
        <w:ind w:left="420" w:right="40" w:firstLine="391"/>
        <w:spacing w:after="0" w:line="261" w:lineRule="auto"/>
        <w:tabs>
          <w:tab w:leader="none" w:pos="12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The Company and each of its Subsidiaries are, and at all prior times were, in material compliance with all applicable data privacy and security laws, statutes, judgments, orders, rules and regulations and any legal obligations regarding the collection, use, transfer, import, export, storage, protection, disposal and disclosure by the Company and its Subsidiaries of data, including, without limitation, the Health Insurance Portability and Accountability Act</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9980"/>
          </w:cols>
          <w:pgMar w:left="1440" w:top="270" w:right="479" w:bottom="1440" w:gutter="0" w:footer="0" w:header="0"/>
        </w:sectPr>
      </w:pPr>
    </w:p>
    <w:bookmarkStart w:id="57" w:name="page58"/>
    <w:bookmarkEnd w:id="57"/>
    <w:p>
      <w:pPr>
        <w:ind w:left="42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(“HIPAA”), as amended by the Health Information Technology for Economic and Clinical Health Act (the “HITECH Act”) (42 U.S.C. Section 17921 et seq.); and the Company and each its Subsidiaries have taken all necessary actions to comply with the European Union General Data Protection Regulation (“GDPR”) (EU 2016/679) (collectively, “Privacy Laws”). The Company and each of its Subsidiaries are in material compliance with applicable contractual obligations and industry standards and have in place, comply with, and take appropriate steps reasonably designed to ensure compliance in all material respects with their internal and external policies and procedures relating to data privacy and security and the collection, storage, use, disclosure, handling and analysis of Personal Data (the “Policies”). The Company provides accurate notice of its Policies to individuals from whom Personal Data are collected, to the extent that such notice is required by applicable Privacy Laws.. The Policies provide accurate and sufficient notice of the Company’s then-current privacy practices relating to its subject matter and such Policies do not contain any material omissions of the Company’s then-current privacy practices. “Personal Data” means (i) a natural persons’ name, street address, telephone number, email address, photograph, social security number, bank information, or customer or account number;</w:t>
      </w:r>
    </w:p>
    <w:p>
      <w:pPr>
        <w:spacing w:after="0" w:line="4" w:lineRule="exact"/>
        <w:rPr>
          <w:sz w:val="20"/>
          <w:szCs w:val="20"/>
          <w:color w:val="auto"/>
        </w:rPr>
      </w:pPr>
    </w:p>
    <w:p>
      <w:pPr>
        <w:ind w:left="420" w:firstLine="8"/>
        <w:spacing w:after="0" w:line="251"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would qualify as “personally identifying information” under the Federal Trade Commission Act, as amended; (iii) Protected Health Information as defined by HIPAA; (iv) “personal data” as defined by the GDPR; and (v) any other piece of information that allows the identification of such natural person, or his or her family,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or Policies. Neither the Company nor any of its Subsidiaries (i) has received notice of any actual or potential liability under or relating to, or actual or potential non-compliance with or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 The Company and its Subsidiaries have at all times taken steps reasonably necessary in accordance with industry standard practices (including, without limitation, implementing and monitoring compliance with adequate measures with respect to technical and physical security) to protect such Personal Data against loss and against unauthorized access, use, modification, disclosure or other misuse. To the knowledge of the Company, there has been no unauthorized access to such Personal Data.</w:t>
      </w:r>
    </w:p>
    <w:p>
      <w:pPr>
        <w:spacing w:after="0" w:line="12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9960"/>
          </w:cols>
          <w:pgMar w:left="1440" w:top="270" w:right="499" w:bottom="1440" w:gutter="0" w:footer="0" w:header="0"/>
        </w:sectPr>
      </w:pPr>
    </w:p>
    <w:bookmarkStart w:id="58" w:name="page59"/>
    <w:bookmarkEnd w:id="58"/>
    <w:p>
      <w:pPr>
        <w:ind w:left="420" w:firstLine="391"/>
        <w:spacing w:after="0" w:line="252" w:lineRule="auto"/>
        <w:tabs>
          <w:tab w:leader="none" w:pos="11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Systems. To the Company’s knowledge, there has been no material security breach or attack or other compromise of or relating to any of the Company’s and its Subsidiaries’ information technology and computer systems, networks, servers, hardware, software, websites, applications, databases and data (including the data of their respective customers, employees, suppliers, vendors and any third party data maintained by or on behalf of them and including all Personal Data), equipment or technology (“IT Systems and Data”), and (i) the Company and its Subsidiaries’ IT Systems and Data are adequate for, and operate and perform in all material respects as required in connection with the operation of the business of the Company and its Subsidiaries, (ii) the Company and its Subsidiaries have not been notified of, and have no knowledge of any event or condition that would reasonably be expected to result in any material security breach, attack or compromise to their IT Systems and Data, (iii) the Company and each of its Subsidiaries have complied, and are presently in compliance with, and maintain reasonable controls, policies, procedures and safeguards to comply with, in all material respects, all applicable laws, statutes or any judgment, order, rule or regulation of any court or arbitrator or governmental or regulatory authority and all industry guidelines, standards, internal and external-facing policies, contractual obligations and any other legal obligations relating to the privacy or security of its IT Systems and Data and to the protection of such IT Systems and Data from unauthorized use, acquisition, access, misappropriation, exfiltration, disclosure, corruption, modification, or the unauthorized use, transfer, export, storage, protection, disposal or other processing of such IT Systems and Data and to protect their confidential information and preserve the integrity, confidentiality, continuous operation, redundancy and security of all IT Systems and Data used in connection with their respective businesses, (iv) the Company and each of its Subsidiaries have implemented backup and disaster recovery technology consistent with industry standards and practice and (v) there is no action, suit, investigation or proceeding before any court or governmental agency, authority or body pending or, to the knowledge of the Company, threatened against the Company or any of its Subsidiaries, alleging non-compliance with any of the foregoing.</w:t>
      </w:r>
    </w:p>
    <w:p>
      <w:pPr>
        <w:spacing w:after="0" w:line="82" w:lineRule="exact"/>
        <w:rPr>
          <w:rFonts w:ascii="Times New Roman" w:cs="Times New Roman" w:eastAsia="Times New Roman" w:hAnsi="Times New Roman"/>
          <w:sz w:val="18"/>
          <w:szCs w:val="18"/>
          <w:color w:val="auto"/>
        </w:rPr>
      </w:pPr>
    </w:p>
    <w:p>
      <w:pPr>
        <w:jc w:val="both"/>
        <w:ind w:left="-20" w:right="160" w:firstLine="408"/>
        <w:spacing w:after="0" w:line="261" w:lineRule="auto"/>
        <w:tabs>
          <w:tab w:leader="none" w:pos="7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and Import Laws</w:t>
      </w:r>
      <w:r>
        <w:rPr>
          <w:rFonts w:ascii="Times New Roman" w:cs="Times New Roman" w:eastAsia="Times New Roman" w:hAnsi="Times New Roman"/>
          <w:sz w:val="18"/>
          <w:szCs w:val="18"/>
          <w:color w:val="auto"/>
        </w:rPr>
        <w:t>. Each of the Company and its Subsidiaries, and, to the Company’s knowledge, each of their affiliates and any director, officer, agent or employee of, or other person associated with or acting on behalf of, the Company has acted at all times in compliance in all material respects with applicable Export and Import Laws (as defined below) and there are no claims, complaints, charges,</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0000"/>
          </w:cols>
          <w:pgMar w:left="1440" w:top="270" w:right="459" w:bottom="1440" w:gutter="0" w:footer="0" w:header="0"/>
        </w:sectPr>
      </w:pPr>
    </w:p>
    <w:bookmarkStart w:id="59" w:name="page60"/>
    <w:bookmarkEnd w:id="5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8"/>
          <w:szCs w:val="18"/>
          <w:b w:val="1"/>
          <w:bCs w:val="1"/>
          <w:u w:val="single" w:color="auto"/>
          <w:color w:val="auto"/>
        </w:rPr>
        <w:t>Export and Import Laws</w:t>
      </w:r>
      <w:r>
        <w:rPr>
          <w:rFonts w:ascii="Times New Roman" w:cs="Times New Roman" w:eastAsia="Times New Roman" w:hAnsi="Times New Roman"/>
          <w:sz w:val="18"/>
          <w:szCs w:val="18"/>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81" w:lineRule="exact"/>
        <w:rPr>
          <w:sz w:val="20"/>
          <w:szCs w:val="20"/>
          <w:color w:val="auto"/>
        </w:rPr>
      </w:pPr>
    </w:p>
    <w:p>
      <w:pPr>
        <w:ind w:right="160" w:firstLine="408"/>
        <w:spacing w:after="0" w:line="266" w:lineRule="auto"/>
        <w:tabs>
          <w:tab w:leader="none" w:pos="7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The application of the proceeds received by the Company from the issuance, sale and delivery of the Placement Shares as described in the Registration Statement and the Prospectus will not violate Regulation T, U or X of the Board of Governors of the Federal Reserve System or any other regulation of such Board of Governors.</w:t>
      </w:r>
    </w:p>
    <w:p>
      <w:pPr>
        <w:spacing w:after="0" w:line="67" w:lineRule="exact"/>
        <w:rPr>
          <w:rFonts w:ascii="Times New Roman" w:cs="Times New Roman" w:eastAsia="Times New Roman" w:hAnsi="Times New Roman"/>
          <w:sz w:val="18"/>
          <w:szCs w:val="18"/>
          <w:color w:val="auto"/>
        </w:rPr>
      </w:pPr>
    </w:p>
    <w:p>
      <w:pPr>
        <w:ind w:firstLine="408"/>
        <w:spacing w:after="0" w:line="266" w:lineRule="auto"/>
        <w:tabs>
          <w:tab w:leader="none" w:pos="7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or incorporated by reference in the Registration Statement or the Prospectus has been made or reaffirmed without a reasonable basis or has been disclosed other than in good faith.</w:t>
      </w:r>
    </w:p>
    <w:p>
      <w:pPr>
        <w:spacing w:after="0" w:line="67" w:lineRule="exact"/>
        <w:rPr>
          <w:rFonts w:ascii="Times New Roman" w:cs="Times New Roman" w:eastAsia="Times New Roman" w:hAnsi="Times New Roman"/>
          <w:sz w:val="18"/>
          <w:szCs w:val="18"/>
          <w:color w:val="auto"/>
        </w:rPr>
      </w:pPr>
    </w:p>
    <w:p>
      <w:pPr>
        <w:ind w:right="80" w:firstLine="408"/>
        <w:spacing w:after="0" w:line="266"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 Data</w:t>
      </w:r>
      <w:r>
        <w:rPr>
          <w:rFonts w:ascii="Times New Roman" w:cs="Times New Roman" w:eastAsia="Times New Roman" w:hAnsi="Times New Roman"/>
          <w:sz w:val="18"/>
          <w:szCs w:val="18"/>
          <w:color w:val="auto"/>
        </w:rPr>
        <w:t>. Nothing has come to the attention of the Company that has caused the Company to believe that the statistical and market-related data included or incorporated by reference in the Registration Statement and the Prospectus are not based on or derived from sources that are reliable and accurate in all material respects.</w:t>
      </w:r>
    </w:p>
    <w:p>
      <w:pPr>
        <w:spacing w:after="0" w:line="67" w:lineRule="exact"/>
        <w:rPr>
          <w:rFonts w:ascii="Times New Roman" w:cs="Times New Roman" w:eastAsia="Times New Roman" w:hAnsi="Times New Roman"/>
          <w:sz w:val="18"/>
          <w:szCs w:val="18"/>
          <w:color w:val="auto"/>
        </w:rPr>
      </w:pPr>
    </w:p>
    <w:p>
      <w:pPr>
        <w:ind w:firstLine="408"/>
        <w:spacing w:after="0" w:line="258" w:lineRule="auto"/>
        <w:tabs>
          <w:tab w:leader="none" w:pos="7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in all material respects with any applicable provision of the Sarbanes-Oxley Act of 2002, as amended, and the rules and regulations promulgated in connection therewith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including Section 402 related to loans, to the extent compliance is required as of the date of this Agreement, and Sections 302 and 906 related to certifications.</w:t>
      </w:r>
    </w:p>
    <w:p>
      <w:pPr>
        <w:spacing w:after="0" w:line="75" w:lineRule="exact"/>
        <w:rPr>
          <w:rFonts w:ascii="Times New Roman" w:cs="Times New Roman" w:eastAsia="Times New Roman" w:hAnsi="Times New Roman"/>
          <w:sz w:val="18"/>
          <w:szCs w:val="18"/>
          <w:color w:val="auto"/>
        </w:rPr>
      </w:pPr>
    </w:p>
    <w:p>
      <w:pPr>
        <w:ind w:left="440" w:firstLine="391"/>
        <w:spacing w:after="0" w:line="258" w:lineRule="auto"/>
        <w:tabs>
          <w:tab w:leader="none" w:pos="108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Care Authorizations.</w:t>
      </w:r>
      <w:r>
        <w:rPr>
          <w:rFonts w:ascii="Times New Roman" w:cs="Times New Roman" w:eastAsia="Times New Roman" w:hAnsi="Times New Roman"/>
          <w:sz w:val="18"/>
          <w:szCs w:val="18"/>
          <w:color w:val="auto"/>
        </w:rPr>
        <w:t xml:space="preserve"> The Company has submitted and possesses, or qualifies for applicable exemptions to, such valid 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including, without limitation, all such Permits required by the U.S.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the U.S. Department of Health and Human Services (“</w:t>
      </w:r>
      <w:r>
        <w:rPr>
          <w:rFonts w:ascii="Times New Roman" w:cs="Times New Roman" w:eastAsia="Times New Roman" w:hAnsi="Times New Roman"/>
          <w:sz w:val="18"/>
          <w:szCs w:val="18"/>
          <w:b w:val="1"/>
          <w:bCs w:val="1"/>
          <w:u w:val="single" w:color="auto"/>
          <w:color w:val="auto"/>
        </w:rPr>
        <w:t>HHS</w:t>
      </w:r>
      <w:r>
        <w:rPr>
          <w:rFonts w:ascii="Times New Roman" w:cs="Times New Roman" w:eastAsia="Times New Roman" w:hAnsi="Times New Roman"/>
          <w:sz w:val="18"/>
          <w:szCs w:val="18"/>
          <w:color w:val="auto"/>
        </w:rPr>
        <w:t>”), the U.S. Centers</w:t>
      </w:r>
    </w:p>
    <w:p>
      <w:pPr>
        <w:spacing w:after="0" w:line="115" w:lineRule="exact"/>
        <w:rPr>
          <w:rFonts w:ascii="Times New Roman" w:cs="Times New Roman" w:eastAsia="Times New Roman" w:hAnsi="Times New Roman"/>
          <w:sz w:val="18"/>
          <w:szCs w:val="18"/>
          <w:color w:val="auto"/>
        </w:rPr>
      </w:pPr>
    </w:p>
    <w:p>
      <w:pPr>
        <w:ind w:left="4440" w:hanging="111"/>
        <w:spacing w:after="0"/>
        <w:tabs>
          <w:tab w:leader="none" w:pos="444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0020"/>
          </w:cols>
          <w:pgMar w:left="1420" w:top="270" w:right="459" w:bottom="1440" w:gutter="0" w:footer="0" w:header="0"/>
        </w:sectPr>
      </w:pPr>
    </w:p>
    <w:bookmarkStart w:id="60" w:name="page61"/>
    <w:bookmarkEnd w:id="60"/>
    <w:p>
      <w:pPr>
        <w:ind w:left="420"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Medicare &amp; Medicaid Services (“</w:t>
      </w:r>
      <w:r>
        <w:rPr>
          <w:rFonts w:ascii="Times New Roman" w:cs="Times New Roman" w:eastAsia="Times New Roman" w:hAnsi="Times New Roman"/>
          <w:sz w:val="18"/>
          <w:szCs w:val="18"/>
          <w:b w:val="1"/>
          <w:bCs w:val="1"/>
          <w:u w:val="single" w:color="auto"/>
          <w:color w:val="auto"/>
        </w:rPr>
        <w:t>CMS</w:t>
      </w:r>
      <w:r>
        <w:rPr>
          <w:rFonts w:ascii="Times New Roman" w:cs="Times New Roman" w:eastAsia="Times New Roman" w:hAnsi="Times New Roman"/>
          <w:sz w:val="18"/>
          <w:szCs w:val="18"/>
          <w:color w:val="auto"/>
        </w:rPr>
        <w:t>”), the European Medicines Agency (“</w:t>
      </w:r>
      <w:r>
        <w:rPr>
          <w:rFonts w:ascii="Times New Roman" w:cs="Times New Roman" w:eastAsia="Times New Roman" w:hAnsi="Times New Roman"/>
          <w:sz w:val="18"/>
          <w:szCs w:val="18"/>
          <w:b w:val="1"/>
          <w:bCs w:val="1"/>
          <w:u w:val="single" w:color="auto"/>
          <w:color w:val="auto"/>
        </w:rPr>
        <w:t>EMA</w:t>
      </w:r>
      <w:r>
        <w:rPr>
          <w:rFonts w:ascii="Times New Roman" w:cs="Times New Roman" w:eastAsia="Times New Roman" w:hAnsi="Times New Roman"/>
          <w:sz w:val="18"/>
          <w:szCs w:val="18"/>
          <w:color w:val="auto"/>
        </w:rPr>
        <w:t>”), the Australian Department of Health Therapeutic Goods Administration (“</w:t>
      </w:r>
      <w:r>
        <w:rPr>
          <w:rFonts w:ascii="Times New Roman" w:cs="Times New Roman" w:eastAsia="Times New Roman" w:hAnsi="Times New Roman"/>
          <w:sz w:val="18"/>
          <w:szCs w:val="18"/>
          <w:b w:val="1"/>
          <w:bCs w:val="1"/>
          <w:u w:val="single" w:color="auto"/>
          <w:color w:val="auto"/>
        </w:rPr>
        <w:t>TGA</w:t>
      </w:r>
      <w:r>
        <w:rPr>
          <w:rFonts w:ascii="Times New Roman" w:cs="Times New Roman" w:eastAsia="Times New Roman" w:hAnsi="Times New Roman"/>
          <w:sz w:val="18"/>
          <w:szCs w:val="18"/>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result in a Material Adverse Change.</w:t>
      </w:r>
    </w:p>
    <w:p>
      <w:pPr>
        <w:spacing w:after="0" w:line="75" w:lineRule="exact"/>
        <w:rPr>
          <w:sz w:val="20"/>
          <w:szCs w:val="20"/>
          <w:color w:val="auto"/>
        </w:rPr>
      </w:pPr>
    </w:p>
    <w:p>
      <w:pPr>
        <w:ind w:left="420" w:firstLine="391"/>
        <w:spacing w:after="0" w:line="252" w:lineRule="auto"/>
        <w:tabs>
          <w:tab w:leader="none" w:pos="11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Trials</w:t>
      </w:r>
      <w:r>
        <w:rPr>
          <w:rFonts w:ascii="Times New Roman" w:cs="Times New Roman" w:eastAsia="Times New Roman" w:hAnsi="Times New Roman"/>
          <w:sz w:val="18"/>
          <w:szCs w:val="18"/>
          <w:color w:val="auto"/>
        </w:rPr>
        <w:t>. Except as described in the Registration Statement and the Prospectus, the clinical and pre-clinical trials conducted by or, to the knowledge of the Company, on behalf of or sponsored by the Company or its Subsidiaries, or in which the Company or its Subsidiaries have participated, that are described in the Registration Statement and the Prospectus, or the results of which are referred to in the Registration Statement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FDA and comparable regulatory agencies outside of the United States to which they are subject, including the European Medicines Agency (collectively, the “Regulatory Authorities”), and current Good Clinical Practices and Good Laboratory Practices; the descriptions in the Registration Statement and the Prospectus of the results of such studies and tests are accurate and complete descriptions in all material respects and fairly present the data derived therefrom; the Company has no knowledge of any other trials not described in the Registration Statement and the Prospectus, the results of which are inconsistent with or call into question in any material respect the results described or referred to in the Registration Statement and the Prospectus; the Company and its Subsidiaries have operated at all times and are currently in compliance in all material respects with all applicable statutes, rules and regulations of the Regulatory Authorities; neither the Company nor any of its Subsidiaries have received any written notices, correspondence or other communications from the Regulatory Authorities or any other governmental agency requiring or threatening the termination, material modification or suspension of any clinical or pre-clinical trials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trials, and, to the Company’s knowledge, there are no reasonable grounds for the same.</w:t>
      </w:r>
    </w:p>
    <w:p>
      <w:pPr>
        <w:spacing w:after="0" w:line="12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9960"/>
          </w:cols>
          <w:pgMar w:left="1440" w:top="266" w:right="499" w:bottom="1440" w:gutter="0" w:footer="0" w:header="0"/>
        </w:sectPr>
      </w:pPr>
    </w:p>
    <w:bookmarkStart w:id="61" w:name="page62"/>
    <w:bookmarkEnd w:id="61"/>
    <w:p>
      <w:pPr>
        <w:ind w:left="420" w:firstLine="391"/>
        <w:spacing w:after="0" w:line="255" w:lineRule="auto"/>
        <w:tabs>
          <w:tab w:leader="none" w:pos="11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Filings</w:t>
      </w:r>
      <w:r>
        <w:rPr>
          <w:rFonts w:ascii="Times New Roman" w:cs="Times New Roman" w:eastAsia="Times New Roman" w:hAnsi="Times New Roman"/>
          <w:sz w:val="18"/>
          <w:szCs w:val="18"/>
          <w:color w:val="auto"/>
        </w:rPr>
        <w:t>. The Company has not failed to file with the Regulatory Authorities any required material filing, declaration, listing, registration, report or submission with respect to the Company’s product candidates that are described or referred to in the Registration Statement and the Prospectus; all such filings, declarations, listings, registrations, reports or submissions were in material compliance with applicable laws when filed (other than any such instances of non-compliance that were subsequently corrected or amended and accepted by the applicable Regulatory Authority); and no material deficiencies regarding compliance with applicable law have been asserted by any applicable Regulatory Authority with respect to any such filings, declarations, listings, registrations, reports or submissions.</w:t>
      </w:r>
    </w:p>
    <w:p>
      <w:pPr>
        <w:spacing w:after="0" w:line="80" w:lineRule="exact"/>
        <w:rPr>
          <w:rFonts w:ascii="Times New Roman" w:cs="Times New Roman" w:eastAsia="Times New Roman" w:hAnsi="Times New Roman"/>
          <w:sz w:val="18"/>
          <w:szCs w:val="18"/>
          <w:color w:val="auto"/>
        </w:rPr>
      </w:pPr>
    </w:p>
    <w:p>
      <w:pPr>
        <w:ind w:left="420" w:right="180" w:firstLine="391"/>
        <w:spacing w:after="0" w:line="254" w:lineRule="auto"/>
        <w:tabs>
          <w:tab w:leader="none" w:pos="12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to the Company’s knowledge, its directors, employees and agents (while acting in such capacity) are and at all times have been in material compliance with, all health care laws applicable to the Company, or any of its products or activities, including, but not limited to, the federal Anti-Kickback Statute (42 U.S.C. Section 1320a 7b(b)), the Anti-Inducement Law (42 U.S.C. Section 1320a 7a(a)(5)), the civil False Claims Act (31 U.S.C. Section 3729 et seq.), the administrative False Claims Law (42 U.S.C. Section 1320a 7b(a)), the Stark law (42 U.S.C.</w:t>
      </w:r>
    </w:p>
    <w:p>
      <w:pPr>
        <w:spacing w:after="0" w:line="3" w:lineRule="exact"/>
        <w:rPr>
          <w:rFonts w:ascii="Times New Roman" w:cs="Times New Roman" w:eastAsia="Times New Roman" w:hAnsi="Times New Roman"/>
          <w:sz w:val="18"/>
          <w:szCs w:val="18"/>
          <w:color w:val="auto"/>
        </w:rPr>
      </w:pPr>
    </w:p>
    <w:p>
      <w:pPr>
        <w:ind w:left="4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1395nn), the Health Insurance Portability and Accountability Act of 1996 (42 U.S.C. Section 1320d et seq.) as amended by the Health Information Technology for Economic and Clinical Health Act (42 U.S.C. Section 17921 et seq.), the exclusion laws (42 U.S.C. Section 1320a 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cs="Times New Roman" w:eastAsia="Times New Roman" w:hAnsi="Times New Roman"/>
          <w:sz w:val="18"/>
          <w:szCs w:val="18"/>
          <w:b w:val="1"/>
          <w:bCs w:val="1"/>
          <w:u w:val="single" w:color="auto"/>
          <w:color w:val="auto"/>
        </w:rPr>
        <w:t>Health Care Laws</w:t>
      </w:r>
      <w:r>
        <w:rPr>
          <w:rFonts w:ascii="Times New Roman" w:cs="Times New Roman" w:eastAsia="Times New Roman" w:hAnsi="Times New Roman"/>
          <w:sz w:val="18"/>
          <w:szCs w:val="18"/>
          <w:color w:val="auto"/>
        </w:rPr>
        <w:t>”). The Company has not</w:t>
      </w:r>
    </w:p>
    <w:p>
      <w:pPr>
        <w:spacing w:after="0" w:line="12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000"/>
          </w:cols>
          <w:pgMar w:left="1440" w:top="270" w:right="459" w:bottom="1440" w:gutter="0" w:footer="0" w:header="0"/>
        </w:sectPr>
      </w:pPr>
    </w:p>
    <w:bookmarkStart w:id="62" w:name="page63"/>
    <w:bookmarkEnd w:id="62"/>
    <w:p>
      <w:pPr>
        <w:ind w:left="14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FDA, the EMA, the TGA, Health Canada, the U.S. Federal Trade Commission, the U.S. Drug Enforcement Administration (“</w:t>
      </w:r>
      <w:r>
        <w:rPr>
          <w:rFonts w:ascii="Times New Roman" w:cs="Times New Roman" w:eastAsia="Times New Roman" w:hAnsi="Times New Roman"/>
          <w:sz w:val="18"/>
          <w:szCs w:val="18"/>
          <w:b w:val="1"/>
          <w:bCs w:val="1"/>
          <w:u w:val="single" w:color="auto"/>
          <w:color w:val="auto"/>
        </w:rPr>
        <w:t>DEA</w:t>
      </w:r>
      <w:r>
        <w:rPr>
          <w:rFonts w:ascii="Times New Roman" w:cs="Times New Roman" w:eastAsia="Times New Roman" w:hAnsi="Times New Roman"/>
          <w:sz w:val="18"/>
          <w:szCs w:val="18"/>
          <w:color w:val="auto"/>
        </w:rPr>
        <w:t>”), CMS, HHS’s Office of 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Change. To the Company’s knowledge, there are no facts or circumstances that would reasonably be expected to give rise to material liability of the Company under any Health Care Laws. The statements with respect to Health Care Laws and the Company’s compliance therewith included in the Registration Statement and the Prospectus fairly summarize the matters therein described.</w:t>
      </w:r>
    </w:p>
    <w:p>
      <w:pPr>
        <w:spacing w:after="0" w:line="80" w:lineRule="exact"/>
        <w:rPr>
          <w:sz w:val="20"/>
          <w:szCs w:val="20"/>
          <w:color w:val="auto"/>
        </w:rPr>
      </w:pPr>
    </w:p>
    <w:p>
      <w:pPr>
        <w:ind w:left="1420" w:right="260" w:firstLine="391"/>
        <w:spacing w:after="0" w:line="282" w:lineRule="auto"/>
        <w:tabs>
          <w:tab w:leader="none" w:pos="21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At The Market Sales Agreements</w:t>
      </w:r>
      <w:r>
        <w:rPr>
          <w:rFonts w:ascii="Times New Roman" w:cs="Times New Roman" w:eastAsia="Times New Roman" w:hAnsi="Times New Roman"/>
          <w:sz w:val="18"/>
          <w:szCs w:val="18"/>
          <w:color w:val="auto"/>
        </w:rPr>
        <w:t>. The Company is not a party to any agreement with an agent or underwriter for any other “at the market” offering.</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Cowen or to counsel for Cowen pursuant to or in connection with this Agreement shall be deemed to be a representation and warranty by the Company to Cowen as to the matters set forth therein.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Cowen and, for purposes of the opinions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Cowen, will rely upon the accuracy and truthfulness of the foregoing representations and hereby consents to such reliance.</w:t>
      </w:r>
    </w:p>
    <w:p>
      <w:pPr>
        <w:spacing w:after="0" w:line="162" w:lineRule="exact"/>
        <w:rPr>
          <w:sz w:val="20"/>
          <w:szCs w:val="20"/>
          <w:color w:val="auto"/>
        </w:rPr>
      </w:pPr>
    </w:p>
    <w:p>
      <w:pPr>
        <w:ind w:left="620" w:hanging="184"/>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Cowen that:</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53" w:lineRule="auto"/>
        <w:tabs>
          <w:tab w:leader="none" w:pos="2048"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the Prospectus or for additional information,</w:t>
      </w:r>
    </w:p>
    <w:p>
      <w:pPr>
        <w:spacing w:after="0" w:line="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prepare and file with the Commission, promptly upon Cowen’s reasonable</w:t>
      </w:r>
    </w:p>
    <w:p>
      <w:pPr>
        <w:spacing w:after="0" w:line="13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3"/>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000"/>
          </w:cols>
          <w:pgMar w:left="440" w:top="270" w:right="459" w:bottom="1440" w:gutter="0" w:footer="0" w:header="0"/>
        </w:sectPr>
      </w:pPr>
    </w:p>
    <w:bookmarkStart w:id="63" w:name="page64"/>
    <w:bookmarkEnd w:id="63"/>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any amendments or supplements to the Registration Statement or the Prospectus that, in Cowen’s reasonable opinion, may be necessary or advisable in connection with the distribution of the Placement Shares by Cowen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failure of Cowen to make such request shall not relieve the Company of any obligation or liability hereunder, or affect Cowen’s right to rely on the representations and warranties made by the Company in this Agreement); (iii) the Company will not file any amendment or supplement to the Registration Statement or the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failure of Cowen to make such objection shall not relieve the Company of any obligation or liability hereunder, or affect Cowen’s right to rely on the representations and warranties made by the Company in this Agreement) and the Company will furnish to Cowen at the time of filing thereof a copy of any document that upon filing is deemed to be incorporated by reference into the Registration Statement or the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87" w:lineRule="exact"/>
        <w:rPr>
          <w:sz w:val="20"/>
          <w:szCs w:val="20"/>
          <w:color w:val="auto"/>
        </w:rPr>
      </w:pPr>
    </w:p>
    <w:p>
      <w:pPr>
        <w:ind w:left="420" w:right="140" w:firstLine="391"/>
        <w:spacing w:after="0" w:line="258" w:lineRule="auto"/>
        <w:tabs>
          <w:tab w:leader="none" w:pos="10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1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0000"/>
          </w:cols>
          <w:pgMar w:left="1440" w:top="270" w:right="459" w:bottom="1440" w:gutter="0" w:footer="0" w:header="0"/>
        </w:sectPr>
      </w:pPr>
    </w:p>
    <w:bookmarkStart w:id="64" w:name="page65"/>
    <w:bookmarkEnd w:id="64"/>
    <w:p>
      <w:pPr>
        <w:ind w:left="420" w:firstLine="391"/>
        <w:spacing w:after="0" w:line="252" w:lineRule="auto"/>
        <w:tabs>
          <w:tab w:leader="none" w:pos="10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Prospectus; Subsequent Changes</w:t>
      </w:r>
      <w:r>
        <w:rPr>
          <w:rFonts w:ascii="Times New Roman" w:cs="Times New Roman" w:eastAsia="Times New Roman" w:hAnsi="Times New Roman"/>
          <w:sz w:val="18"/>
          <w:szCs w:val="18"/>
          <w:color w:val="auto"/>
        </w:rPr>
        <w:t xml:space="preserve">.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the Prospectus to comply with the Securities Act, the Company will promptly notify Cowen to suspend the offering of Placement Shares during such period and the Company will promptly amend or supplement the Registration Statement or the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any such amendment or supplement if, in the reasonable judgment of the Company, it is in the best interest of the Company to do so, provided that no Placement Notice is in effect during such time. During such time of delay, Cowen shall be under no obligation to make any sales of Placement Shares hereunder.</w:t>
      </w:r>
    </w:p>
    <w:p>
      <w:pPr>
        <w:spacing w:after="0" w:line="87" w:lineRule="exact"/>
        <w:rPr>
          <w:rFonts w:ascii="Times New Roman" w:cs="Times New Roman" w:eastAsia="Times New Roman" w:hAnsi="Times New Roman"/>
          <w:sz w:val="18"/>
          <w:szCs w:val="18"/>
          <w:color w:val="auto"/>
        </w:rPr>
      </w:pPr>
    </w:p>
    <w:p>
      <w:pPr>
        <w:ind w:left="420" w:right="20" w:firstLine="391"/>
        <w:spacing w:after="0" w:line="255" w:lineRule="auto"/>
        <w:tabs>
          <w:tab w:leader="none" w:pos="10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in connection therewith to qualify as a foreign corporation or dealer in securities or file a general consent to service of process in any jurisdiction.</w:t>
      </w:r>
    </w:p>
    <w:p>
      <w:pPr>
        <w:spacing w:after="0" w:line="80" w:lineRule="exact"/>
        <w:rPr>
          <w:rFonts w:ascii="Times New Roman" w:cs="Times New Roman" w:eastAsia="Times New Roman" w:hAnsi="Times New Roman"/>
          <w:sz w:val="18"/>
          <w:szCs w:val="18"/>
          <w:color w:val="auto"/>
        </w:rPr>
      </w:pPr>
    </w:p>
    <w:p>
      <w:pPr>
        <w:jc w:val="both"/>
        <w:ind w:left="420" w:right="100" w:firstLine="391"/>
        <w:spacing w:after="0" w:line="258" w:lineRule="auto"/>
        <w:tabs>
          <w:tab w:leader="none" w:pos="10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The Company will furnish to Cowen and its counsel (at the expense of the Company) copies of the Registration Statement, the Prospectus (including all documents incorporated by reference therein) and all amendments and supplements to the Registration Statement or the Prospectus that are filed with the Commission during any period in which a Prospectus relating to the Placement Shares is required to be delivered under the Securities Act (including all documents filed with</w:t>
      </w:r>
    </w:p>
    <w:p>
      <w:pPr>
        <w:spacing w:after="0" w:line="11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9980"/>
          </w:cols>
          <w:pgMar w:left="1440" w:top="270" w:right="479" w:bottom="1440" w:gutter="0" w:footer="0" w:header="0"/>
        </w:sectPr>
      </w:pPr>
    </w:p>
    <w:bookmarkStart w:id="65" w:name="page66"/>
    <w:bookmarkEnd w:id="65"/>
    <w:p>
      <w:pPr>
        <w:ind w:left="42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to furnish any document (other than the Prospectus) to Cowen to the extent such document is available on EDGAR.</w:t>
      </w:r>
    </w:p>
    <w:p>
      <w:pPr>
        <w:spacing w:after="0" w:line="75" w:lineRule="exact"/>
        <w:rPr>
          <w:sz w:val="20"/>
          <w:szCs w:val="20"/>
          <w:color w:val="auto"/>
        </w:rPr>
      </w:pPr>
    </w:p>
    <w:p>
      <w:pPr>
        <w:ind w:left="420" w:right="260" w:firstLine="391"/>
        <w:spacing w:after="0" w:line="261" w:lineRule="auto"/>
        <w:tabs>
          <w:tab w:leader="none" w:pos="10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which requirement may be satisfied by publicly filing the required information on EDGAR.</w:t>
      </w:r>
    </w:p>
    <w:p>
      <w:pPr>
        <w:spacing w:after="0" w:line="71" w:lineRule="exact"/>
        <w:rPr>
          <w:rFonts w:ascii="Times New Roman" w:cs="Times New Roman" w:eastAsia="Times New Roman" w:hAnsi="Times New Roman"/>
          <w:sz w:val="18"/>
          <w:szCs w:val="18"/>
          <w:color w:val="auto"/>
        </w:rPr>
      </w:pPr>
    </w:p>
    <w:p>
      <w:pPr>
        <w:ind w:left="420" w:firstLine="391"/>
        <w:spacing w:after="0" w:line="252" w:lineRule="auto"/>
        <w:tabs>
          <w:tab w:leader="none" w:pos="10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hereunder, will pay the following expenses all incident to the performance of its obligations hereunder, including, but not limited to, (i) expenses relating to the preparation, printing and filing of the Registration Statement and each amendment and supplement thereto, of each Prospectus and of each amendment and supplement thereto, (ii) expenses relating to the preparation, issuance and delivery of the Placement Shares and any taxes payable in that connection, (iii) fees and expenses relating to the qualification of the Placement Shares under securities laws in accordance with the provisions of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of this Agreement, including filing fees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fees or disbursements of counsel for Cowen in connection therewith shall be paid by Cowen except as set forth in (vii) below), (iv) expenses relating to the printing and delivery to Cowen of copies of the Prospectus and any amendments or supplements thereto, and of this Agreement, (v) fees and expenses incurred in connection with the listing or qualification of the Placement Shares for trading on Nasdaq, (vi) the filing fees and expenses, if any, of the Commission, (vii) the filing fees and associated legal expenses of Cowen’s outside counsel for filings with the FINRA Corporate Financing Department, in an amount not to exceed $20,000, (viii) the reasonable fees and disbursements of Cowen’s counsel in an amount not to exceed $75,000 (ix) the cost of preparing stock certificates and (x) the costs and charges of any transfer agent and any registrar.</w:t>
      </w:r>
    </w:p>
    <w:p>
      <w:pPr>
        <w:spacing w:after="0" w:line="89" w:lineRule="exact"/>
        <w:rPr>
          <w:rFonts w:ascii="Times New Roman" w:cs="Times New Roman" w:eastAsia="Times New Roman" w:hAnsi="Times New Roman"/>
          <w:sz w:val="18"/>
          <w:szCs w:val="18"/>
          <w:color w:val="auto"/>
        </w:rPr>
      </w:pPr>
    </w:p>
    <w:p>
      <w:pPr>
        <w:ind w:left="420" w:right="380" w:firstLine="391"/>
        <w:spacing w:after="0" w:line="282" w:lineRule="auto"/>
        <w:tabs>
          <w:tab w:leader="none" w:pos="10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The Company will use the Net Proceeds as described in the Prospectus in the section entitled “Use of Proceeds.”</w:t>
      </w:r>
    </w:p>
    <w:p>
      <w:pPr>
        <w:spacing w:after="0" w:line="9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-376555</wp:posOffset>
            </wp:positionV>
            <wp:extent cx="770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ectPr>
          <w:pgSz w:w="11900" w:h="16838" w:orient="portrait"/>
          <w:cols w:equalWidth="0" w:num="1">
            <w:col w:w="10000"/>
          </w:cols>
          <w:pgMar w:left="1440" w:top="270" w:right="459" w:bottom="1440" w:gutter="0" w:footer="0" w:header="0"/>
        </w:sectPr>
      </w:pPr>
    </w:p>
    <w:bookmarkStart w:id="66" w:name="page67"/>
    <w:bookmarkEnd w:id="66"/>
    <w:p>
      <w:pPr>
        <w:ind w:left="420" w:right="20" w:firstLine="391"/>
        <w:spacing w:after="0" w:line="267" w:lineRule="auto"/>
        <w:tabs>
          <w:tab w:leader="none" w:pos="1018"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Other Sales</w:t>
      </w:r>
      <w:r>
        <w:rPr>
          <w:rFonts w:ascii="Times New Roman" w:cs="Times New Roman" w:eastAsia="Times New Roman" w:hAnsi="Times New Roman"/>
          <w:sz w:val="17"/>
          <w:szCs w:val="17"/>
          <w:color w:val="auto"/>
        </w:rPr>
        <w:t xml:space="preserve">. During the pendency of any Placement Notice given hereunder, and for 5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notice shall not be required in connection with the (i) issuance, grant or sale of Common Stock, options to purchase shares of Common Stock or Common Stock issuable upon the exercise of options or other equity awards pursuant to any stock option, stock bonus or other stock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Cowen in advance, (iv) any shares of common stock issuable upon the exchange, conversion or redemption of securities or the exercise of warrants, options or other rights in effect or outstanding, or</w:t>
      </w:r>
    </w:p>
    <w:p>
      <w:pPr>
        <w:spacing w:after="0" w:line="2" w:lineRule="exact"/>
        <w:rPr>
          <w:rFonts w:ascii="Times New Roman" w:cs="Times New Roman" w:eastAsia="Times New Roman" w:hAnsi="Times New Roman"/>
          <w:sz w:val="17"/>
          <w:szCs w:val="17"/>
          <w:color w:val="auto"/>
        </w:rPr>
      </w:pPr>
    </w:p>
    <w:p>
      <w:pPr>
        <w:ind w:left="420" w:firstLine="8"/>
        <w:spacing w:after="0" w:line="252" w:lineRule="auto"/>
        <w:tabs>
          <w:tab w:leader="none" w:pos="6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of shares of Common Stock, or securities convertible into or exercisable for Common Stock, offered and sold in a privately negotiated transaction to vendors, customers, strategic partners or potential strategic partners, financial institutions or other lenders in connection with debt arrangements, and otherwise conducted in a manner so as not to be integrated with the offering of Common Stock hereby and not for capital raising purposes. For avoidance of doubt, nothing herein shall be construed to restrict the Company’s ability, or require the Company to provide notice to Cowen, to file a registration statement with the Commission under the Securities Act.</w:t>
      </w:r>
    </w:p>
    <w:p>
      <w:pPr>
        <w:spacing w:after="0" w:line="81" w:lineRule="exact"/>
        <w:rPr>
          <w:rFonts w:ascii="Times New Roman" w:cs="Times New Roman" w:eastAsia="Times New Roman" w:hAnsi="Times New Roman"/>
          <w:sz w:val="18"/>
          <w:szCs w:val="18"/>
          <w:color w:val="auto"/>
        </w:rPr>
      </w:pPr>
    </w:p>
    <w:p>
      <w:pPr>
        <w:ind w:left="420" w:right="80" w:firstLine="391"/>
        <w:spacing w:after="0" w:line="261" w:lineRule="auto"/>
        <w:tabs>
          <w:tab w:leader="none" w:pos="101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71" w:lineRule="exact"/>
        <w:rPr>
          <w:rFonts w:ascii="Times New Roman" w:cs="Times New Roman" w:eastAsia="Times New Roman" w:hAnsi="Times New Roman"/>
          <w:sz w:val="18"/>
          <w:szCs w:val="18"/>
          <w:color w:val="auto"/>
        </w:rPr>
      </w:pPr>
    </w:p>
    <w:p>
      <w:pPr>
        <w:ind w:left="420" w:right="120" w:firstLine="391"/>
        <w:spacing w:after="0" w:line="261" w:lineRule="auto"/>
        <w:tabs>
          <w:tab w:leader="none" w:pos="105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0000"/>
          </w:cols>
          <w:pgMar w:left="1440" w:top="270" w:right="459" w:bottom="1440" w:gutter="0" w:footer="0" w:header="0"/>
        </w:sectPr>
      </w:pPr>
    </w:p>
    <w:bookmarkStart w:id="67" w:name="page68"/>
    <w:bookmarkEnd w:id="67"/>
    <w:p>
      <w:pPr>
        <w:ind w:left="420" w:firstLine="391"/>
        <w:spacing w:after="0" w:line="253" w:lineRule="auto"/>
        <w:tabs>
          <w:tab w:leader="none" w:pos="10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Filings Relating to Placement of Placement Shares</w:t>
      </w:r>
      <w:r>
        <w:rPr>
          <w:rFonts w:ascii="Times New Roman" w:cs="Times New Roman" w:eastAsia="Times New Roman" w:hAnsi="Times New Roman"/>
          <w:sz w:val="18"/>
          <w:szCs w:val="18"/>
          <w:color w:val="auto"/>
        </w:rPr>
        <w:t>. The Company agrees that on any such dates as the Securities Act shall require, the Company will (i) file a prospectus supplement with the Commission under the applicable paragraph of Rule 424(b) under the Securities Act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Placement Shares sold through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 The Company shall also report the number of Placement Shares sold through Cowen under this Agreement to the Australian Securities Exchange Ltd (“</w:t>
      </w:r>
      <w:r>
        <w:rPr>
          <w:rFonts w:ascii="Times New Roman" w:cs="Times New Roman" w:eastAsia="Times New Roman" w:hAnsi="Times New Roman"/>
          <w:sz w:val="18"/>
          <w:szCs w:val="18"/>
          <w:b w:val="1"/>
          <w:bCs w:val="1"/>
          <w:u w:val="single" w:color="auto"/>
          <w:color w:val="auto"/>
        </w:rPr>
        <w:t>ASX</w:t>
      </w:r>
      <w:r>
        <w:rPr>
          <w:rFonts w:ascii="Times New Roman" w:cs="Times New Roman" w:eastAsia="Times New Roman" w:hAnsi="Times New Roman"/>
          <w:sz w:val="18"/>
          <w:szCs w:val="18"/>
          <w:color w:val="auto"/>
        </w:rPr>
        <w:t>”) in accordance with the requirements of the ASX Listing Rules (“</w:t>
      </w:r>
      <w:r>
        <w:rPr>
          <w:rFonts w:ascii="Times New Roman" w:cs="Times New Roman" w:eastAsia="Times New Roman" w:hAnsi="Times New Roman"/>
          <w:sz w:val="18"/>
          <w:szCs w:val="18"/>
          <w:b w:val="1"/>
          <w:bCs w:val="1"/>
          <w:u w:val="single" w:color="auto"/>
          <w:color w:val="auto"/>
        </w:rPr>
        <w:t>Listing Rules</w:t>
      </w:r>
      <w:r>
        <w:rPr>
          <w:rFonts w:ascii="Times New Roman" w:cs="Times New Roman" w:eastAsia="Times New Roman" w:hAnsi="Times New Roman"/>
          <w:sz w:val="18"/>
          <w:szCs w:val="18"/>
          <w:color w:val="auto"/>
        </w:rPr>
        <w:t>”). To the extent such Listing Rules may impose limits on the number of Placement Shares the Company can issue under the Agreement without shareholder or similar approval, the Company shall not instruct Cowen to sell a number of Placement Shares beyond that permitted by such Listing Rules.</w:t>
      </w:r>
    </w:p>
    <w:p>
      <w:pPr>
        <w:spacing w:after="0" w:line="79" w:lineRule="exact"/>
        <w:rPr>
          <w:rFonts w:ascii="Times New Roman" w:cs="Times New Roman" w:eastAsia="Times New Roman" w:hAnsi="Times New Roman"/>
          <w:sz w:val="18"/>
          <w:szCs w:val="18"/>
          <w:color w:val="auto"/>
        </w:rPr>
      </w:pPr>
    </w:p>
    <w:p>
      <w:pPr>
        <w:ind w:left="420" w:right="120" w:firstLine="391"/>
        <w:spacing w:after="0" w:line="254" w:lineRule="auto"/>
        <w:tabs>
          <w:tab w:leader="none" w:pos="11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Dates; Certificate</w:t>
      </w:r>
      <w:r>
        <w:rPr>
          <w:rFonts w:ascii="Times New Roman" w:cs="Times New Roman" w:eastAsia="Times New Roman" w:hAnsi="Times New Roman"/>
          <w:sz w:val="18"/>
          <w:szCs w:val="18"/>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w:t>
      </w:r>
    </w:p>
    <w:p>
      <w:pPr>
        <w:spacing w:after="0" w:line="3" w:lineRule="exact"/>
        <w:rPr>
          <w:rFonts w:ascii="Times New Roman" w:cs="Times New Roman" w:eastAsia="Times New Roman" w:hAnsi="Times New Roman"/>
          <w:sz w:val="18"/>
          <w:szCs w:val="18"/>
          <w:color w:val="auto"/>
        </w:rPr>
      </w:pPr>
    </w:p>
    <w:p>
      <w:pPr>
        <w:ind w:left="420" w:firstLine="8"/>
        <w:spacing w:after="0" w:line="252" w:lineRule="auto"/>
        <w:tabs>
          <w:tab w:leader="none" w:pos="7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files its quarterly reports on Form 10-Q under the Exchange Act; or (iv) the Company files a report on Form 8-K containing amended financial information (other than an earnings release) under the Exchange Act (each date of filing of one or more of the documents referred to in clauses (i) through (iv) shall be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Bring-Down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furnish Cowen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within three (3) Trading Days of any Bring-Down Date if requested by Cowen. The requirement to provide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w:t>
      </w:r>
    </w:p>
    <w:p>
      <w:pPr>
        <w:spacing w:after="0" w:line="120"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9960"/>
          </w:cols>
          <w:pgMar w:left="1440" w:top="270" w:right="499" w:bottom="1440" w:gutter="0" w:footer="0" w:header="0"/>
        </w:sectPr>
      </w:pPr>
    </w:p>
    <w:bookmarkStart w:id="68" w:name="page69"/>
    <w:bookmarkEnd w:id="68"/>
    <w:p>
      <w:pPr>
        <w:ind w:left="420" w:right="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considered a Bring-Down Date) and the next occurring Bring-Down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Cowen with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then before the Company delivers the Placement Notice or Cowen sells any Placement Shares, the Company shall provide Cowen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dated the date of the Placement Notice.</w:t>
      </w:r>
    </w:p>
    <w:p>
      <w:pPr>
        <w:spacing w:after="0" w:line="76" w:lineRule="exact"/>
        <w:rPr>
          <w:sz w:val="20"/>
          <w:szCs w:val="20"/>
          <w:color w:val="auto"/>
        </w:rPr>
      </w:pPr>
    </w:p>
    <w:p>
      <w:pPr>
        <w:ind w:left="420" w:firstLine="391"/>
        <w:spacing w:after="0" w:line="253" w:lineRule="auto"/>
        <w:tabs>
          <w:tab w:leader="none" w:pos="10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to be furnished to Cowen a written opinion of K&amp;L Gates LLP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or other counsel reasonably satisfactory to Cowen, and the written opinion of Vorys, Sater, Seymour and Pease LLP (“</w:t>
      </w:r>
      <w:r>
        <w:rPr>
          <w:rFonts w:ascii="Times New Roman" w:cs="Times New Roman" w:eastAsia="Times New Roman" w:hAnsi="Times New Roman"/>
          <w:sz w:val="18"/>
          <w:szCs w:val="18"/>
          <w:b w:val="1"/>
          <w:bCs w:val="1"/>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Property Counsel</w:t>
      </w:r>
      <w:r>
        <w:rPr>
          <w:rFonts w:ascii="Times New Roman" w:cs="Times New Roman" w:eastAsia="Times New Roman" w:hAnsi="Times New Roman"/>
          <w:sz w:val="18"/>
          <w:szCs w:val="18"/>
          <w:color w:val="auto"/>
        </w:rPr>
        <w:t>”) or other counsel reasonably satisfactory to Cowen, in form and substance reasonably satisfactory to Cowen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counsel, dated the date that the opinions are required to be delivered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opinions for subsequent Bring-Down Dates, counsel may furnish Cowen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Cowen may rely on a prior opinion delivered under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86" w:lineRule="exact"/>
        <w:rPr>
          <w:rFonts w:ascii="Times New Roman" w:cs="Times New Roman" w:eastAsia="Times New Roman" w:hAnsi="Times New Roman"/>
          <w:sz w:val="18"/>
          <w:szCs w:val="18"/>
          <w:color w:val="auto"/>
        </w:rPr>
      </w:pPr>
    </w:p>
    <w:p>
      <w:pPr>
        <w:ind w:left="420" w:right="60" w:firstLine="391"/>
        <w:spacing w:after="0" w:line="256" w:lineRule="auto"/>
        <w:tabs>
          <w:tab w:leader="none" w:pos="10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its independent accountants to furnish Cowen letters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dated the date the Comfort Letter is delivered, in form and substance satisfactory to Cowen, (i) confirming that they are an independent registered public accounting firm within the meaning of the Securities Act and the PCAOB, (ii) stating, as of such date, the conclusions and findings of such firm with respect to the</w:t>
      </w:r>
    </w:p>
    <w:p>
      <w:pPr>
        <w:spacing w:after="0" w:line="11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9980"/>
          </w:cols>
          <w:pgMar w:left="1440" w:top="268" w:right="479" w:bottom="1440" w:gutter="0" w:footer="0" w:header="0"/>
        </w:sectPr>
      </w:pPr>
    </w:p>
    <w:bookmarkStart w:id="69" w:name="page70"/>
    <w:bookmarkEnd w:id="69"/>
    <w:p>
      <w:pPr>
        <w:ind w:left="42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financial information and other matters ordinarily covered by accountants’ “comfort letters” to Cowen in connection with registered public offerings (the first such letter,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72" w:lineRule="exact"/>
        <w:rPr>
          <w:sz w:val="20"/>
          <w:szCs w:val="20"/>
          <w:color w:val="auto"/>
        </w:rPr>
      </w:pPr>
    </w:p>
    <w:p>
      <w:pPr>
        <w:ind w:left="420" w:firstLine="391"/>
        <w:spacing w:after="0" w:line="256" w:lineRule="auto"/>
        <w:tabs>
          <w:tab w:leader="none" w:pos="10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Cowen; provided, however, that the Company may bid for and purchase shares of its common stock in accordance with Rule 10b-18 under the Exchange Act.</w:t>
      </w:r>
    </w:p>
    <w:p>
      <w:pPr>
        <w:spacing w:after="0" w:line="79" w:lineRule="exact"/>
        <w:rPr>
          <w:rFonts w:ascii="Times New Roman" w:cs="Times New Roman" w:eastAsia="Times New Roman" w:hAnsi="Times New Roman"/>
          <w:sz w:val="18"/>
          <w:szCs w:val="18"/>
          <w:color w:val="auto"/>
        </w:rPr>
      </w:pPr>
    </w:p>
    <w:p>
      <w:pPr>
        <w:ind w:left="420" w:right="340" w:firstLine="391"/>
        <w:spacing w:after="0" w:line="282" w:lineRule="auto"/>
        <w:tabs>
          <w:tab w:leader="none" w:pos="10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6" w:lineRule="auto"/>
        <w:tabs>
          <w:tab w:leader="none" w:pos="10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licenses and other authorizations required by federal, state and local law in order to conduct their businesses as described in the Registration Statement and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79"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10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9960"/>
          </w:cols>
          <w:pgMar w:left="1440" w:top="270" w:right="499" w:bottom="1440" w:gutter="0" w:footer="0" w:header="0"/>
        </w:sectPr>
      </w:pPr>
    </w:p>
    <w:bookmarkStart w:id="70" w:name="page71"/>
    <w:bookmarkEnd w:id="70"/>
    <w:p>
      <w:pPr>
        <w:ind w:left="420" w:right="60" w:firstLine="391"/>
        <w:spacing w:after="0" w:line="266" w:lineRule="auto"/>
        <w:tabs>
          <w:tab w:leader="none" w:pos="10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67" w:lineRule="exact"/>
        <w:rPr>
          <w:rFonts w:ascii="Times New Roman" w:cs="Times New Roman" w:eastAsia="Times New Roman" w:hAnsi="Times New Roman"/>
          <w:sz w:val="18"/>
          <w:szCs w:val="18"/>
          <w:color w:val="auto"/>
        </w:rPr>
      </w:pPr>
    </w:p>
    <w:p>
      <w:pPr>
        <w:ind w:left="420" w:right="80" w:firstLine="391"/>
        <w:spacing w:after="0" w:line="261" w:lineRule="auto"/>
        <w:tabs>
          <w:tab w:leader="none" w:pos="10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the Prospectus or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71" w:lineRule="exact"/>
        <w:rPr>
          <w:rFonts w:ascii="Times New Roman" w:cs="Times New Roman" w:eastAsia="Times New Roman" w:hAnsi="Times New Roman"/>
          <w:sz w:val="18"/>
          <w:szCs w:val="18"/>
          <w:color w:val="auto"/>
        </w:rPr>
      </w:pPr>
    </w:p>
    <w:p>
      <w:pPr>
        <w:ind w:left="420" w:right="300" w:firstLine="391"/>
        <w:spacing w:after="0" w:line="282" w:lineRule="auto"/>
        <w:tabs>
          <w:tab w:leader="none" w:pos="10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its Subsidiaries will use their best efforts to comply with all effective applicable provisions of the Sarbanes-Oxley Act.</w:t>
      </w:r>
    </w:p>
    <w:p>
      <w:pPr>
        <w:spacing w:after="0" w:line="53" w:lineRule="exact"/>
        <w:rPr>
          <w:rFonts w:ascii="Times New Roman" w:cs="Times New Roman" w:eastAsia="Times New Roman" w:hAnsi="Times New Roman"/>
          <w:sz w:val="18"/>
          <w:szCs w:val="18"/>
          <w:color w:val="auto"/>
        </w:rPr>
      </w:pPr>
    </w:p>
    <w:p>
      <w:pPr>
        <w:ind w:left="420" w:right="140" w:firstLine="391"/>
        <w:spacing w:after="0" w:line="256" w:lineRule="auto"/>
        <w:tabs>
          <w:tab w:leader="none" w:pos="10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Affirmation</w:t>
      </w:r>
      <w:r>
        <w:rPr>
          <w:rFonts w:ascii="Times New Roman" w:cs="Times New Roman" w:eastAsia="Times New Roman" w:hAnsi="Times New Roman"/>
          <w:sz w:val="18"/>
          <w:szCs w:val="18"/>
          <w:color w:val="auto"/>
        </w:rPr>
        <w:t>. Each Placement Notice delivered by the Company to Cowen shall be deemed to be (i) an affirmation that the representations, warranties and agreements of the Company herein contained and contained in any certificate delivered to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75" w:lineRule="exact"/>
        <w:rPr>
          <w:rFonts w:ascii="Times New Roman" w:cs="Times New Roman" w:eastAsia="Times New Roman" w:hAnsi="Times New Roman"/>
          <w:sz w:val="18"/>
          <w:szCs w:val="18"/>
          <w:color w:val="auto"/>
        </w:rPr>
      </w:pPr>
    </w:p>
    <w:p>
      <w:pPr>
        <w:ind w:left="420" w:firstLine="391"/>
        <w:spacing w:after="0" w:line="255" w:lineRule="auto"/>
        <w:tabs>
          <w:tab w:leader="none" w:pos="10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w:t>
      </w:r>
      <w:r>
        <w:rPr>
          <w:rFonts w:ascii="Times New Roman" w:cs="Times New Roman" w:eastAsia="Times New Roman" w:hAnsi="Times New Roman"/>
          <w:sz w:val="18"/>
          <w:szCs w:val="18"/>
          <w:color w:val="auto"/>
        </w:rPr>
        <w:t>. If immediately prior to the third anniversary (the “</w:t>
      </w:r>
      <w:r>
        <w:rPr>
          <w:rFonts w:ascii="Times New Roman" w:cs="Times New Roman" w:eastAsia="Times New Roman" w:hAnsi="Times New Roman"/>
          <w:sz w:val="18"/>
          <w:szCs w:val="18"/>
          <w:b w:val="1"/>
          <w:bCs w:val="1"/>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the number of Placement Shares sold by the Company is less than 3,799,164 and this Agreement has not expired or been terminated, the Company will, prior to the Renewal Deadline, file, if it has not already done so and is eligible to do so, a new shelf registration statement relating to the Placement Shares, in a form satisfactory to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2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0020"/>
          </w:cols>
          <w:pgMar w:left="1440" w:top="270" w:right="439" w:bottom="1440" w:gutter="0" w:footer="0" w:header="0"/>
        </w:sectPr>
      </w:pPr>
    </w:p>
    <w:bookmarkStart w:id="71" w:name="page72"/>
    <w:bookmarkEnd w:id="71"/>
    <w:p>
      <w:pPr>
        <w:ind w:left="-436" w:right="120" w:firstLine="436"/>
        <w:spacing w:after="0" w:line="261" w:lineRule="auto"/>
        <w:tabs>
          <w:tab w:leader="none" w:pos="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Cowen’s Obligations</w:t>
      </w:r>
      <w:r>
        <w:rPr>
          <w:rFonts w:ascii="Times New Roman" w:cs="Times New Roman" w:eastAsia="Times New Roman" w:hAnsi="Times New Roman"/>
          <w:sz w:val="18"/>
          <w:szCs w:val="18"/>
          <w:color w:val="auto"/>
        </w:rPr>
        <w:t>. The obligations of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Cowen of a due diligence review satisfactory to Cowen in its reasonable judgment, and to the continuing satisfaction (or waiver by Cowen in its sole discretion) of the following additional conditions:</w:t>
      </w:r>
    </w:p>
    <w:p>
      <w:pPr>
        <w:spacing w:after="0" w:line="71" w:lineRule="exact"/>
        <w:rPr>
          <w:rFonts w:ascii="Times New Roman" w:cs="Times New Roman" w:eastAsia="Times New Roman" w:hAnsi="Times New Roman"/>
          <w:sz w:val="18"/>
          <w:szCs w:val="18"/>
          <w:color w:val="auto"/>
        </w:rPr>
      </w:pPr>
    </w:p>
    <w:p>
      <w:pPr>
        <w:ind w:left="984" w:right="40" w:firstLine="391"/>
        <w:spacing w:after="0" w:line="266" w:lineRule="auto"/>
        <w:tabs>
          <w:tab w:leader="none" w:pos="161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67" w:lineRule="exact"/>
        <w:rPr>
          <w:rFonts w:ascii="Times New Roman" w:cs="Times New Roman" w:eastAsia="Times New Roman" w:hAnsi="Times New Roman"/>
          <w:sz w:val="18"/>
          <w:szCs w:val="18"/>
          <w:color w:val="auto"/>
        </w:rPr>
      </w:pPr>
    </w:p>
    <w:p>
      <w:pPr>
        <w:ind w:left="984" w:firstLine="391"/>
        <w:spacing w:after="0" w:line="252" w:lineRule="auto"/>
        <w:tabs>
          <w:tab w:leader="none" w:pos="162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87" w:lineRule="exact"/>
        <w:rPr>
          <w:rFonts w:ascii="Times New Roman" w:cs="Times New Roman" w:eastAsia="Times New Roman" w:hAnsi="Times New Roman"/>
          <w:sz w:val="18"/>
          <w:szCs w:val="18"/>
          <w:color w:val="auto"/>
        </w:rPr>
      </w:pPr>
    </w:p>
    <w:p>
      <w:pPr>
        <w:ind w:left="984" w:right="40" w:firstLine="391"/>
        <w:spacing w:after="0" w:line="261" w:lineRule="auto"/>
        <w:tabs>
          <w:tab w:leader="none" w:pos="161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Cowen shall not have advised the Company that the Registration Statement or the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112"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0464"/>
          </w:cols>
          <w:pgMar w:left="876" w:top="270" w:right="559" w:bottom="1440" w:gutter="0" w:footer="0" w:header="0"/>
        </w:sectPr>
      </w:pPr>
    </w:p>
    <w:bookmarkStart w:id="72" w:name="page73"/>
    <w:bookmarkEnd w:id="72"/>
    <w:p>
      <w:pPr>
        <w:ind w:left="420" w:firstLine="391"/>
        <w:spacing w:after="0" w:line="254" w:lineRule="auto"/>
        <w:tabs>
          <w:tab w:leader="none" w:pos="10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80" w:lineRule="exact"/>
        <w:rPr>
          <w:rFonts w:ascii="Times New Roman" w:cs="Times New Roman" w:eastAsia="Times New Roman" w:hAnsi="Times New Roman"/>
          <w:sz w:val="18"/>
          <w:szCs w:val="18"/>
          <w:color w:val="auto"/>
        </w:rPr>
      </w:pPr>
    </w:p>
    <w:p>
      <w:pPr>
        <w:jc w:val="both"/>
        <w:ind w:left="420" w:right="160" w:firstLine="391"/>
        <w:spacing w:after="0" w:line="266" w:lineRule="auto"/>
        <w:tabs>
          <w:tab w:leader="none" w:pos="10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w:t>
      </w:r>
      <w:r>
        <w:rPr>
          <w:rFonts w:ascii="Times New Roman" w:cs="Times New Roman" w:eastAsia="Times New Roman" w:hAnsi="Times New Roman"/>
          <w:sz w:val="18"/>
          <w:szCs w:val="18"/>
          <w:color w:val="auto"/>
        </w:rPr>
        <w:t xml:space="preserve">. Cowen shall have received the opinions of Company Counsel and Intellectual Property Counsel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10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Cowen Counsel Legal Opinion</w:t>
      </w:r>
      <w:r>
        <w:rPr>
          <w:rFonts w:ascii="Times New Roman" w:cs="Times New Roman" w:eastAsia="Times New Roman" w:hAnsi="Times New Roman"/>
          <w:sz w:val="18"/>
          <w:szCs w:val="18"/>
          <w:color w:val="auto"/>
        </w:rPr>
        <w:t xml:space="preserve">. Cowen shall have received from Davis Polk &amp; Wardwell LLP, counsel for Cowen, such opinion or opinions, on or before the date on which the delivery of the Company Counsel legal opinion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with respect to such matters as Cowen may reasonably require, and the Company shall have furnished to such counsel such documents as they request for enabling them to pass upon such matters.</w:t>
      </w:r>
    </w:p>
    <w:p>
      <w:pPr>
        <w:spacing w:after="0" w:line="71" w:lineRule="exact"/>
        <w:rPr>
          <w:rFonts w:ascii="Times New Roman" w:cs="Times New Roman" w:eastAsia="Times New Roman" w:hAnsi="Times New Roman"/>
          <w:sz w:val="18"/>
          <w:szCs w:val="18"/>
          <w:color w:val="auto"/>
        </w:rPr>
      </w:pPr>
    </w:p>
    <w:p>
      <w:pPr>
        <w:ind w:left="420" w:right="480" w:firstLine="391"/>
        <w:spacing w:after="0" w:line="282" w:lineRule="auto"/>
        <w:tabs>
          <w:tab w:leader="none" w:pos="10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Cowen shall have received the Comfort Letter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20" w:firstLine="391"/>
        <w:spacing w:after="0" w:line="282" w:lineRule="auto"/>
        <w:tabs>
          <w:tab w:leader="none" w:pos="10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Cowen shall have received the certificate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20" w:right="200" w:firstLine="391"/>
        <w:spacing w:after="0" w:line="282" w:lineRule="auto"/>
        <w:tabs>
          <w:tab w:leader="none" w:pos="10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Delivery Date, Cowen shall have received a certificate, signed on behalf of the Company by its corporate secretary, in form and substance reasonably satisfactory to Cowen and its counsel.</w:t>
      </w:r>
    </w:p>
    <w:p>
      <w:pPr>
        <w:spacing w:after="0" w:line="9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0000"/>
          </w:cols>
          <w:pgMar w:left="1440" w:top="270" w:right="459" w:bottom="1440" w:gutter="0" w:footer="0" w:header="0"/>
        </w:sectPr>
      </w:pPr>
    </w:p>
    <w:bookmarkStart w:id="73" w:name="page74"/>
    <w:bookmarkEnd w:id="73"/>
    <w:p>
      <w:pPr>
        <w:ind w:left="1584" w:hanging="209"/>
        <w:spacing w:after="0"/>
        <w:tabs>
          <w:tab w:leader="none" w:pos="15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Suspension. Trading in the Common Stock shall not have been suspended on Nasdaq.</w:t>
      </w:r>
    </w:p>
    <w:p>
      <w:pPr>
        <w:spacing w:after="0" w:line="117" w:lineRule="exact"/>
        <w:rPr>
          <w:rFonts w:ascii="Times New Roman" w:cs="Times New Roman" w:eastAsia="Times New Roman" w:hAnsi="Times New Roman"/>
          <w:sz w:val="18"/>
          <w:szCs w:val="18"/>
          <w:color w:val="auto"/>
        </w:rPr>
      </w:pPr>
    </w:p>
    <w:p>
      <w:pPr>
        <w:jc w:val="both"/>
        <w:ind w:left="984" w:right="40" w:firstLine="391"/>
        <w:spacing w:after="0" w:line="258" w:lineRule="auto"/>
        <w:tabs>
          <w:tab w:leader="none" w:pos="162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75" w:lineRule="exact"/>
        <w:rPr>
          <w:rFonts w:ascii="Times New Roman" w:cs="Times New Roman" w:eastAsia="Times New Roman" w:hAnsi="Times New Roman"/>
          <w:sz w:val="18"/>
          <w:szCs w:val="18"/>
          <w:color w:val="auto"/>
        </w:rPr>
      </w:pPr>
    </w:p>
    <w:p>
      <w:pPr>
        <w:ind w:left="984" w:right="40" w:firstLine="391"/>
        <w:spacing w:after="0" w:line="266" w:lineRule="auto"/>
        <w:tabs>
          <w:tab w:leader="none" w:pos="158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67" w:lineRule="exact"/>
        <w:rPr>
          <w:rFonts w:ascii="Times New Roman" w:cs="Times New Roman" w:eastAsia="Times New Roman" w:hAnsi="Times New Roman"/>
          <w:sz w:val="18"/>
          <w:szCs w:val="18"/>
          <w:color w:val="auto"/>
        </w:rPr>
      </w:pPr>
    </w:p>
    <w:p>
      <w:pPr>
        <w:ind w:left="984" w:right="120" w:firstLine="391"/>
        <w:spacing w:after="0" w:line="266" w:lineRule="auto"/>
        <w:tabs>
          <w:tab w:leader="none" w:pos="167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67" w:lineRule="exact"/>
        <w:rPr>
          <w:rFonts w:ascii="Times New Roman" w:cs="Times New Roman" w:eastAsia="Times New Roman" w:hAnsi="Times New Roman"/>
          <w:sz w:val="18"/>
          <w:szCs w:val="18"/>
          <w:color w:val="auto"/>
        </w:rPr>
      </w:pPr>
    </w:p>
    <w:p>
      <w:pPr>
        <w:ind w:left="984" w:right="380" w:firstLine="391"/>
        <w:spacing w:after="0" w:line="282" w:lineRule="auto"/>
        <w:tabs>
          <w:tab w:leader="none" w:pos="162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Cowen to terminate this Agreement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391"/>
        <w:spacing w:after="0" w:line="255" w:lineRule="auto"/>
        <w:tabs>
          <w:tab w:leader="none" w:pos="161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of, any action, suit or proceeding between any of the indemnified parties and any indemnifying parties or between any indemnified party and any third party, or otherwise, or any claim asserted), as and when incurred, to which Cowen, or any such</w:t>
      </w:r>
    </w:p>
    <w:p>
      <w:pPr>
        <w:spacing w:after="0" w:line="121"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-3599815</wp:posOffset>
            </wp:positionV>
            <wp:extent cx="7175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ectPr>
          <w:pgSz w:w="11900" w:h="16838" w:orient="portrait"/>
          <w:cols w:equalWidth="0" w:num="1">
            <w:col w:w="10504"/>
          </w:cols>
          <w:pgMar w:left="876" w:top="270" w:right="519" w:bottom="1440" w:gutter="0" w:footer="0" w:header="0"/>
        </w:sectPr>
      </w:pPr>
    </w:p>
    <w:bookmarkStart w:id="74" w:name="page75"/>
    <w:bookmarkEnd w:id="74"/>
    <w:p>
      <w:pPr>
        <w:ind w:left="42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last sentence of the ninth paragraph under the caption “Plan of Distribution” in the Prospectus. This indemnity agreement will be in addition to any liability that the Company might otherwise have.</w:t>
      </w:r>
    </w:p>
    <w:p>
      <w:pPr>
        <w:spacing w:after="0" w:line="89" w:lineRule="exact"/>
        <w:rPr>
          <w:sz w:val="20"/>
          <w:szCs w:val="20"/>
          <w:color w:val="auto"/>
        </w:rPr>
      </w:pPr>
    </w:p>
    <w:p>
      <w:pPr>
        <w:ind w:left="420" w:right="160" w:firstLine="391"/>
        <w:spacing w:after="0" w:line="255" w:lineRule="auto"/>
        <w:tabs>
          <w:tab w:leader="none" w:pos="105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Cowen Indemnification</w:t>
      </w:r>
      <w:r>
        <w:rPr>
          <w:rFonts w:ascii="Times New Roman" w:cs="Times New Roman" w:eastAsia="Times New Roman" w:hAnsi="Times New Roman"/>
          <w:sz w:val="18"/>
          <w:szCs w:val="18"/>
          <w:color w:val="auto"/>
        </w:rPr>
        <w:t xml:space="preserve">.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80" w:lineRule="exact"/>
        <w:rPr>
          <w:rFonts w:ascii="Times New Roman" w:cs="Times New Roman" w:eastAsia="Times New Roman" w:hAnsi="Times New Roman"/>
          <w:sz w:val="18"/>
          <w:szCs w:val="18"/>
          <w:color w:val="auto"/>
        </w:rPr>
      </w:pPr>
    </w:p>
    <w:p>
      <w:pPr>
        <w:ind w:left="420" w:firstLine="391"/>
        <w:spacing w:after="0" w:line="261" w:lineRule="auto"/>
        <w:tabs>
          <w:tab w:leader="none" w:pos="10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notify each such indemnifying party of the commencement of such action, enclosing a copy of all papers served, but the omission so to notify such indemnifying party will not relieve</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9960"/>
          </w:cols>
          <w:pgMar w:left="1440" w:top="270" w:right="49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indemnifying party from (i) any liability that it might have to any indemnified party otherwise than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w:t>
      </w:r>
    </w:p>
    <w:p>
      <w:pPr>
        <w:spacing w:after="0" w:line="39" w:lineRule="exact"/>
        <w:rPr>
          <w:sz w:val="20"/>
          <w:szCs w:val="20"/>
          <w:color w:val="auto"/>
        </w:rPr>
      </w:pPr>
    </w:p>
    <w:p>
      <w:pPr>
        <w:ind w:left="420" w:firstLine="8"/>
        <w:spacing w:after="0" w:line="250"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related to such fees, disbursements and other charges. An indemnifying party will not, in any event, be liable for any settlement of any action or claim effected without its written consent. No indemnifying party shall, without the</w:t>
      </w:r>
    </w:p>
    <w:p>
      <w:pPr>
        <w:spacing w:after="0" w:line="13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0000"/>
          </w:cols>
          <w:pgMar w:left="1440" w:top="270" w:right="459" w:bottom="1440" w:gutter="0" w:footer="0" w:header="0"/>
        </w:sectPr>
      </w:pPr>
    </w:p>
    <w:bookmarkStart w:id="76" w:name="page77"/>
    <w:bookmarkEnd w:id="76"/>
    <w:p>
      <w:pPr>
        <w:ind w:left="42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72" w:lineRule="exact"/>
        <w:rPr>
          <w:sz w:val="20"/>
          <w:szCs w:val="20"/>
          <w:color w:val="auto"/>
        </w:rPr>
      </w:pPr>
    </w:p>
    <w:p>
      <w:pPr>
        <w:ind w:left="420" w:firstLine="391"/>
        <w:spacing w:after="0" w:line="252" w:lineRule="auto"/>
        <w:tabs>
          <w:tab w:leader="none" w:pos="10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w:t>
      </w:r>
    </w:p>
    <w:p>
      <w:pPr>
        <w:spacing w:after="0" w:line="120"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9980"/>
          </w:cols>
          <w:pgMar w:left="1440" w:top="270" w:right="479" w:bottom="1440" w:gutter="0" w:footer="0" w:header="0"/>
        </w:sectPr>
      </w:pPr>
    </w:p>
    <w:bookmarkStart w:id="77" w:name="page78"/>
    <w:bookmarkEnd w:id="77"/>
    <w:p>
      <w:pPr>
        <w:ind w:left="98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person who controls a party to this Agreement within the meaning of the Securities Act, and any officers, directors, partners, employees or agents of Cowen, will have the 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will notify in writing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w:t>
      </w:r>
    </w:p>
    <w:p>
      <w:pPr>
        <w:spacing w:after="0" w:line="85" w:lineRule="exact"/>
        <w:rPr>
          <w:sz w:val="20"/>
          <w:szCs w:val="20"/>
          <w:color w:val="auto"/>
        </w:rPr>
      </w:pPr>
    </w:p>
    <w:p>
      <w:pPr>
        <w:ind w:left="4" w:right="80" w:hanging="4"/>
        <w:spacing w:after="0" w:line="258" w:lineRule="auto"/>
        <w:tabs>
          <w:tab w:leader="none" w:pos="2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115"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0584"/>
          </w:cols>
          <w:pgMar w:left="876" w:top="270" w:right="439" w:bottom="1440" w:gutter="0" w:footer="0" w:header="0"/>
        </w:sectPr>
      </w:pPr>
    </w:p>
    <w:bookmarkStart w:id="78" w:name="page79"/>
    <w:bookmarkEnd w:id="78"/>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p>
    <w:p>
      <w:pPr>
        <w:spacing w:after="0" w:line="117" w:lineRule="exact"/>
        <w:rPr>
          <w:sz w:val="20"/>
          <w:szCs w:val="20"/>
          <w:color w:val="auto"/>
        </w:rPr>
      </w:pPr>
    </w:p>
    <w:p>
      <w:pPr>
        <w:ind w:left="984" w:right="140" w:firstLine="391"/>
        <w:spacing w:after="0" w:line="253" w:lineRule="auto"/>
        <w:tabs>
          <w:tab w:leader="none" w:pos="16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or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(Applicable Law; Consent to Jurisdiction)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(Waiver of Jury Trial) hereof shall remain in full force and effect notwithstanding such termination. If Cowen elects to terminate this Agreement as provided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Cowen shall provide the required notice as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(Notices).</w:t>
      </w:r>
    </w:p>
    <w:p>
      <w:pPr>
        <w:spacing w:after="0" w:line="83" w:lineRule="exact"/>
        <w:rPr>
          <w:rFonts w:ascii="Times New Roman" w:cs="Times New Roman" w:eastAsia="Times New Roman" w:hAnsi="Times New Roman"/>
          <w:sz w:val="18"/>
          <w:szCs w:val="18"/>
          <w:color w:val="auto"/>
        </w:rPr>
      </w:pPr>
    </w:p>
    <w:p>
      <w:pPr>
        <w:ind w:left="984" w:right="20" w:firstLine="391"/>
        <w:spacing w:after="0" w:line="261" w:lineRule="auto"/>
        <w:tabs>
          <w:tab w:leader="none" w:pos="16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left="984" w:firstLine="391"/>
        <w:spacing w:after="0" w:line="261" w:lineRule="auto"/>
        <w:tabs>
          <w:tab w:leader="none" w:pos="16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left="984" w:right="220" w:firstLine="391"/>
        <w:spacing w:after="0" w:line="261" w:lineRule="auto"/>
        <w:tabs>
          <w:tab w:leader="none" w:pos="162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Cowen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left="984" w:firstLine="391"/>
        <w:spacing w:after="0" w:line="266" w:lineRule="auto"/>
        <w:tabs>
          <w:tab w:leader="none" w:pos="16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or (d)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remain in full force and effect.</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0564"/>
          </w:cols>
          <w:pgMar w:left="876" w:top="270" w:right="459" w:bottom="1440" w:gutter="0" w:footer="0" w:header="0"/>
        </w:sectPr>
      </w:pPr>
    </w:p>
    <w:bookmarkStart w:id="79" w:name="page80"/>
    <w:bookmarkEnd w:id="79"/>
    <w:p>
      <w:pPr>
        <w:ind w:left="984" w:right="60" w:firstLine="391"/>
        <w:spacing w:after="0" w:line="261" w:lineRule="auto"/>
        <w:tabs>
          <w:tab w:leader="none" w:pos="158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w:t>
      </w:r>
    </w:p>
    <w:p>
      <w:pPr>
        <w:spacing w:after="0" w:line="181" w:lineRule="exact"/>
        <w:rPr>
          <w:rFonts w:ascii="Times New Roman" w:cs="Times New Roman" w:eastAsia="Times New Roman" w:hAnsi="Times New Roman"/>
          <w:sz w:val="18"/>
          <w:szCs w:val="18"/>
          <w:color w:val="auto"/>
        </w:rPr>
      </w:pPr>
    </w:p>
    <w:p>
      <w:pPr>
        <w:ind w:left="-436" w:firstLine="436"/>
        <w:spacing w:after="0" w:line="244" w:lineRule="auto"/>
        <w:tabs>
          <w:tab w:leader="none" w:pos="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10022, fax no. 646-562-1130, Attention: General Counsel, email: Bradley.friedman@cowen.com; or if sent to the Company, shall be delivered to AVITA Medical, Inc., 28159 Avenue Stanford Suite 220, Valencia, CA 91355, attention: General Counsel, email: dshiroma@avitamedical.com, with a copy to K&amp;L Gates, attention: Chris Cunningham, email: chris.cunningham@klgates.com.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at the time receipt of such Electronic Notice is actually acknowledged by any of the individuals to whom the Electronic Notice is sent, other than via auto-reply.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94" w:lineRule="exact"/>
        <w:rPr>
          <w:rFonts w:ascii="Times New Roman" w:cs="Times New Roman" w:eastAsia="Times New Roman" w:hAnsi="Times New Roman"/>
          <w:sz w:val="18"/>
          <w:szCs w:val="18"/>
          <w:color w:val="auto"/>
        </w:rPr>
      </w:pPr>
    </w:p>
    <w:p>
      <w:pPr>
        <w:ind w:left="-436" w:right="80" w:firstLine="436"/>
        <w:spacing w:after="0" w:line="255" w:lineRule="auto"/>
        <w:tabs>
          <w:tab w:leader="none" w:pos="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Cowen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Cowen may assign its rights and obligations hereunder to an affiliate of Cowen without obtaining the Company’s consent.</w:t>
      </w:r>
    </w:p>
    <w:p>
      <w:pPr>
        <w:spacing w:after="0" w:line="188" w:lineRule="exact"/>
        <w:rPr>
          <w:rFonts w:ascii="Times New Roman" w:cs="Times New Roman" w:eastAsia="Times New Roman" w:hAnsi="Times New Roman"/>
          <w:sz w:val="18"/>
          <w:szCs w:val="18"/>
          <w:color w:val="auto"/>
        </w:rPr>
      </w:pPr>
    </w:p>
    <w:p>
      <w:pPr>
        <w:ind w:left="-436" w:right="80" w:firstLine="436"/>
        <w:spacing w:after="0" w:line="282" w:lineRule="auto"/>
        <w:tabs>
          <w:tab w:leader="none" w:pos="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94"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0544"/>
          </w:cols>
          <w:pgMar w:left="876" w:top="268" w:right="479" w:bottom="1440" w:gutter="0" w:footer="0" w:header="0"/>
        </w:sectPr>
      </w:pPr>
    </w:p>
    <w:bookmarkStart w:id="80" w:name="page81"/>
    <w:bookmarkEnd w:id="80"/>
    <w:p>
      <w:pPr>
        <w:ind w:left="-436" w:firstLine="436"/>
        <w:spacing w:after="0" w:line="272" w:lineRule="auto"/>
        <w:tabs>
          <w:tab w:leader="none" w:pos="27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 Amendment; Severability</w:t>
      </w:r>
      <w:r>
        <w:rPr>
          <w:rFonts w:ascii="Times New Roman" w:cs="Times New Roman" w:eastAsia="Times New Roman" w:hAnsi="Times New Roman"/>
          <w:sz w:val="17"/>
          <w:szCs w:val="17"/>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1" w:lineRule="exact"/>
        <w:rPr>
          <w:rFonts w:ascii="Times New Roman" w:cs="Times New Roman" w:eastAsia="Times New Roman" w:hAnsi="Times New Roman"/>
          <w:sz w:val="17"/>
          <w:szCs w:val="17"/>
          <w:color w:val="auto"/>
        </w:rPr>
      </w:pPr>
    </w:p>
    <w:p>
      <w:pPr>
        <w:ind w:left="-436" w:right="40" w:firstLine="436"/>
        <w:spacing w:after="0" w:line="254" w:lineRule="auto"/>
        <w:tabs>
          <w:tab w:leader="none" w:pos="2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Consent to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18"/>
          <w:szCs w:val="18"/>
          <w:color w:val="auto"/>
        </w:rPr>
      </w:pPr>
    </w:p>
    <w:p>
      <w:pPr>
        <w:ind w:left="-436" w:right="80" w:firstLine="436"/>
        <w:spacing w:after="0" w:line="282" w:lineRule="auto"/>
        <w:tabs>
          <w:tab w:leader="none" w:pos="2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Cowen each hereby irrevocably waives any right it may have to a trial by jury in respect of any claim based upon or arising out of this Agreement or any transaction contemplated hereby.</w:t>
      </w:r>
    </w:p>
    <w:p>
      <w:pPr>
        <w:spacing w:after="0" w:line="15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acknowledges and agrees that:</w:t>
      </w:r>
    </w:p>
    <w:p>
      <w:pPr>
        <w:spacing w:after="0" w:line="119" w:lineRule="exact"/>
        <w:rPr>
          <w:rFonts w:ascii="Times New Roman" w:cs="Times New Roman" w:eastAsia="Times New Roman" w:hAnsi="Times New Roman"/>
          <w:sz w:val="18"/>
          <w:szCs w:val="18"/>
          <w:color w:val="auto"/>
        </w:rPr>
      </w:pPr>
    </w:p>
    <w:p>
      <w:pPr>
        <w:ind w:left="984" w:right="120" w:firstLine="391"/>
        <w:spacing w:after="0" w:line="261" w:lineRule="auto"/>
        <w:tabs>
          <w:tab w:leader="none" w:pos="161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Cowen has been retained solely to act as an arm’s length contractual counterparty to the Company in connection with the sale of the Placement Shares contemplated hereby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71" w:lineRule="exact"/>
        <w:rPr>
          <w:rFonts w:ascii="Times New Roman" w:cs="Times New Roman" w:eastAsia="Times New Roman" w:hAnsi="Times New Roman"/>
          <w:sz w:val="18"/>
          <w:szCs w:val="18"/>
          <w:color w:val="auto"/>
        </w:rPr>
      </w:pPr>
    </w:p>
    <w:p>
      <w:pPr>
        <w:ind w:left="984" w:right="60" w:firstLine="391"/>
        <w:spacing w:after="0" w:line="282" w:lineRule="auto"/>
        <w:tabs>
          <w:tab w:leader="none" w:pos="162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53" w:lineRule="exact"/>
        <w:rPr>
          <w:rFonts w:ascii="Times New Roman" w:cs="Times New Roman" w:eastAsia="Times New Roman" w:hAnsi="Times New Roman"/>
          <w:sz w:val="18"/>
          <w:szCs w:val="18"/>
          <w:color w:val="auto"/>
        </w:rPr>
      </w:pPr>
    </w:p>
    <w:p>
      <w:pPr>
        <w:ind w:left="984" w:right="20" w:firstLine="391"/>
        <w:spacing w:after="0" w:line="266" w:lineRule="auto"/>
        <w:tabs>
          <w:tab w:leader="none" w:pos="161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0564"/>
          </w:cols>
          <w:pgMar w:left="876" w:top="270" w:right="459" w:bottom="1440" w:gutter="0" w:footer="0" w:header="0"/>
        </w:sectPr>
      </w:pPr>
    </w:p>
    <w:bookmarkStart w:id="81" w:name="page82"/>
    <w:bookmarkEnd w:id="81"/>
    <w:p>
      <w:pPr>
        <w:jc w:val="both"/>
        <w:ind w:left="1424" w:right="60" w:firstLine="391"/>
        <w:spacing w:after="0" w:line="261" w:lineRule="auto"/>
        <w:tabs>
          <w:tab w:leader="none" w:pos="206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(including pdf or any electronic signature covered by the U.S. federal ESIGN Act of 2000, Uniform Electronic Transactions Act, the Electronic Signatures and Records Act or other applicable law, e.g., </w:t>
      </w:r>
      <w:r>
        <w:rPr>
          <w:rFonts w:ascii="Times New Roman" w:cs="Times New Roman" w:eastAsia="Times New Roman" w:hAnsi="Times New Roman"/>
          <w:sz w:val="18"/>
          <w:szCs w:val="18"/>
          <w:u w:val="single" w:color="auto"/>
          <w:color w:val="auto"/>
        </w:rPr>
        <w:t>www.docusign.com</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436"/>
        <w:spacing w:after="0" w:line="261" w:lineRule="auto"/>
        <w:tabs>
          <w:tab w:leader="none" w:pos="68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Cowen is a Covered Entity and becomes subject to a proceeding under a U.S. Special Resolution Regime, the transfer from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Cowen is a Covered Entity and Cowen or a BHC Act Affiliate of Cowen becomes subject to a proceeding under a U.S. Special Resolution Regime, Default Rights under this Agreement that may be exercised against Cowen are permitted to be exercised to no greater extent than such Default Rights could be exercised under the U.S. Special Resolution Regime if this Agreement were governed by the laws of the United States or a state of the United States.</w:t>
      </w:r>
    </w:p>
    <w:p>
      <w:pPr>
        <w:spacing w:after="0" w:line="175" w:lineRule="exact"/>
        <w:rPr>
          <w:rFonts w:ascii="Times New Roman" w:cs="Times New Roman" w:eastAsia="Times New Roman" w:hAnsi="Times New Roman"/>
          <w:sz w:val="18"/>
          <w:szCs w:val="18"/>
          <w:color w:val="auto"/>
        </w:rPr>
      </w:pPr>
    </w:p>
    <w:p>
      <w:pPr>
        <w:ind w:left="4" w:right="380" w:firstLine="436"/>
        <w:spacing w:after="0" w:line="274" w:lineRule="auto"/>
        <w:tabs>
          <w:tab w:leader="none" w:pos="68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20; (a) “</w:t>
      </w:r>
      <w:r>
        <w:rPr>
          <w:rFonts w:ascii="Times New Roman" w:cs="Times New Roman" w:eastAsia="Times New Roman" w:hAnsi="Times New Roman"/>
          <w:sz w:val="17"/>
          <w:szCs w:val="17"/>
          <w:b w:val="1"/>
          <w:bCs w:val="1"/>
          <w:u w:val="single" w:color="auto"/>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(b) “</w:t>
      </w:r>
      <w:r>
        <w:rPr>
          <w:rFonts w:ascii="Times New Roman" w:cs="Times New Roman" w:eastAsia="Times New Roman" w:hAnsi="Times New Roman"/>
          <w:sz w:val="17"/>
          <w:szCs w:val="17"/>
          <w:b w:val="1"/>
          <w:bCs w:val="1"/>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w:t>
      </w:r>
    </w:p>
    <w:p>
      <w:pPr>
        <w:ind w:left="4" w:right="20" w:hanging="4"/>
        <w:spacing w:after="0" w:line="253" w:lineRule="auto"/>
        <w:tabs>
          <w:tab w:leader="none" w:pos="13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47.3(b); or (iii) a “covered FSI” as that term is defined in, and interpreted in accordance with, 12 C.F.R. § 382.2(b), (c) “</w:t>
      </w:r>
      <w:r>
        <w:rPr>
          <w:rFonts w:ascii="Times New Roman" w:cs="Times New Roman" w:eastAsia="Times New Roman" w:hAnsi="Times New Roman"/>
          <w:sz w:val="18"/>
          <w:szCs w:val="18"/>
          <w:b w:val="1"/>
          <w:bCs w:val="1"/>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u w:val="single" w:color="auto"/>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Wall Street Reform and Consumer Protection Act and the regulations promulgated thereunder.</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2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004"/>
          </w:cols>
          <w:pgMar w:left="436" w:top="270" w:right="459" w:bottom="1440" w:gutter="0" w:footer="0" w:header="0"/>
        </w:sectPr>
      </w:pPr>
    </w:p>
    <w:bookmarkStart w:id="82" w:name="page83"/>
    <w:bookmarkEnd w:id="8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COWEN AND COMPANY,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Michael Murphy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Corbett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0800"/>
          </w:cols>
          <w:pgMar w:left="440" w:top="270" w:right="6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628"/>
        </w:trPr>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FORM OF PLACEMENT NOTICE</w:t>
            </w:r>
          </w:p>
        </w:tc>
      </w:tr>
      <w:tr>
        <w:trPr>
          <w:trHeight w:val="46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100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Cowen At the Market Offering—Placement Notice</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11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Pursuant to the terms and subject to the conditions contained in the Sales Agreement between AVITA Medical,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Cowen and Company, LLC (“</w:t>
      </w:r>
      <w:r>
        <w:rPr>
          <w:rFonts w:ascii="Times New Roman" w:cs="Times New Roman" w:eastAsia="Times New Roman" w:hAnsi="Times New Roman"/>
          <w:sz w:val="17"/>
          <w:szCs w:val="17"/>
          <w:u w:val="single" w:color="auto"/>
          <w:color w:val="auto"/>
        </w:rPr>
        <w:t>Cowen</w:t>
      </w:r>
      <w:r>
        <w:rPr>
          <w:rFonts w:ascii="Times New Roman" w:cs="Times New Roman" w:eastAsia="Times New Roman" w:hAnsi="Times New Roman"/>
          <w:sz w:val="17"/>
          <w:szCs w:val="17"/>
          <w:color w:val="auto"/>
        </w:rPr>
        <w:t>”) dated April 14, 2023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 hereby request on behalf of the Company that Cowen sell up to [•] shares of the Company’s common stock, par value $0.0001 per share, at a minimum market price of $_______ per share. Sales should begin on the date of this Notice</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and shall continue until [DATE] [all shares are sold]. The aggregate dollar amount of placement shares that may be sold under the Agreement, including the placement shares to be sold pursuant to this Notice, as of the date of this Notice is $ [ ].</w:t>
      </w:r>
    </w:p>
    <w:p>
      <w:pPr>
        <w:sectPr>
          <w:pgSz w:w="11900" w:h="16838" w:orient="portrait"/>
          <w:cols w:equalWidth="0" w:num="1">
            <w:col w:w="11020"/>
          </w:cols>
          <w:pgMar w:left="440" w:top="257" w:right="4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AVITA Medical, Inc.</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Sean Ekins</w:t>
            </w: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Donna Shiroma</w:t>
            </w: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499"/>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Cowen and Company, LLC</w:t>
            </w:r>
          </w:p>
        </w:tc>
      </w:tr>
      <w:tr>
        <w:trPr>
          <w:trHeight w:val="20"/>
        </w:trPr>
        <w:tc>
          <w:tcPr>
            <w:tcW w:w="1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5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Michael J. Murphy</w:t>
            </w: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Adriano Pierroz</w:t>
            </w:r>
          </w:p>
        </w:tc>
        <w:tc>
          <w:tcPr>
            <w:tcW w:w="2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Vice President, Equity Capital Markets</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Madeleine Stow</w:t>
            </w:r>
          </w:p>
        </w:tc>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shall be paid compensation equal to 3% of the gross proceeds from the sales of Common Stock pursuant to the terms of this Agreement.</w:t>
      </w:r>
    </w:p>
    <w:p>
      <w:pPr>
        <w:sectPr>
          <w:pgSz w:w="11900" w:h="16838" w:orient="portrait"/>
          <w:cols w:equalWidth="0" w:num="1">
            <w:col w:w="11020"/>
          </w:cols>
          <w:pgMar w:left="440" w:top="266" w:right="4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undersigned, the duly qualified and elected _______________________, of </w:t>
      </w:r>
      <w:r>
        <w:rPr>
          <w:rFonts w:ascii="Times New Roman" w:cs="Times New Roman" w:eastAsia="Times New Roman" w:hAnsi="Times New Roman"/>
          <w:sz w:val="18"/>
          <w:szCs w:val="18"/>
          <w:b w:val="1"/>
          <w:bCs w:val="1"/>
          <w:color w:val="auto"/>
        </w:rPr>
        <w:t>AVITA Medical,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 Delaware corporation, does</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hereby certify in such capacity and on behalf of the Company,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of the Sales Agreement dated April 14, 2023 (the “</w:t>
      </w:r>
      <w:r>
        <w:rPr>
          <w:rFonts w:ascii="Times New Roman" w:cs="Times New Roman" w:eastAsia="Times New Roman" w:hAnsi="Times New Roman"/>
          <w:sz w:val="18"/>
          <w:szCs w:val="18"/>
          <w:b w:val="1"/>
          <w:bCs w:val="1"/>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between the Company and Cowen and Company, LLC, that to the knowledge of the undersigned:</w:t>
      </w:r>
    </w:p>
    <w:p>
      <w:pPr>
        <w:spacing w:after="0" w:line="73" w:lineRule="exact"/>
        <w:rPr>
          <w:sz w:val="20"/>
          <w:szCs w:val="20"/>
          <w:color w:val="auto"/>
        </w:rPr>
      </w:pPr>
    </w:p>
    <w:p>
      <w:pPr>
        <w:ind w:right="180" w:firstLine="436"/>
        <w:spacing w:after="0" w:line="255"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80" w:lineRule="exact"/>
        <w:rPr>
          <w:rFonts w:ascii="Times New Roman" w:cs="Times New Roman" w:eastAsia="Times New Roman" w:hAnsi="Times New Roman"/>
          <w:sz w:val="18"/>
          <w:szCs w:val="18"/>
          <w:color w:val="auto"/>
        </w:rPr>
      </w:pPr>
    </w:p>
    <w:p>
      <w:pPr>
        <w:ind w:right="540" w:firstLine="436"/>
        <w:spacing w:after="0" w:line="282" w:lineRule="auto"/>
        <w:tabs>
          <w:tab w:leader="none" w:pos="7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10566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20165" cy="1148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132016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28159 Avenue Stanford,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counsel to AVITA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on the date hereof with the U.S.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Registration Statement relates to the issuance and sale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415 promulgated under the Act of the following securities to be sold by the Company:</w:t>
      </w:r>
    </w:p>
    <w:p>
      <w:pPr>
        <w:spacing w:after="0" w:line="112" w:lineRule="exact"/>
        <w:rPr>
          <w:sz w:val="20"/>
          <w:szCs w:val="20"/>
          <w:color w:val="auto"/>
        </w:rPr>
      </w:pPr>
    </w:p>
    <w:p>
      <w:pPr>
        <w:ind w:left="960" w:hanging="532"/>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common stock, par value $0.0001 per share (the “</w:t>
      </w:r>
      <w:r>
        <w:rPr>
          <w:rFonts w:ascii="Times New Roman" w:cs="Times New Roman" w:eastAsia="Times New Roman" w:hAnsi="Times New Roman"/>
          <w:sz w:val="18"/>
          <w:szCs w:val="18"/>
          <w:u w:val="single" w:color="auto"/>
          <w:color w:val="auto"/>
        </w:rPr>
        <w:t>Shelf Registration Common Stock</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preferred stock, par value $0.0001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or Preferred Stock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representing ownership of Common Stock, Preferred Stock, Warrants or any combination thereof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Shelf Registration Common Stock (including the Offering Common Stock, as defined below), Preferred Stock, Warrants and Units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maximum public offering price of the Securities being registered is $200,000,000.</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also have acted as counsel to the Company in connection with the issuance and sale by the Company from time to time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up to 3,799,164 shares of Common Stock (the “</w:t>
      </w:r>
      <w:r>
        <w:rPr>
          <w:rFonts w:ascii="Times New Roman" w:cs="Times New Roman" w:eastAsia="Times New Roman" w:hAnsi="Times New Roman"/>
          <w:sz w:val="18"/>
          <w:szCs w:val="18"/>
          <w:u w:val="single" w:color="auto"/>
          <w:color w:val="auto"/>
        </w:rPr>
        <w:t>Offering Common Stock</w:t>
      </w:r>
      <w:r>
        <w:rPr>
          <w:rFonts w:ascii="Times New Roman" w:cs="Times New Roman" w:eastAsia="Times New Roman" w:hAnsi="Times New Roman"/>
          <w:sz w:val="18"/>
          <w:szCs w:val="18"/>
          <w:color w:val="auto"/>
        </w:rPr>
        <w:t>”) pursuant to that certain Sales Agreement dated April 14, 2023 (the “</w:t>
      </w: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Cowen and Company, LLC (the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Paragraph 29 of Schedule A of the Securities Act and Item 601(b)(5) (i) of Regulation S-K.</w:t>
      </w:r>
    </w:p>
    <w:p>
      <w:pPr>
        <w:sectPr>
          <w:pgSz w:w="11900" w:h="16838" w:orient="portrait"/>
          <w:cols w:equalWidth="0" w:num="1">
            <w:col w:w="11020"/>
          </w:cols>
          <w:pgMar w:left="440" w:top="117" w:right="439" w:bottom="1440" w:gutter="0" w:footer="0" w:header="0"/>
        </w:sectPr>
      </w:pPr>
    </w:p>
    <w:bookmarkStart w:id="88" w:name="page89"/>
    <w:bookmarkEnd w:id="8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rendering the opinions set forth below, we have examined (i) the Registration Statement, including the exhibits filed therewith;</w:t>
      </w:r>
    </w:p>
    <w:p>
      <w:pPr>
        <w:spacing w:after="0" w:line="27" w:lineRule="exact"/>
        <w:rPr>
          <w:sz w:val="20"/>
          <w:szCs w:val="20"/>
          <w:color w:val="auto"/>
        </w:rPr>
      </w:pPr>
    </w:p>
    <w:p>
      <w:pPr>
        <w:ind w:left="4" w:hanging="4"/>
        <w:spacing w:after="0" w:line="251" w:lineRule="auto"/>
        <w:tabs>
          <w:tab w:leader="none" w:pos="26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 included in the Registration Statement relating to the Securities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(iii) the prospectus supplement included in the Registration Statement relating to the Offering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(iv) the Certificate of Incorporation of the Company, as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(v) the Amended and Restated Bylaws of the Company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together with the Certificate of Incorporation, the “</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(vi) the resolutions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dated April 10, 2023 (the “</w:t>
      </w:r>
      <w:r>
        <w:rPr>
          <w:rFonts w:ascii="Times New Roman" w:cs="Times New Roman" w:eastAsia="Times New Roman" w:hAnsi="Times New Roman"/>
          <w:sz w:val="18"/>
          <w:szCs w:val="18"/>
          <w:u w:val="single" w:color="auto"/>
          <w:color w:val="auto"/>
        </w:rPr>
        <w:t>Board Resolutions</w:t>
      </w:r>
      <w:r>
        <w:rPr>
          <w:rFonts w:ascii="Times New Roman" w:cs="Times New Roman" w:eastAsia="Times New Roman" w:hAnsi="Times New Roman"/>
          <w:sz w:val="18"/>
          <w:szCs w:val="18"/>
          <w:color w:val="auto"/>
        </w:rPr>
        <w:t>”), which approve the Registration Statement, the Offering and the Sales Agreement, and contemplate a committee of the Board’s members and delegate thereto certain authority with respect to the Offering (the “</w:t>
      </w:r>
      <w:r>
        <w:rPr>
          <w:rFonts w:ascii="Times New Roman" w:cs="Times New Roman" w:eastAsia="Times New Roman" w:hAnsi="Times New Roman"/>
          <w:sz w:val="18"/>
          <w:szCs w:val="18"/>
          <w:u w:val="single" w:color="auto"/>
          <w:color w:val="auto"/>
        </w:rPr>
        <w:t>Pricing Committee</w:t>
      </w:r>
      <w:r>
        <w:rPr>
          <w:rFonts w:ascii="Times New Roman" w:cs="Times New Roman" w:eastAsia="Times New Roman" w:hAnsi="Times New Roman"/>
          <w:sz w:val="18"/>
          <w:szCs w:val="18"/>
          <w:color w:val="auto"/>
        </w:rPr>
        <w:t>”); and (vii) the Company’s stock ledger. We have also examined and relied upon certificates of public officials, certificates of officers or other representatives of the Company and others, and such other documents, and have considered such matters of law as we have deemed necessary to render the opinions contained herein. With respect to certain facts, we have considered it appropriate to rely upon certificates or other comparable documents of public officials and officers or other appropriate representatives of the Company without investigation or analysis of any underlying data contained therein.</w:t>
      </w:r>
    </w:p>
    <w:p>
      <w:pPr>
        <w:spacing w:after="0" w:line="193"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For the purposes of this opinion letter, we have assumed that (i) each document submitted to us is accurate and complete; (ii) each such document that is an original is authentic; (iii) each such document that is a copy conforms to an authentic original; and (iv) all signatures on each such document are genuine. We have further assumed the legal capacity of natural persons, and we have assumed that (i) each party to the documents we have examined or relied on (the “</w:t>
      </w:r>
      <w:r>
        <w:rPr>
          <w:rFonts w:ascii="Times New Roman" w:cs="Times New Roman" w:eastAsia="Times New Roman" w:hAnsi="Times New Roman"/>
          <w:sz w:val="17"/>
          <w:szCs w:val="17"/>
          <w:u w:val="single" w:color="auto"/>
          <w:color w:val="auto"/>
        </w:rPr>
        <w:t>Reviewed Documents</w:t>
      </w:r>
      <w:r>
        <w:rPr>
          <w:rFonts w:ascii="Times New Roman" w:cs="Times New Roman" w:eastAsia="Times New Roman" w:hAnsi="Times New Roman"/>
          <w:sz w:val="17"/>
          <w:szCs w:val="17"/>
          <w:color w:val="auto"/>
        </w:rPr>
        <w:t>”) is duly organized, validly existing and in good standing under the laws of its jurisdiction of organization;</w:t>
      </w:r>
    </w:p>
    <w:p>
      <w:pPr>
        <w:spacing w:after="0" w:line="3" w:lineRule="exact"/>
        <w:rPr>
          <w:sz w:val="20"/>
          <w:szCs w:val="20"/>
          <w:color w:val="auto"/>
        </w:rPr>
      </w:pPr>
    </w:p>
    <w:p>
      <w:pPr>
        <w:ind w:left="4" w:right="60" w:hanging="4"/>
        <w:spacing w:after="0" w:line="251" w:lineRule="auto"/>
        <w:tabs>
          <w:tab w:leader="none" w:pos="2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the Reviewed Documents: (a) has the legal capacity, power and authority to execute, deliver, and perform its obligations under the Reviewed Documents to which it is a party, (b) has taken all action necessary to duly authorize the execution and delivery of, and the performance of its obligations under, the Reviewed Documents and (c) has duly executed and delivered the Reviewed Documents; and (iii) the Reviewed Documents constitute the legal, valid, and binding obligation of each party thereto, enforceable against each such party in accordance with its terms. We have not verified any of the foregoing assumptions. In addition, with respect to the opinion given in numbered paragraph 2 below, we have assumed that prior to the issuance of any of shares of Offering Common Stock, (i) the Sales Agent’s and the Company’s representatives will exercise authority delegated to such persons or bodies, as applicable, in accordance with the Board Resolutions or the Additional Resolutions (as defined below), as applicable, (ii) the Board shall have duly adopted resolutions constituting the Pricing Committee, including by designating one or more members of the Board to serve on such committee, and (iii) either the Pricing Committee or a subcommittee of its members (the “</w:t>
      </w:r>
      <w:r>
        <w:rPr>
          <w:rFonts w:ascii="Times New Roman" w:cs="Times New Roman" w:eastAsia="Times New Roman" w:hAnsi="Times New Roman"/>
          <w:sz w:val="18"/>
          <w:szCs w:val="18"/>
          <w:u w:val="single" w:color="auto"/>
          <w:color w:val="auto"/>
        </w:rPr>
        <w:t>Subcommittee</w:t>
      </w:r>
      <w:r>
        <w:rPr>
          <w:rFonts w:ascii="Times New Roman" w:cs="Times New Roman" w:eastAsia="Times New Roman" w:hAnsi="Times New Roman"/>
          <w:sz w:val="18"/>
          <w:szCs w:val="18"/>
          <w:color w:val="auto"/>
        </w:rPr>
        <w:t>”) shall have duly adopted resolutions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the Company Organizational Documents (in either such case, the “</w:t>
      </w:r>
      <w:r>
        <w:rPr>
          <w:rFonts w:ascii="Times New Roman" w:cs="Times New Roman" w:eastAsia="Times New Roman" w:hAnsi="Times New Roman"/>
          <w:sz w:val="18"/>
          <w:szCs w:val="18"/>
          <w:u w:val="single" w:color="auto"/>
          <w:color w:val="auto"/>
        </w:rPr>
        <w:t>Additional Resolutions</w:t>
      </w:r>
      <w:r>
        <w:rPr>
          <w:rFonts w:ascii="Times New Roman" w:cs="Times New Roman" w:eastAsia="Times New Roman" w:hAnsi="Times New Roman"/>
          <w:sz w:val="18"/>
          <w:szCs w:val="18"/>
          <w:color w:val="auto"/>
        </w:rPr>
        <w:t>”) (a) setting a time period during which such shares of Offering Common Stock may be issued and a minimum amount of consideration for which such shares may be issued in accordance with the DGCL, the Board Resolutions and the Company Organizational Documents and (b) to the extent that the authority to determine the precise number of shares of Offering Common Stock to be sold in the Offering, the precise timing of the sales of Offering Common Stock and the purchase price of the Offering Common Stock at the time of sale shall not be exercised by the Pricing Committee but rather by the officers of the Company and/or the Sales Agent pursuant to the Sales Agreement, delegating such authority to the officers of the Company and/or the Sales Agent. We have not verified any of the foregoing assumptions.</w:t>
      </w:r>
    </w:p>
    <w:p>
      <w:pPr>
        <w:sectPr>
          <w:pgSz w:w="11900" w:h="16838" w:orient="portrait"/>
          <w:cols w:equalWidth="0" w:num="1">
            <w:col w:w="11004"/>
          </w:cols>
          <w:pgMar w:left="436" w:top="270" w:right="459" w:bottom="1440" w:gutter="0" w:footer="0" w:header="0"/>
        </w:sectPr>
      </w:pPr>
    </w:p>
    <w:bookmarkStart w:id="89" w:name="page90"/>
    <w:bookmarkEnd w:id="8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opinions set forth below are limited to: (i) the federal laws of the United States; (ii) solely in connection with the opinions given in numbered paragraphs 1, 2 and 3 below,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(iii) solely in connection with the opinions given in numbered paragraphs 4 and 5 below, the law of the State of New York. We are not opining on, and we assume no responsibility for, the applicability to or effect on any of the matters covered herein of (i) any other laws; (ii) the laws of any other jurisdiction; or (iii) the law of any county, municipality or other political subdivision or local governmental agency or authority.</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Based on the above, and assuming that (i) the Registration Statement and any required post-effective amendment thereto will be effective and will comply with all applicable laws at the time the relevant Securities are offered or issued as contemplated by the Registration Statement or any such post-effective amendment; (ii) a prospectus supplement will have been prepared and filed with the Commission describing the Securities offered thereby and will comply with all applicable laws; (iii) all Securities will be issued and sold in compliance with applicable federal and state securities laws and in the manner stated in the Registration Statement and the applicable prospectus supplement; (iv) the Board and/or any duly authorized committee thereof shall not have rescinded or otherwise modified the Board Resolutions or any authorization of any such issuance of Securities or the establishment of the terms of any series of such Securities or any related matters; (v) the Company shall remain at all times a corporation incorporated, validly existing, and in good standing under the laws of the State of Delaware; (vi) at the time of the issuance of any share of Shelf Registration Common Stock or Preferred Stock under the Registration Statement or upon the settlement, exercise, conversion or exchange of any other Securities, the Company will have sufficient authorized and unissued, not otherwise committed to be issued, shares of Common Stock or Preferred Stock, as the case may be, to provide for such issuance at the time of the issuance of any share of Shelf Registration Common Stock or Preferred Stock under the Registration Statement or upon the settlement, exercise, conversion or exchange of any other Securities; and (vii) the additional qualifications and other matters set forth below, it is our opinion that:</w:t>
      </w:r>
    </w:p>
    <w:p>
      <w:pPr>
        <w:spacing w:after="0" w:line="79" w:lineRule="exact"/>
        <w:rPr>
          <w:sz w:val="20"/>
          <w:szCs w:val="20"/>
          <w:color w:val="auto"/>
        </w:rPr>
      </w:pPr>
    </w:p>
    <w:p>
      <w:pPr>
        <w:ind w:right="120" w:firstLine="436"/>
        <w:spacing w:after="0" w:line="254" w:lineRule="auto"/>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 issuance and sale of the Shelf Registration Common Stock have been duly authorized and approved by all necessary action of the Board and/or a duly authorized committee thereof so as not to violate any applicable law, rule or regulation, including, without limitation, the DGCL or result in a default under or a breach of any agreement or instrument binding upon the Company, including, without limitation, the Certificate of Incorporation, as it may be amended from time to time, hereafter and so as to comply with any applicable requirement or restriction imposed by any court or governmental body having jurisdiction over the Company; and (ii) notation of the issuance of the shares of Shelf Registration Common Stock has been properly made in the Company’s stock ledger, upon payment of the consideration fixed therefor in accordance with the applicable definitive purchase, underwriting, warrant, unit or similar agreement which is enforceable against all parties thereto in accordance with its terms and in an amount at least equal to the aggregate par value of the shares of Shelf Registration Common Stock being issued and duly authorized by the Board and/or a duly authorized committee thereof, the Shelf Registration Common Stock will be validly issued, fully paid and nonassessable.</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notation of the shares of Offering Common Stock has been properly made in the Company’s stock ledger, upon payment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fixed therefor in accordance with the Sales Agreement, the Offering Common Stock will be validly issued, fully paid and nonassessable.</w:t>
      </w:r>
    </w:p>
    <w:p>
      <w:pPr>
        <w:sectPr>
          <w:pgSz w:w="11900" w:h="16838" w:orient="portrait"/>
          <w:cols w:equalWidth="0" w:num="1">
            <w:col w:w="11000"/>
          </w:cols>
          <w:pgMar w:left="440" w:top="270" w:right="459" w:bottom="1440" w:gutter="0" w:footer="0" w:header="0"/>
        </w:sectPr>
      </w:pPr>
    </w:p>
    <w:bookmarkStart w:id="90" w:name="page91"/>
    <w:bookmarkEnd w:id="90"/>
    <w:p>
      <w:pPr>
        <w:ind w:left="4" w:right="80" w:firstLine="436"/>
        <w:spacing w:after="0" w:line="268" w:lineRule="auto"/>
        <w:tabs>
          <w:tab w:leader="none" w:pos="624"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Assuming the terms of the Preferred Stock have been duly established so as not to violate any applicable law, rule or regulation, including, without limitation, the DGCL, or result in a default under or breach of any agreement or instrument binding upon the Company, including, without limitation, the Certificate of Incorporation, as it may be amended from time to time, hereafter and so as to comply with any applicable requirement or restriction imposed by any court or governmental body having jurisdiction over the Company, when (i) the powers, rights, preferences, and qualifications, limitations or restrictions of the Preferred Stock have been duly established in conformity with the Certificate of Incorporation, as it may be amended from time to time hereafter, and such powers, rights, preferences, and qualifications, limitations or restrictions of the Preferred Stock and the issuance and sale thereof have been duly authorized and approved by all necessary action of the Board and/or a duly authorized committee thereof;</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or restatement of, the Company’s Certificate of Incorporation, as then in effect, fixing and determining the powers, rights, preferences, and qualifications, limitations or restrictions of the Preferred Stock has been duly authorized by the Board and stockholders, if applicable, and filed with the Secretary of State of the State of Delaware and become effective; and (iii) notation of the issuance of the shares of Preferred Stock has been properly made in the Company’s stock ledger, upon payment of the consideration fixed therefor in accordance with the applicable definitive purchase, underwriting or similar agreement which is enforceable against the parties thereto in accordance with its terms and in an amount at least equal to the aggregate par value of the shares of Preferred Stock being issued and approved by the Board and/or a duly authorized committee thereof, the Preferred Stock will be validly issued, fully paid and nonassessable.</w:t>
      </w:r>
    </w:p>
    <w:p>
      <w:pPr>
        <w:spacing w:after="0" w:line="188" w:lineRule="exact"/>
        <w:rPr>
          <w:rFonts w:ascii="Times New Roman" w:cs="Times New Roman" w:eastAsia="Times New Roman" w:hAnsi="Times New Roman"/>
          <w:sz w:val="18"/>
          <w:szCs w:val="18"/>
          <w:color w:val="auto"/>
        </w:rPr>
      </w:pPr>
    </w:p>
    <w:p>
      <w:pPr>
        <w:ind w:left="4" w:right="80" w:firstLine="436"/>
        <w:spacing w:after="0" w:line="252" w:lineRule="auto"/>
        <w:tabs>
          <w:tab w:leader="none" w:pos="6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form and terms of the Warrants have been duly established in accordance with the applicable warrant agreement pursuant to which the Warrants are to be issued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including, without limitation, the Certificate of Incorporation, and assuming that the Warrants and the Warrant Agreement are governed by the laws of New York, when (i) the form, terms and the execution and delivery of the Warrant Agreement relating to any Warrants and the terms of the Warrants, and of their issuance and sale, have been duly authorized and approved by all necessary action of the Board and/or a duly authorized committee thereof; (ii) the Warrant Agreement relating to the Warrants has been duly executed and delivered by the Company and is enforceable against the parties thereto in accordance with its terms; and (iii) the Warrants or certificates representing the Warrants, as the case may be, have been duly executed, authenticated (if required), issued and delivered as contemplated by the Registration Statement and any prospectus supplement relating thereto and in accordance with the terms of the applicable Warrant Agreement and any other agreement or instrument binding upon the Company and enforceable against the parties thereto in accordance with its terms, upon payment of the consideration fixed therefor in accordance with the applicable Warrant Agreement and the applicable definitive purchase, underwriting or similar agreement duly authorized by the Board and/or a duly authorized committee thereof and enforceable against the parties thereto in accordance with its terms, the Warrants will constitute valid and binding obligations of the Company, enforceable against the Company in accordance with their terms (subject to the effect of bankruptcy, insolvency, fraudulent transfer, reorganization, receivership, moratorium and other laws affecting the rights and remedies of creditors or secured parties generally, and to the exercise of judicial discretion in accordance with general principles of equity, whether applied by a court of law or equity).</w:t>
      </w:r>
    </w:p>
    <w:p>
      <w:pPr>
        <w:spacing w:after="0" w:line="193"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the combination of the Securities of which the Units consist has been duly authorized and approved by all necessary action of the Board and/or a duly authorized committee thereof and of the stockholders, if applicable, and (B) the terms of such Units have been duly established in accordance with the applicable agreement pursuant to which such Units are to be issued (the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so as not to violate any applicable law, rule or regulation</w:t>
      </w:r>
    </w:p>
    <w:p>
      <w:pPr>
        <w:sectPr>
          <w:pgSz w:w="11900" w:h="16838" w:orient="portrait"/>
          <w:cols w:equalWidth="0" w:num="1">
            <w:col w:w="10984"/>
          </w:cols>
          <w:pgMar w:left="436" w:top="270" w:right="479" w:bottom="1440" w:gutter="0" w:footer="0" w:header="0"/>
        </w:sectPr>
      </w:pPr>
    </w:p>
    <w:bookmarkStart w:id="91" w:name="page92"/>
    <w:bookmarkEnd w:id="9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result in a default under or breach of any agreement or instrument binding upon the Company, including without limitation the Certificate of Incorporation, and so as to comply with any applicable requirement or restriction imposed by any court or governmental body having jurisdiction over the Company, and assuming that the Units and the Units Agreement are governed by the laws of New York, when (i) the form, terms and the execution and delivery of the Unit Agreement relating to any Units and the terms of the Units, and of their issuance and sale, have been duly authorized and approved by all necessary action of the Board and/or a duly authorized committee thereof; (ii) the Unit Agreement relating to the Units has been duly executed and delivered by the Company and is enforceable against the parties thereto in accordance with its terms; and (iii) the Units or certificates representing the Units, as the case may be, have been duly executed, authenticated (if required), issued and delivered as contemplated by the Registration Statement and any prospectus supplement relating thereto and in accordance with the terms of the applicable Unit Agreement and any other agreement or instrument binding upon the Company and enforceable against the parties thereto in accordance its terms, upon payment of the consideration fixed therefor in accordance with the applicable Unit Agreement and the applicable purchase, underwriting or similar agreement duly authorized by the Board, or a duly authorized committee thereof, and enforceable against the parties thereto in accordance with its terms, the Units will constitute valid and binding obligations of the Company, enforceable against the Company in accordance with their terms (subject to the effect of bankruptcy, insolvency, fraudulent transfer, reorganization, receivership, moratorium and other laws affecting the rights and remedies of creditors or secured parties generally, and to the exercise of judicial discretion in accordance with general principles of equity, whether applied by a court of law or equity).</w:t>
      </w:r>
    </w:p>
    <w:p>
      <w:pPr>
        <w:spacing w:after="0" w:line="19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note that the maximum number of shares of Shelf Registration Common Stock and Preferred Stock issuable under the Registration Statement is not specified, and we assume that, at the time of the issuance of any share of Shelf Registration Common Stock or Preferred Stock under the Registration Statement or of any share of Offering Common Stock in the Offering or upon the settlement, exercise, conversion or exchange of any other Securities, the Company will have sufficient authorized and unissued, not otherwise committed to be issued, shares of Common Stock or Preferred Stock, as the case may be, to provide for such issuance.</w:t>
      </w:r>
    </w:p>
    <w:p>
      <w:pPr>
        <w:spacing w:after="0" w:line="183"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Exhibit 5.1 to the Registration Statement and to the reference to this firm under the heading “</w:t>
      </w: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 in each of the Base Prospectus and the Prospectus Supplement forming a part thereof. In giving this consent, we do not thereby admit that we are experts with respect to any part of the Registration Statement, the Base Prospectus or the Prospectus Supplement within the meaning of the term “expert” as used in Section 11 of the Securities Act or the rules and regulations promulgated thereunder by the Commission, nor do we admit that we are within the category of persons whose consent is required under Section 7 of the Securities Act or the rules and regulations of the Commission promulgated thereunder.</w:t>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truly,</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K&amp;L Gates LLP</w:t>
      </w:r>
    </w:p>
    <w:p>
      <w:pPr>
        <w:sectPr>
          <w:pgSz w:w="11900" w:h="16838" w:orient="portrait"/>
          <w:cols w:equalWidth="0" w:num="1">
            <w:col w:w="11000"/>
          </w:cols>
          <w:pgMar w:left="440" w:top="270" w:right="4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February 23, 2023 with respect to the consolidated financial statements of AVITA Medical, Inc. included in the Annual Report on Form 10-K for the year ended December 31, 2022, which are incorporated by reference in this Registration Statement. We consent to the incorporation by reference of the aforementioned report in this Registration Statement, and to the use of our name as it appears under the caption “Experts.”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2023</w:t>
      </w:r>
    </w:p>
    <w:p>
      <w:pPr>
        <w:sectPr>
          <w:pgSz w:w="11900" w:h="16838" w:orient="portrait"/>
          <w:cols w:equalWidth="0" w:num="1">
            <w:col w:w="11020"/>
          </w:cols>
          <w:pgMar w:left="440" w:top="117" w:right="4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284"/>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17" w:lineRule="exact"/>
        <w:rPr>
          <w:sz w:val="20"/>
          <w:szCs w:val="20"/>
          <w:color w:val="auto"/>
        </w:rPr>
      </w:pPr>
    </w:p>
    <w:p>
      <w:pPr>
        <w:ind w:left="5144"/>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 Aggregate</w:t>
            </w:r>
          </w:p>
        </w:tc>
        <w:tc>
          <w:tcPr>
            <w:tcW w:w="4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Carried</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Class 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Fee 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235"/>
        </w:trPr>
        <w:tc>
          <w:tcPr>
            <w:tcW w:w="10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7"/>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7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40" w:type="dxa"/>
            <w:vAlign w:val="bottom"/>
            <w:tcBorders>
              <w:left w:val="single" w:sz="8" w:color="auto"/>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7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40" w:type="dxa"/>
            <w:vAlign w:val="bottom"/>
            <w:tcBorders>
              <w:left w:val="single" w:sz="8" w:color="auto"/>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Preferred</w:t>
            </w:r>
          </w:p>
        </w:tc>
        <w:tc>
          <w:tcPr>
            <w:tcW w:w="7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7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(1)</w:t>
            </w: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$200,000,000(3)(4)</w:t>
            </w:r>
          </w:p>
        </w:tc>
        <w:tc>
          <w:tcPr>
            <w:tcW w:w="4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0.00011020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$22,040</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w:t>
            </w: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Previously</w:t>
            </w: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7"/>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Carry</w:t>
            </w: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Forward</w:t>
            </w:r>
          </w:p>
        </w:tc>
        <w:tc>
          <w:tcPr>
            <w:tcW w:w="10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Securities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$200,000,000</w:t>
            </w: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$22,040</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07"/>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$14,280.49</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07"/>
              <w:spacing w:after="0"/>
              <w:rPr>
                <w:sz w:val="20"/>
                <w:szCs w:val="20"/>
                <w:color w:val="auto"/>
              </w:rPr>
            </w:pPr>
            <w:r>
              <w:rPr>
                <w:rFonts w:ascii="Times New Roman" w:cs="Times New Roman" w:eastAsia="Times New Roman" w:hAnsi="Times New Roman"/>
                <w:sz w:val="18"/>
                <w:szCs w:val="18"/>
                <w:b w:val="1"/>
                <w:bCs w:val="1"/>
                <w:color w:val="auto"/>
                <w:w w:val="98"/>
              </w:rPr>
              <w:t>Net Fees Due</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$7,759.51</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80" w:hanging="424"/>
        <w:spacing w:after="0" w:line="261" w:lineRule="auto"/>
        <w:tabs>
          <w:tab w:leader="none" w:pos="4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some or all of the securities listed above, in any combination, including common stock, preferred stock, debt securities, warrants, and rights.</w:t>
      </w:r>
    </w:p>
    <w:p>
      <w:pPr>
        <w:ind w:left="424" w:right="60" w:hanging="424"/>
        <w:spacing w:after="0" w:line="250" w:lineRule="auto"/>
        <w:tabs>
          <w:tab w:leader="none" w:pos="4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Instruction 2.A.iii.b. of Item 16(b) of Form S-3, this information is not specified as to each class of securities to be registered. There is being registered hereby such indeterminate number of the securities of each identified class as may from time to time be issued at indeterminate prices. Securities registered hereby may be offered for U.S. dollars or the equivalent thereof in foreign currencies.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being registered hereby may be convertible into or exchangeable or exercisable for other securities of any identified class. In addition to the securities set forth in the table, there is being registered hereunder such indeterminate aggregate number or amount, as the case may be, of the securities of each identified class as may from time to time be issued in connection with any stock split, stock dividend or similar transaction, including under any applicable anti-dilution provisions (including, without limitation, upon adjustment of the conversion or exchange rate thereof). Separate consideration may or may not be received for securities that are issued upon the conversion or exercise of, or in exchange for, other securities offered hereby.</w:t>
      </w:r>
    </w:p>
    <w:p>
      <w:pPr>
        <w:spacing w:after="0" w:line="2" w:lineRule="exact"/>
        <w:rPr>
          <w:rFonts w:ascii="Times New Roman" w:cs="Times New Roman" w:eastAsia="Times New Roman" w:hAnsi="Times New Roman"/>
          <w:sz w:val="18"/>
          <w:szCs w:val="18"/>
          <w:color w:val="auto"/>
        </w:rPr>
      </w:pPr>
    </w:p>
    <w:p>
      <w:pPr>
        <w:ind w:left="424" w:right="160" w:hanging="424"/>
        <w:spacing w:after="0" w:line="260" w:lineRule="auto"/>
        <w:tabs>
          <w:tab w:leader="none" w:pos="4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has been estimated solely to calculate the registration fee in accordance with Rule 457(o) under the Securities Act of 1933.</w:t>
      </w:r>
    </w:p>
    <w:p>
      <w:pPr>
        <w:sectPr>
          <w:pgSz w:w="11900" w:h="16838" w:orient="portrait"/>
          <w:cols w:equalWidth="0" w:num="1">
            <w:col w:w="11024"/>
          </w:cols>
          <w:pgMar w:left="436" w:top="117" w:right="439" w:bottom="1440" w:gutter="0" w:footer="0" w:header="0"/>
        </w:sectPr>
      </w:pPr>
    </w:p>
    <w:bookmarkStart w:id="94" w:name="page95"/>
    <w:bookmarkEnd w:id="94"/>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11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Title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Unsold Aggregate</w:t>
            </w: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10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106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Offering 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Fee Paid</w:t>
            </w:r>
          </w:p>
        </w:tc>
        <w:tc>
          <w:tcPr>
            <w:tcW w:w="0" w:type="dxa"/>
            <w:vAlign w:val="bottom"/>
          </w:tcPr>
          <w:p>
            <w:pPr>
              <w:spacing w:after="0"/>
              <w:rPr>
                <w:sz w:val="1"/>
                <w:szCs w:val="1"/>
                <w:color w:val="auto"/>
              </w:rPr>
            </w:pPr>
          </w:p>
        </w:tc>
      </w:tr>
      <w:tr>
        <w:trPr>
          <w:trHeight w:val="128"/>
        </w:trPr>
        <w:tc>
          <w:tcPr>
            <w:tcW w:w="118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Registrant</w:t>
            </w:r>
          </w:p>
        </w:tc>
        <w:tc>
          <w:tcPr>
            <w:tcW w:w="4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or</w:t>
            </w:r>
          </w:p>
        </w:tc>
        <w:tc>
          <w:tcPr>
            <w:tcW w:w="10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Associated with</w:t>
            </w: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11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Associated with</w:t>
            </w:r>
          </w:p>
        </w:tc>
        <w:tc>
          <w:tcPr>
            <w:tcW w:w="7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Filer</w:t>
            </w:r>
          </w:p>
        </w:tc>
        <w:tc>
          <w:tcPr>
            <w:tcW w:w="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Filing</w:t>
            </w:r>
          </w:p>
        </w:tc>
        <w:tc>
          <w:tcPr>
            <w:tcW w:w="10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Initial Filing</w:t>
            </w:r>
          </w:p>
        </w:tc>
        <w:tc>
          <w:tcPr>
            <w:tcW w:w="9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Fee Offset</w:t>
            </w:r>
          </w:p>
        </w:tc>
        <w:tc>
          <w:tcPr>
            <w:tcW w:w="76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Offset</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Fee Offset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0" w:type="dxa"/>
            <w:vAlign w:val="bottom"/>
          </w:tcPr>
          <w:p>
            <w:pPr>
              <w:spacing w:after="0"/>
              <w:rPr>
                <w:sz w:val="1"/>
                <w:szCs w:val="1"/>
                <w:color w:val="auto"/>
              </w:rPr>
            </w:pPr>
          </w:p>
        </w:tc>
      </w:tr>
      <w:tr>
        <w:trPr>
          <w:trHeight w:val="174"/>
        </w:trPr>
        <w:tc>
          <w:tcPr>
            <w:tcW w:w="1180" w:type="dxa"/>
            <w:vAlign w:val="bottom"/>
            <w:tcBorders>
              <w:left w:val="single" w:sz="8" w:color="auto"/>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106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Claimed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Source</w:t>
            </w:r>
          </w:p>
        </w:tc>
        <w:tc>
          <w:tcPr>
            <w:tcW w:w="0" w:type="dxa"/>
            <w:vAlign w:val="bottom"/>
          </w:tcPr>
          <w:p>
            <w:pPr>
              <w:spacing w:after="0"/>
              <w:rPr>
                <w:sz w:val="1"/>
                <w:szCs w:val="1"/>
                <w:color w:val="auto"/>
              </w:rPr>
            </w:pPr>
          </w:p>
        </w:tc>
      </w:tr>
      <w:tr>
        <w:trPr>
          <w:trHeight w:val="235"/>
        </w:trPr>
        <w:tc>
          <w:tcPr>
            <w:tcW w:w="1180" w:type="dxa"/>
            <w:vAlign w:val="bottom"/>
            <w:tcBorders>
              <w:left w:val="single" w:sz="8" w:color="auto"/>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Rule 457(p)</w:t>
            </w:r>
          </w:p>
        </w:tc>
        <w:tc>
          <w:tcPr>
            <w:tcW w:w="10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1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Fee Offset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AVITA</w:t>
            </w:r>
          </w:p>
        </w:tc>
        <w:tc>
          <w:tcPr>
            <w:tcW w:w="4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Claims</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Medical,</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333-249419</w:t>
            </w: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10/09/2020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$14,280.49</w:t>
            </w:r>
          </w:p>
        </w:tc>
        <w:tc>
          <w:tcPr>
            <w:tcW w:w="106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w w:val="99"/>
              </w:rPr>
              <w:t>(Universal)</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$130,893,625</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4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w w:val="99"/>
              </w:rPr>
              <w:t>Shelf</w:t>
            </w: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80" w:type="dxa"/>
            <w:vAlign w:val="bottom"/>
            <w:tcBorders>
              <w:left w:val="single" w:sz="8" w:color="auto"/>
              <w:right w:val="single" w:sz="8" w:color="auto"/>
            </w:tcBorders>
          </w:tcPr>
          <w:p>
            <w:pPr>
              <w:jc w:val="center"/>
              <w:ind w:left="30"/>
              <w:spacing w:after="0" w:line="205" w:lineRule="exact"/>
              <w:rPr>
                <w:sz w:val="20"/>
                <w:szCs w:val="20"/>
                <w:color w:val="auto"/>
              </w:rPr>
            </w:pPr>
            <w:r>
              <w:rPr>
                <w:rFonts w:ascii="Times New Roman" w:cs="Times New Roman" w:eastAsia="Times New Roman" w:hAnsi="Times New Roman"/>
                <w:sz w:val="18"/>
                <w:szCs w:val="18"/>
                <w:color w:val="auto"/>
                <w:w w:val="97"/>
              </w:rPr>
              <w:t>Fee Offset</w:t>
            </w:r>
          </w:p>
        </w:tc>
        <w:tc>
          <w:tcPr>
            <w:tcW w:w="8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2"/>
              </w:rPr>
              <w:t>AVITA</w:t>
            </w:r>
          </w:p>
        </w:tc>
        <w:tc>
          <w:tcPr>
            <w:tcW w:w="4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Sources</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Medical,</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333-249419</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10/09/2020</w:t>
            </w:r>
          </w:p>
        </w:tc>
        <w:tc>
          <w:tcPr>
            <w:tcW w:w="9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$21,820</w:t>
            </w: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4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6" w:lineRule="auto"/>
        <w:tabs>
          <w:tab w:leader="none" w:pos="4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2020, the registrant initially filed a Registration Statement on Form S-3 (File No. 333-249419) (the “Prior Registration Statement”), which registered an aggregate amount of $200,000,000 of common stock, preferred stock, warrants and units to be offered by the registrant from time to time. Approximately $60.1 million of securities were sold pursuant to the Prior Registration Statement, and the Prior Registration Statement has expired and all offerings thereunder have been completed or terminated. As a result, the registrant has $14,280.49 in unused filing fees associated with the Prior Registration Statement. In accordance with Rule 457(p) under the Securities Act, the registrant is using the unused filing fees to offset the filing fee payable in connection with this filing.</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24"/>
    </w:lvl>
  </w:abstractNum>
  <w:abstractNum w:abstractNumId="18">
    <w:nsid w:val="180115BE"/>
    <w:multiLevelType w:val="hybridMultilevel"/>
    <w:lvl w:ilvl="0">
      <w:lvlJc w:val="left"/>
      <w:lvlText w:val="%1"/>
      <w:numFmt w:val="decimal"/>
      <w:start w:val="107"/>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1"/>
    </w:lvl>
    <w:lvl w:ilvl="1">
      <w:lvlJc w:val="left"/>
      <w:lvlText w:val="(%2)"/>
      <w:numFmt w:val="lowerRoman"/>
      <w:start w:val="1"/>
    </w:lvl>
  </w:abstractNum>
  <w:abstractNum w:abstractNumId="22">
    <w:nsid w:val="15B5AF5C"/>
    <w:multiLevelType w:val="hybridMultilevel"/>
    <w:lvl w:ilvl="0">
      <w:lvlJc w:val="left"/>
      <w:lvlText w:val="(%1)"/>
      <w:numFmt w:val="decimal"/>
      <w:start w:val="2"/>
    </w:lvl>
  </w:abstractNum>
  <w:abstractNum w:abstractNumId="23">
    <w:nsid w:val="741226BB"/>
    <w:multiLevelType w:val="hybridMultilevel"/>
    <w:lvl w:ilvl="0">
      <w:lvlJc w:val="left"/>
      <w:lvlText w:val="(%1)"/>
      <w:numFmt w:val="lowerRoman"/>
      <w:start w:val="1"/>
    </w:lvl>
  </w:abstractNum>
  <w:abstractNum w:abstractNumId="24">
    <w:nsid w:val="D34B6A8"/>
    <w:multiLevelType w:val="hybridMultilevel"/>
    <w:lvl w:ilvl="0">
      <w:lvlJc w:val="left"/>
      <w:lvlText w:val="%1"/>
      <w:numFmt w:val="decimal"/>
      <w:start w:val="1"/>
    </w:lvl>
    <w:lvl w:ilvl="1">
      <w:lvlJc w:val="left"/>
      <w:lvlText w:val="(%2)"/>
      <w:numFmt w:val="lowerRoman"/>
      <w:start w:val="2"/>
    </w:lvl>
  </w:abstractNum>
  <w:abstractNum w:abstractNumId="25">
    <w:nsid w:val="10233C99"/>
    <w:multiLevelType w:val="hybridMultilevel"/>
    <w:lvl w:ilvl="0">
      <w:lvlJc w:val="left"/>
      <w:lvlText w:val="(%1)"/>
      <w:numFmt w:val="decimal"/>
      <w:start w:val="6"/>
    </w:lvl>
    <w:lvl w:ilvl="1">
      <w:lvlJc w:val="left"/>
      <w:lvlText w:val="%2"/>
      <w:numFmt w:val="lowerRoman"/>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decimal"/>
      <w:start w:val="2"/>
    </w:lvl>
    <w:lvl w:ilvl="1">
      <w:lvlJc w:val="left"/>
      <w:lvlText w:val="-"/>
      <w:numFmt w:val="bullet"/>
      <w:start w:val="1"/>
    </w:lvl>
  </w:abstractNum>
  <w:abstractNum w:abstractNumId="28">
    <w:nsid w:val="7E0C57B1"/>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29">
    <w:nsid w:val="77AE35EB"/>
    <w:multiLevelType w:val="hybridMultilevel"/>
    <w:lvl w:ilvl="0">
      <w:lvlJc w:val="left"/>
      <w:lvlText w:val="(%1)"/>
      <w:numFmt w:val="lowerRoman"/>
      <w:start w:val="3"/>
    </w:lvl>
    <w:lvl w:ilvl="1">
      <w:lvlJc w:val="left"/>
      <w:lvlText w:val="%2"/>
      <w:numFmt w:val="decimal"/>
      <w:start w:val="1"/>
    </w:lvl>
    <w:lvl w:ilvl="2">
      <w:lvlJc w:val="left"/>
      <w:lvlText w:val="-"/>
      <w:numFmt w:val="bullet"/>
      <w:start w:val="1"/>
    </w:lvl>
  </w:abstractNum>
  <w:abstractNum w:abstractNumId="30">
    <w:nsid w:val="579BE4F1"/>
    <w:multiLevelType w:val="hybridMultilevel"/>
    <w:lvl w:ilvl="0">
      <w:lvlJc w:val="left"/>
      <w:lvlText w:val="%1."/>
      <w:numFmt w:val="decimal"/>
      <w:start w:val="4"/>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decimal"/>
      <w:start w:val="5"/>
    </w:lvl>
  </w:abstractNum>
  <w:abstractNum w:abstractNumId="33">
    <w:nsid w:val="2F305DEF"/>
    <w:multiLevelType w:val="hybridMultilevel"/>
    <w:lvl w:ilvl="0">
      <w:lvlJc w:val="left"/>
      <w:lvlText w:val="(%1)"/>
      <w:numFmt w:val="lowerLetter"/>
      <w:start w:val="1"/>
    </w:lvl>
    <w:lvl w:ilvl="1">
      <w:lvlJc w:val="left"/>
      <w:lvlText w:val="-"/>
      <w:numFmt w:val="bullet"/>
      <w:start w:val="1"/>
    </w:lvl>
  </w:abstractNum>
  <w:abstractNum w:abstractNumId="34">
    <w:nsid w:val="25A70BF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5">
    <w:nsid w:val="1DBABF00"/>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6">
    <w:nsid w:val="4AD084E9"/>
    <w:multiLevelType w:val="hybridMultilevel"/>
    <w:lvl w:ilvl="0">
      <w:lvlJc w:val="left"/>
      <w:lvlText w:val="(%1)"/>
      <w:numFmt w:val="lowerLetter"/>
      <w:start w:val="1"/>
    </w:lvl>
    <w:lvl w:ilvl="1">
      <w:lvlJc w:val="left"/>
      <w:lvlText w:val="-"/>
      <w:numFmt w:val="bullet"/>
      <w:start w:val="1"/>
    </w:lvl>
  </w:abstractNum>
  <w:abstractNum w:abstractNumId="37">
    <w:nsid w:val="1F48EAA1"/>
    <w:multiLevelType w:val="hybridMultilevel"/>
    <w:lvl w:ilvl="0">
      <w:lvlJc w:val="left"/>
      <w:lvlText w:val="(%1)"/>
      <w:numFmt w:val="lowerLetter"/>
      <w:start w:val="3"/>
    </w:lvl>
    <w:lvl w:ilvl="1">
      <w:lvlJc w:val="left"/>
      <w:lvlText w:val="-"/>
      <w:numFmt w:val="bullet"/>
      <w:start w:val="1"/>
    </w:lvl>
  </w:abstractNum>
  <w:abstractNum w:abstractNumId="38">
    <w:nsid w:val="1381823A"/>
    <w:multiLevelType w:val="hybridMultilevel"/>
    <w:lvl w:ilvl="0">
      <w:lvlJc w:val="left"/>
      <w:lvlText w:val="(%1)"/>
      <w:numFmt w:val="lowerLetter"/>
      <w:start w:val="9"/>
    </w:lvl>
    <w:lvl w:ilvl="1">
      <w:lvlJc w:val="left"/>
      <w:lvlText w:val="-"/>
      <w:numFmt w:val="bullet"/>
      <w:start w:val="1"/>
    </w:lvl>
  </w:abstractNum>
  <w:abstractNum w:abstractNumId="39">
    <w:nsid w:val="5DB70AE5"/>
    <w:multiLevelType w:val="hybridMultilevel"/>
    <w:lvl w:ilvl="0">
      <w:lvlJc w:val="left"/>
      <w:lvlText w:val="(%1)"/>
      <w:numFmt w:val="lowerLetter"/>
      <w:start w:val="13"/>
    </w:lvl>
    <w:lvl w:ilvl="1">
      <w:lvlJc w:val="left"/>
      <w:lvlText w:val="-"/>
      <w:numFmt w:val="bullet"/>
      <w:start w:val="1"/>
    </w:lvl>
  </w:abstractNum>
  <w:abstractNum w:abstractNumId="40">
    <w:nsid w:val="100F8FCA"/>
    <w:multiLevelType w:val="hybridMultilevel"/>
    <w:lvl w:ilvl="0">
      <w:lvlJc w:val="left"/>
      <w:lvlText w:val="(%1)"/>
      <w:numFmt w:val="lowerLetter"/>
      <w:start w:val="16"/>
    </w:lvl>
    <w:lvl w:ilvl="1">
      <w:lvlJc w:val="left"/>
      <w:lvlText w:val="-"/>
      <w:numFmt w:val="bullet"/>
      <w:start w:val="1"/>
    </w:lvl>
  </w:abstractNum>
  <w:abstractNum w:abstractNumId="41">
    <w:nsid w:val="6590700B"/>
    <w:multiLevelType w:val="hybridMultilevel"/>
    <w:lvl w:ilvl="0">
      <w:lvlJc w:val="left"/>
      <w:lvlText w:val="(%1)"/>
      <w:numFmt w:val="lowerLetter"/>
      <w:start w:val="35"/>
    </w:lvl>
    <w:lvl w:ilvl="1">
      <w:lvlJc w:val="left"/>
      <w:lvlText w:val="(%2)"/>
      <w:numFmt w:val="lowerLetter"/>
      <w:start w:val="18"/>
    </w:lvl>
    <w:lvl w:ilvl="2">
      <w:lvlJc w:val="left"/>
      <w:lvlText w:val="-"/>
      <w:numFmt w:val="bullet"/>
      <w:start w:val="1"/>
    </w:lvl>
  </w:abstractNum>
  <w:abstractNum w:abstractNumId="42">
    <w:nsid w:val="15014ACB"/>
    <w:multiLevelType w:val="hybridMultilevel"/>
    <w:lvl w:ilvl="0">
      <w:lvlJc w:val="left"/>
      <w:lvlText w:val="(%1)"/>
      <w:numFmt w:val="lowerLetter"/>
      <w:start w:val="19"/>
    </w:lvl>
    <w:lvl w:ilvl="1">
      <w:lvlJc w:val="left"/>
      <w:lvlText w:val="-"/>
      <w:numFmt w:val="bullet"/>
      <w:start w:val="1"/>
    </w:lvl>
  </w:abstractNum>
  <w:abstractNum w:abstractNumId="43">
    <w:nsid w:val="5F5E7FD0"/>
    <w:multiLevelType w:val="hybridMultilevel"/>
    <w:lvl w:ilvl="0">
      <w:lvlJc w:val="left"/>
      <w:lvlText w:val="%1"/>
      <w:numFmt w:val="lowerRoman"/>
      <w:start w:val="1"/>
    </w:lvl>
    <w:lvl w:ilvl="1">
      <w:lvlJc w:val="left"/>
      <w:lvlText w:val="(%2)"/>
      <w:numFmt w:val="lowerLetter"/>
      <w:start w:val="23"/>
    </w:lvl>
    <w:lvl w:ilvl="2">
      <w:lvlJc w:val="left"/>
      <w:lvlText w:val="-"/>
      <w:numFmt w:val="bullet"/>
      <w:start w:val="1"/>
    </w:lvl>
  </w:abstractNum>
  <w:abstractNum w:abstractNumId="44">
    <w:nsid w:val="98A314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45">
    <w:nsid w:val="799D0247"/>
    <w:multiLevelType w:val="hybridMultilevel"/>
    <w:lvl w:ilvl="0">
      <w:lvlJc w:val="left"/>
      <w:lvlText w:val="%1"/>
      <w:numFmt w:val="upperLetter"/>
      <w:start w:val="1"/>
    </w:lvl>
    <w:lvl w:ilvl="1">
      <w:lvlJc w:val="left"/>
      <w:lvlText w:val="(%2)"/>
      <w:numFmt w:val="lowerLetter"/>
      <w:start w:val="27"/>
    </w:lvl>
    <w:lvl w:ilvl="2">
      <w:lvlJc w:val="left"/>
      <w:lvlText w:val="-"/>
      <w:numFmt w:val="bullet"/>
      <w:start w:val="1"/>
    </w:lvl>
  </w:abstractNum>
  <w:abstractNum w:abstractNumId="46">
    <w:nsid w:val="6B94764"/>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47">
    <w:nsid w:val="42C296BD"/>
    <w:multiLevelType w:val="hybridMultilevel"/>
    <w:lvl w:ilvl="0">
      <w:lvlJc w:val="left"/>
      <w:lvlText w:val="%1"/>
      <w:numFmt w:val="lowerLetter"/>
      <w:start w:val="1"/>
    </w:lvl>
    <w:lvl w:ilvl="1">
      <w:lvlJc w:val="left"/>
      <w:lvlText w:val="(%2)"/>
      <w:numFmt w:val="lowerLetter"/>
      <w:start w:val="29"/>
    </w:lvl>
    <w:lvl w:ilvl="2">
      <w:lvlJc w:val="left"/>
      <w:lvlText w:val="-"/>
      <w:numFmt w:val="bullet"/>
      <w:start w:val="1"/>
    </w:lvl>
  </w:abstractNum>
  <w:abstractNum w:abstractNumId="48">
    <w:nsid w:val="168E121F"/>
    <w:multiLevelType w:val="hybridMultilevel"/>
    <w:lvl w:ilvl="0">
      <w:lvlJc w:val="left"/>
      <w:lvlText w:val="(%1)"/>
      <w:numFmt w:val="lowerLetter"/>
      <w:start w:val="35"/>
    </w:lvl>
    <w:lvl w:ilvl="1">
      <w:lvlJc w:val="left"/>
      <w:lvlText w:val="(%2)"/>
      <w:numFmt w:val="lowerLetter"/>
      <w:start w:val="30"/>
    </w:lvl>
    <w:lvl w:ilvl="2">
      <w:lvlJc w:val="left"/>
      <w:lvlText w:val="-"/>
      <w:numFmt w:val="bullet"/>
      <w:start w:val="1"/>
    </w:lvl>
  </w:abstractNum>
  <w:abstractNum w:abstractNumId="49">
    <w:nsid w:val="1EBA5D23"/>
    <w:multiLevelType w:val="hybridMultilevel"/>
    <w:lvl w:ilvl="0">
      <w:lvlJc w:val="left"/>
      <w:lvlText w:val="(%1)"/>
      <w:numFmt w:val="lowerLetter"/>
      <w:start w:val="31"/>
    </w:lvl>
    <w:lvl w:ilvl="1">
      <w:lvlJc w:val="left"/>
      <w:lvlText w:val="-"/>
      <w:numFmt w:val="bullet"/>
      <w:start w:val="1"/>
    </w:lvl>
  </w:abstractNum>
  <w:abstractNum w:abstractNumId="50">
    <w:nsid w:val="661E3F1E"/>
    <w:multiLevelType w:val="hybridMultilevel"/>
    <w:lvl w:ilvl="0">
      <w:lvlJc w:val="left"/>
      <w:lvlText w:val="(%1)"/>
      <w:numFmt w:val="lowerLetter"/>
      <w:start w:val="32"/>
    </w:lvl>
    <w:lvl w:ilvl="1">
      <w:lvlJc w:val="left"/>
      <w:lvlText w:val="-"/>
      <w:numFmt w:val="bullet"/>
      <w:start w:val="1"/>
    </w:lvl>
  </w:abstractNum>
  <w:abstractNum w:abstractNumId="51">
    <w:nsid w:val="5DC79EA8"/>
    <w:multiLevelType w:val="hybridMultilevel"/>
    <w:lvl w:ilvl="0">
      <w:lvlJc w:val="left"/>
      <w:lvlText w:val="(%1)"/>
      <w:numFmt w:val="lowerLetter"/>
      <w:start w:val="38"/>
    </w:lvl>
    <w:lvl w:ilvl="1">
      <w:lvlJc w:val="left"/>
      <w:lvlText w:val="-"/>
      <w:numFmt w:val="bullet"/>
      <w:start w:val="1"/>
    </w:lvl>
  </w:abstractNum>
  <w:abstractNum w:abstractNumId="52">
    <w:nsid w:val="540A471C"/>
    <w:multiLevelType w:val="hybridMultilevel"/>
    <w:lvl w:ilvl="0">
      <w:lvlJc w:val="left"/>
      <w:lvlText w:val="(%1)"/>
      <w:numFmt w:val="upperLetter"/>
      <w:start w:val="8"/>
    </w:lvl>
    <w:lvl w:ilvl="1">
      <w:lvlJc w:val="left"/>
      <w:lvlText w:val="(%2)"/>
      <w:numFmt w:val="lowerLetter"/>
      <w:start w:val="39"/>
    </w:lvl>
    <w:lvl w:ilvl="2">
      <w:lvlJc w:val="left"/>
      <w:lvlText w:val="-"/>
      <w:numFmt w:val="bullet"/>
      <w:start w:val="1"/>
    </w:lvl>
  </w:abstractNum>
  <w:abstractNum w:abstractNumId="53">
    <w:nsid w:val="7BD3EE7B"/>
    <w:multiLevelType w:val="hybridMultilevel"/>
    <w:lvl w:ilvl="0">
      <w:lvlJc w:val="left"/>
      <w:lvlText w:val="(%1)"/>
      <w:numFmt w:val="lowerRoman"/>
      <w:start w:val="2"/>
    </w:lvl>
    <w:lvl w:ilvl="1">
      <w:lvlJc w:val="left"/>
      <w:lvlText w:val="-"/>
      <w:numFmt w:val="bullet"/>
      <w:start w:val="1"/>
    </w:lvl>
  </w:abstractNum>
  <w:abstractNum w:abstractNumId="54">
    <w:nsid w:val="51D9C564"/>
    <w:multiLevelType w:val="hybridMultilevel"/>
    <w:lvl w:ilvl="0">
      <w:lvlJc w:val="left"/>
      <w:lvlText w:val="%1"/>
      <w:numFmt w:val="lowerLetter"/>
      <w:start w:val="1"/>
    </w:lvl>
    <w:lvl w:ilvl="1">
      <w:lvlJc w:val="left"/>
      <w:lvlText w:val="(%2)"/>
      <w:numFmt w:val="lowerLetter"/>
      <w:start w:val="40"/>
    </w:lvl>
    <w:lvl w:ilvl="2">
      <w:lvlJc w:val="left"/>
      <w:lvlText w:val="-"/>
      <w:numFmt w:val="bullet"/>
      <w:start w:val="1"/>
    </w:lvl>
  </w:abstractNum>
  <w:abstractNum w:abstractNumId="55">
    <w:nsid w:val="613EFDC5"/>
    <w:multiLevelType w:val="hybridMultilevel"/>
    <w:lvl w:ilvl="0">
      <w:lvlJc w:val="left"/>
      <w:lvlText w:val="(%1)"/>
      <w:numFmt w:val="lowerLetter"/>
      <w:start w:val="41"/>
    </w:lvl>
    <w:lvl w:ilvl="1">
      <w:lvlJc w:val="left"/>
      <w:lvlText w:val="%2"/>
      <w:numFmt w:val="lowerLetter"/>
      <w:start w:val="1"/>
    </w:lvl>
    <w:lvl w:ilvl="2">
      <w:lvlJc w:val="left"/>
      <w:lvlText w:val="-"/>
      <w:numFmt w:val="bullet"/>
      <w:start w:val="1"/>
    </w:lvl>
  </w:abstractNum>
  <w:abstractNum w:abstractNumId="56">
    <w:nsid w:val="BF72B14"/>
    <w:multiLevelType w:val="hybridMultilevel"/>
    <w:lvl w:ilvl="0">
      <w:lvlJc w:val="left"/>
      <w:lvlText w:val="(%1)"/>
      <w:numFmt w:val="lowerLetter"/>
      <w:start w:val="42"/>
    </w:lvl>
    <w:lvl w:ilvl="1">
      <w:lvlJc w:val="left"/>
      <w:lvlText w:val="(%2)"/>
      <w:numFmt w:val="lowerLetter"/>
      <w:start w:val="46"/>
    </w:lvl>
    <w:lvl w:ilvl="2">
      <w:lvlJc w:val="left"/>
      <w:lvlText w:val="-"/>
      <w:numFmt w:val="bullet"/>
      <w:start w:val="1"/>
    </w:lvl>
  </w:abstractNum>
  <w:abstractNum w:abstractNumId="57">
    <w:nsid w:val="11447B73"/>
    <w:multiLevelType w:val="hybridMultilevel"/>
    <w:lvl w:ilvl="0">
      <w:lvlJc w:val="left"/>
      <w:lvlText w:val="(%1)"/>
      <w:numFmt w:val="lowerLetter"/>
      <w:start w:val="47"/>
    </w:lvl>
    <w:lvl w:ilvl="1">
      <w:lvlJc w:val="left"/>
      <w:lvlText w:val="-"/>
      <w:numFmt w:val="bullet"/>
      <w:start w:val="1"/>
    </w:lvl>
  </w:abstractNum>
  <w:abstractNum w:abstractNumId="58">
    <w:nsid w:val="42963E5A"/>
    <w:multiLevelType w:val="hybridMultilevel"/>
    <w:lvl w:ilvl="0">
      <w:lvlJc w:val="left"/>
      <w:lvlText w:val="(%1)"/>
      <w:numFmt w:val="lowerLetter"/>
      <w:start w:val="48"/>
    </w:lvl>
    <w:lvl w:ilvl="1">
      <w:lvlJc w:val="left"/>
      <w:lvlText w:val="-"/>
      <w:numFmt w:val="bullet"/>
      <w:start w:val="1"/>
    </w:lvl>
  </w:abstractNum>
  <w:abstractNum w:abstractNumId="59">
    <w:nsid w:val="A0382C5"/>
    <w:multiLevelType w:val="hybridMultilevel"/>
    <w:lvl w:ilvl="0">
      <w:lvlJc w:val="left"/>
      <w:lvlText w:val="(%1)"/>
      <w:numFmt w:val="lowerRoman"/>
      <w:start w:val="20"/>
    </w:lvl>
  </w:abstractNum>
  <w:abstractNum w:abstractNumId="60">
    <w:nsid w:val="8F2B15E"/>
    <w:multiLevelType w:val="hybridMultilevel"/>
    <w:lvl w:ilvl="0">
      <w:lvlJc w:val="left"/>
      <w:lvlText w:val="%1."/>
      <w:numFmt w:val="decimal"/>
      <w:start w:val="7"/>
    </w:lvl>
    <w:lvl w:ilvl="1">
      <w:lvlJc w:val="left"/>
      <w:lvlText w:val="(%2)"/>
      <w:numFmt w:val="lowerLetter"/>
      <w:start w:val="34"/>
    </w:lvl>
    <w:lvl w:ilvl="2">
      <w:lvlJc w:val="left"/>
      <w:lvlText w:val="(%3)"/>
      <w:numFmt w:val="lowerLetter"/>
      <w:start w:val="1"/>
    </w:lvl>
    <w:lvl w:ilvl="3">
      <w:lvlJc w:val="left"/>
      <w:lvlText w:val="-"/>
      <w:numFmt w:val="bullet"/>
      <w:start w:val="1"/>
    </w:lvl>
  </w:abstractNum>
  <w:abstractNum w:abstractNumId="61">
    <w:nsid w:val="1A32234B"/>
    <w:multiLevelType w:val="hybridMultilevel"/>
    <w:lvl w:ilvl="0">
      <w:lvlJc w:val="left"/>
      <w:lvlText w:val="(%1)"/>
      <w:numFmt w:val="lowerLetter"/>
      <w:start w:val="2"/>
    </w:lvl>
    <w:lvl w:ilvl="1">
      <w:lvlJc w:val="left"/>
      <w:lvlText w:val="-"/>
      <w:numFmt w:val="bullet"/>
      <w:start w:val="1"/>
    </w:lvl>
  </w:abstractNum>
  <w:abstractNum w:abstractNumId="62">
    <w:nsid w:val="3B0FD379"/>
    <w:multiLevelType w:val="hybridMultilevel"/>
    <w:lvl w:ilvl="0">
      <w:lvlJc w:val="left"/>
      <w:lvlText w:val="(%1)"/>
      <w:numFmt w:val="lowerLetter"/>
      <w:start w:val="3"/>
    </w:lvl>
    <w:lvl w:ilvl="1">
      <w:lvlJc w:val="left"/>
      <w:lvlText w:val="-"/>
      <w:numFmt w:val="bullet"/>
      <w:start w:val="1"/>
    </w:lvl>
  </w:abstractNum>
  <w:abstractNum w:abstractNumId="63">
    <w:nsid w:val="68EB2F63"/>
    <w:multiLevelType w:val="hybridMultilevel"/>
    <w:lvl w:ilvl="0">
      <w:lvlJc w:val="left"/>
      <w:lvlText w:val="(%1)"/>
      <w:numFmt w:val="lowerLetter"/>
      <w:start w:val="6"/>
    </w:lvl>
    <w:lvl w:ilvl="1">
      <w:lvlJc w:val="left"/>
      <w:lvlText w:val="-"/>
      <w:numFmt w:val="bullet"/>
      <w:start w:val="1"/>
    </w:lvl>
  </w:abstractNum>
  <w:abstractNum w:abstractNumId="64">
    <w:nsid w:val="4962813B"/>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65">
    <w:nsid w:val="60B6DF70"/>
    <w:multiLevelType w:val="hybridMultilevel"/>
    <w:lvl w:ilvl="0">
      <w:lvlJc w:val="left"/>
      <w:lvlText w:val="(%1)"/>
      <w:numFmt w:val="lowerLetter"/>
      <w:start w:val="22"/>
    </w:lvl>
    <w:lvl w:ilvl="1">
      <w:lvlJc w:val="left"/>
      <w:lvlText w:val="(%2)"/>
      <w:numFmt w:val="lowerLetter"/>
      <w:start w:val="10"/>
    </w:lvl>
    <w:lvl w:ilvl="2">
      <w:lvlJc w:val="left"/>
      <w:lvlText w:val="-"/>
      <w:numFmt w:val="bullet"/>
      <w:start w:val="1"/>
    </w:lvl>
  </w:abstractNum>
  <w:abstractNum w:abstractNumId="66">
    <w:nsid w:val="6A5EE64"/>
    <w:multiLevelType w:val="hybridMultilevel"/>
    <w:lvl w:ilvl="0">
      <w:lvlJc w:val="left"/>
      <w:lvlText w:val="%1"/>
      <w:numFmt w:val="lowerLetter"/>
      <w:start w:val="1"/>
    </w:lvl>
    <w:lvl w:ilvl="1">
      <w:lvlJc w:val="left"/>
      <w:lvlText w:val="(%2)"/>
      <w:numFmt w:val="lowerLetter"/>
      <w:start w:val="12"/>
    </w:lvl>
    <w:lvl w:ilvl="2">
      <w:lvlJc w:val="left"/>
      <w:lvlText w:val="-"/>
      <w:numFmt w:val="bullet"/>
      <w:start w:val="1"/>
    </w:lvl>
  </w:abstractNum>
  <w:abstractNum w:abstractNumId="67">
    <w:nsid w:val="14330624"/>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68">
    <w:nsid w:val="7FFFCA11"/>
    <w:multiLevelType w:val="hybridMultilevel"/>
    <w:lvl w:ilvl="0">
      <w:lvlJc w:val="left"/>
      <w:lvlText w:val="(%1)"/>
      <w:numFmt w:val="lowerLetter"/>
      <w:start w:val="14"/>
    </w:lvl>
    <w:lvl w:ilvl="1">
      <w:lvlJc w:val="left"/>
      <w:lvlText w:val="-"/>
      <w:numFmt w:val="bullet"/>
      <w:start w:val="1"/>
    </w:lvl>
  </w:abstractNum>
  <w:abstractNum w:abstractNumId="69">
    <w:nsid w:val="1A27709E"/>
    <w:multiLevelType w:val="hybridMultilevel"/>
    <w:lvl w:ilvl="0">
      <w:lvlJc w:val="left"/>
      <w:lvlText w:val="(%1)"/>
      <w:numFmt w:val="lowerLetter"/>
      <w:start w:val="16"/>
    </w:lvl>
    <w:lvl w:ilvl="1">
      <w:lvlJc w:val="left"/>
      <w:lvlText w:val="-"/>
      <w:numFmt w:val="bullet"/>
      <w:start w:val="1"/>
    </w:lvl>
  </w:abstractNum>
  <w:abstractNum w:abstractNumId="70">
    <w:nsid w:val="71EA1109"/>
    <w:multiLevelType w:val="hybridMultilevel"/>
    <w:lvl w:ilvl="0">
      <w:lvlJc w:val="left"/>
      <w:lvlText w:val="(%1)"/>
      <w:numFmt w:val="lowerLetter"/>
      <w:start w:val="20"/>
    </w:lvl>
    <w:lvl w:ilvl="1">
      <w:lvlJc w:val="left"/>
      <w:lvlText w:val="-"/>
      <w:numFmt w:val="bullet"/>
      <w:start w:val="1"/>
    </w:lvl>
  </w:abstractNum>
  <w:abstractNum w:abstractNumId="71">
    <w:nsid w:val="100F59DC"/>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72">
    <w:nsid w:val="7FB7E0AA"/>
    <w:multiLevelType w:val="hybridMultilevel"/>
    <w:lvl w:ilvl="0">
      <w:lvlJc w:val="left"/>
      <w:lvlText w:val="(%1)"/>
      <w:numFmt w:val="lowerLetter"/>
      <w:start w:val="4"/>
    </w:lvl>
    <w:lvl w:ilvl="1">
      <w:lvlJc w:val="left"/>
      <w:lvlText w:val="-"/>
      <w:numFmt w:val="bullet"/>
      <w:start w:val="1"/>
    </w:lvl>
  </w:abstractNum>
  <w:abstractNum w:abstractNumId="73">
    <w:nsid w:val="6EB5BD4"/>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74">
    <w:nsid w:val="6F6DD9A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75">
    <w:nsid w:val="94211F2"/>
    <w:multiLevelType w:val="hybridMultilevel"/>
    <w:lvl w:ilvl="0">
      <w:lvlJc w:val="left"/>
      <w:lvlText w:val="(%1)"/>
      <w:numFmt w:val="lowerLetter"/>
      <w:start w:val="2"/>
    </w:lvl>
    <w:lvl w:ilvl="1">
      <w:lvlJc w:val="left"/>
      <w:lvlText w:val="-"/>
      <w:numFmt w:val="bullet"/>
      <w:start w:val="1"/>
    </w:lvl>
  </w:abstractNum>
  <w:abstractNum w:abstractNumId="76">
    <w:nsid w:val="885E1B"/>
    <w:multiLevelType w:val="hybridMultilevel"/>
    <w:lvl w:ilvl="0">
      <w:lvlJc w:val="left"/>
      <w:lvlText w:val="(%1)"/>
      <w:numFmt w:val="lowerRoman"/>
      <w:start w:val="2"/>
    </w:lvl>
    <w:lvl w:ilvl="1">
      <w:lvlJc w:val="left"/>
      <w:lvlText w:val="-"/>
      <w:numFmt w:val="bullet"/>
      <w:start w:val="1"/>
    </w:lvl>
  </w:abstractNum>
  <w:abstractNum w:abstractNumId="77">
    <w:nsid w:val="76272110"/>
    <w:multiLevelType w:val="hybridMultilevel"/>
    <w:lvl w:ilvl="0">
      <w:lvlJc w:val="left"/>
      <w:lvlText w:val="(%1)"/>
      <w:numFmt w:val="lowerLetter"/>
      <w:start w:val="4"/>
    </w:lvl>
    <w:lvl w:ilvl="1">
      <w:lvlJc w:val="left"/>
      <w:lvlText w:val="-"/>
      <w:numFmt w:val="bullet"/>
      <w:start w:val="1"/>
    </w:lvl>
  </w:abstractNum>
  <w:abstractNum w:abstractNumId="78">
    <w:nsid w:val="4C04A8AF"/>
    <w:multiLevelType w:val="hybridMultilevel"/>
    <w:lvl w:ilvl="0">
      <w:lvlJc w:val="left"/>
      <w:lvlText w:val="%1."/>
      <w:numFmt w:val="decimal"/>
      <w:start w:val="10"/>
    </w:lvl>
    <w:lvl w:ilvl="1">
      <w:lvlJc w:val="left"/>
      <w:lvlText w:val="-"/>
      <w:numFmt w:val="bullet"/>
      <w:start w:val="1"/>
    </w:lvl>
  </w:abstractNum>
  <w:abstractNum w:abstractNumId="79">
    <w:nsid w:val="1716703B"/>
    <w:multiLevelType w:val="hybridMultilevel"/>
    <w:lvl w:ilvl="0">
      <w:lvlJc w:val="left"/>
      <w:lvlText w:val="%1."/>
      <w:numFmt w:val="decimal"/>
      <w:start w:val="11"/>
    </w:lvl>
  </w:abstractNum>
  <w:abstractNum w:abstractNumId="80">
    <w:nsid w:val="14E17E33"/>
    <w:multiLevelType w:val="hybridMultilevel"/>
    <w:lvl w:ilvl="0">
      <w:lvlJc w:val="left"/>
      <w:lvlText w:val="(%1)"/>
      <w:numFmt w:val="lowerLetter"/>
      <w:start w:val="1"/>
    </w:lvl>
    <w:lvl w:ilvl="1">
      <w:lvlJc w:val="left"/>
      <w:lvlText w:val="-"/>
      <w:numFmt w:val="bullet"/>
      <w:start w:val="1"/>
    </w:lvl>
  </w:abstractNum>
  <w:abstractNum w:abstractNumId="81">
    <w:nsid w:val="3222E7CD"/>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82">
    <w:nsid w:val="74DE0EE3"/>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83">
    <w:nsid w:val="68EBC550"/>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84">
    <w:nsid w:val="2DF6D648"/>
    <w:multiLevelType w:val="hybridMultilevel"/>
    <w:lvl w:ilvl="0">
      <w:lvlJc w:val="left"/>
      <w:lvlText w:val="%1"/>
      <w:numFmt w:val="decimal"/>
      <w:start w:val="1"/>
    </w:lvl>
    <w:lvl w:ilvl="1">
      <w:lvlJc w:val="left"/>
      <w:lvlText w:val="(%2)"/>
      <w:numFmt w:val="lowerLetter"/>
      <w:start w:val="4"/>
    </w:lvl>
  </w:abstractNum>
  <w:abstractNum w:abstractNumId="85">
    <w:nsid w:val="46B7D447"/>
    <w:multiLevelType w:val="hybridMultilevel"/>
    <w:lvl w:ilvl="0">
      <w:lvlJc w:val="left"/>
      <w:lvlText w:val="%1."/>
      <w:numFmt w:val="decimal"/>
      <w:start w:val="19"/>
    </w:lvl>
    <w:lvl w:ilvl="1">
      <w:lvlJc w:val="left"/>
      <w:lvlText w:val="%2"/>
      <w:numFmt w:val="lowerLetter"/>
      <w:start w:val="1"/>
    </w:lvl>
  </w:abstractNum>
  <w:abstractNum w:abstractNumId="86">
    <w:nsid w:val="4A2AC315"/>
    <w:multiLevelType w:val="hybridMultilevel"/>
    <w:lvl w:ilvl="0">
      <w:lvlJc w:val="left"/>
      <w:lvlText w:val="§"/>
      <w:numFmt w:val="bullet"/>
      <w:start w:val="1"/>
    </w:lvl>
    <w:lvl w:ilvl="1">
      <w:lvlJc w:val="left"/>
      <w:lvlText w:val="(%2)"/>
      <w:numFmt w:val="lowerLetter"/>
      <w:start w:val="1"/>
    </w:lvl>
  </w:abstractNum>
  <w:abstractNum w:abstractNumId="87">
    <w:nsid w:val="39EE015C"/>
    <w:multiLevelType w:val="hybridMultilevel"/>
    <w:lvl w:ilvl="0">
      <w:lvlJc w:val="left"/>
      <w:lvlText w:val="(%1)"/>
      <w:numFmt w:val="lowerRoman"/>
      <w:start w:val="1"/>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Roman"/>
      <w:start w:val="2"/>
    </w:lvl>
  </w:abstractNum>
  <w:abstractNum w:abstractNumId="90">
    <w:nsid w:val="43F18422"/>
    <w:multiLevelType w:val="hybridMultilevel"/>
    <w:lvl w:ilvl="0">
      <w:lvlJc w:val="left"/>
      <w:lvlText w:val="(%1)"/>
      <w:numFmt w:val="lowerRoman"/>
      <w:start w:val="2"/>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lowerRoman"/>
      <w:start w:val="1"/>
    </w:lvl>
    <w:lvl w:ilvl="1">
      <w:lvlJc w:val="left"/>
      <w:lvlText w:val="%2."/>
      <w:numFmt w:val="decimal"/>
      <w:start w:val="3"/>
    </w:lvl>
  </w:abstractNum>
  <w:abstractNum w:abstractNumId="93">
    <w:nsid w:val="7F01579B"/>
    <w:multiLevelType w:val="hybridMultilevel"/>
    <w:lvl w:ilvl="0">
      <w:lvlJc w:val="left"/>
      <w:lvlText w:val="(%1)"/>
      <w:numFmt w:val="lowerRoman"/>
      <w:start w:val="2"/>
    </w:lvl>
    <w:lvl w:ilvl="1">
      <w:lvlJc w:val="left"/>
      <w:lvlText w:val="%2."/>
      <w:numFmt w:val="decimal"/>
      <w:start w:val="4"/>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jpe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42" Type="http://schemas.openxmlformats.org/officeDocument/2006/relationships/hyperlink" Target="http://www.sec.gov/ix?doc=/Archives/edgar/data/1762303/000156459023002302/rcel-10k_20221231.htm" TargetMode="External"/><Relationship Id="rId43" Type="http://schemas.openxmlformats.org/officeDocument/2006/relationships/hyperlink" Target="http://www.sec.gov/ix?doc=/Archives/edgar/data/1762303/000119312523011170/d416307d8k.htm" TargetMode="External"/><Relationship Id="rId44" Type="http://schemas.openxmlformats.org/officeDocument/2006/relationships/hyperlink" Target="http://www.sec.gov/ix?doc=/Archives/edgar/data/1762303/000119312523075191/d467079d8k.htm" TargetMode="External"/><Relationship Id="rId45" Type="http://schemas.openxmlformats.org/officeDocument/2006/relationships/hyperlink" Target="http://www.sec.gov/ix?doc=/Archives/edgar/data/1762303/000119312523076835/d804540d8k.htm" TargetMode="External"/><Relationship Id="rId46" Type="http://schemas.openxmlformats.org/officeDocument/2006/relationships/hyperlink" Target="http://www.sec.gov/ix?doc=/Archives/edgar/data/1762303/000119312523080474/d468715d8k.htm" TargetMode="External"/><Relationship Id="rId47" Type="http://schemas.openxmlformats.org/officeDocument/2006/relationships/hyperlink" Target="http://www.sec.gov/Archives/edgar/data/1762303/000156459023002302/rcel-ex41_1810.htm" TargetMode="External"/><Relationship Id="rId75" Type="http://schemas.openxmlformats.org/officeDocument/2006/relationships/hyperlink" Target="http://www.sec.gov/Archives/edgar/data/1762303/000119312520183429/d75062dex31.htm" TargetMode="External"/><Relationship Id="rId76" Type="http://schemas.openxmlformats.org/officeDocument/2006/relationships/hyperlink" Target="http://www.sec.gov/Archives/edgar/data/1762303/000156459022007617/rcel-ex32_14.htm" TargetMode="External"/><Relationship Id="rId77" Type="http://schemas.openxmlformats.org/officeDocument/2006/relationships/hyperlink" Target="http://www.sec.gov/Archives/edgar/data/1762303/000156459022007617/rcel-ex33_5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2023-04-14T16:31:39Z</dcterms:created>
  <dcterms:modified xsi:type="dcterms:W3CDTF">2023-04-14T16:31:39Z</dcterms:modified>
</cp:coreProperties>
</file>