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62"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9, 2020, AVITA Therapeutics, Inc. (the “Company”) held its 2020 Annual Meeting of Stockholders (the “Annual Meeting”). The total number of shares of common stock eligible to vote as of the record date, September 10, 2020, was 21,551,827 and, pursuant to the Company’s Amended and Restated Bylaws, majority shares were required to be present or represented at the Annual Meeting to constitute a quorum. The total number of shares of common stock present or represented at the Annual Meeting was 12,213,671, and a quorum therefore existed.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w:t>
      </w:r>
    </w:p>
    <w:p>
      <w:pPr>
        <w:spacing w:after="0" w:line="129" w:lineRule="exact"/>
        <w:rPr>
          <w:sz w:val="20"/>
          <w:szCs w:val="20"/>
          <w:color w:val="auto"/>
        </w:rPr>
      </w:pPr>
    </w:p>
    <w:p>
      <w:pPr>
        <w:ind w:left="960" w:right="440" w:hanging="532"/>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All five directors named in the Company’s Proxy Statement for the Annual Meeting (“Proxy Statement”)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re-elected to serve on the Company’s Board of Directors with the following vote:</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80" w:type="dxa"/>
            <w:vAlign w:val="bottom"/>
            <w:vMerge w:val="restart"/>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 (</w:t>
            </w:r>
            <w:r>
              <w:rPr>
                <w:rFonts w:ascii="Times New Roman" w:cs="Times New Roman" w:eastAsia="Times New Roman" w:hAnsi="Times New Roman"/>
                <w:sz w:val="18"/>
                <w:szCs w:val="18"/>
                <w:i w:val="1"/>
                <w:iCs w:val="1"/>
                <w:color w:val="auto"/>
              </w:rPr>
              <w:t>Chair</w:t>
            </w: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8,454,939</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691,576</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3,067,156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Perry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8,057,811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1,066,472</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3,089,388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8,140,881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981,886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3,090,904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Drapeau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8,113,245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1,011,038</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3,089,388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8,158,543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965,187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3,089,941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960" w:right="100" w:hanging="532"/>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Appointment of Independent Auditors. </w:t>
      </w:r>
      <w:r>
        <w:rPr>
          <w:rFonts w:ascii="Times New Roman" w:cs="Times New Roman" w:eastAsia="Times New Roman" w:hAnsi="Times New Roman"/>
          <w:sz w:val="18"/>
          <w:szCs w:val="18"/>
          <w:color w:val="auto"/>
        </w:rPr>
        <w:t>The appointment of Grant Thornton LLP as the Company’s independent public accountants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ending June 30, 2021 was ratified by a vote of (i) 11,377,348 in favor, (ii) 605,154 against, and (iii) 223,665 abstaining.</w:t>
      </w:r>
    </w:p>
    <w:p>
      <w:pPr>
        <w:spacing w:after="0" w:line="63"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2020 Omnibus Incentive Plan. </w:t>
      </w:r>
      <w:r>
        <w:rPr>
          <w:rFonts w:ascii="Times New Roman" w:cs="Times New Roman" w:eastAsia="Times New Roman" w:hAnsi="Times New Roman"/>
          <w:sz w:val="18"/>
          <w:szCs w:val="18"/>
          <w:color w:val="auto"/>
        </w:rPr>
        <w:t>Stockholders approved: (a) the adoption of the Company’s 2020 Omnibus Incentive Plan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which are summarized in the Proxy Statement; and (b) for the purposes of Australian Securities Exchange (the “ASX”) Listing Rule 7.2 Exception13(b) and for all other purposes, the issue of equity securities in the Company under and subject to the terms of the Plan for three years commencing on the date that the Plan is approved by the Company’s stockholders. This proposal was approved by a vote of</w:t>
      </w:r>
    </w:p>
    <w:p>
      <w:pPr>
        <w:spacing w:after="0" w:line="1" w:lineRule="exact"/>
        <w:rPr>
          <w:rFonts w:ascii="Times New Roman" w:cs="Times New Roman" w:eastAsia="Times New Roman" w:hAnsi="Times New Roman"/>
          <w:sz w:val="18"/>
          <w:szCs w:val="18"/>
          <w:color w:val="auto"/>
        </w:rPr>
      </w:pPr>
    </w:p>
    <w:p>
      <w:pPr>
        <w:ind w:left="1180" w:hanging="212"/>
        <w:spacing w:after="0"/>
        <w:tabs>
          <w:tab w:leader="none" w:pos="11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7,267,180 in favor, (ii) 1,495,921 against, and (iii) 384,290 abstaining.</w:t>
      </w:r>
    </w:p>
    <w:p>
      <w:pPr>
        <w:spacing w:after="0" w:line="110"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Aggregate Annual Cash Pool for Non-Executive Directors</w:t>
      </w:r>
      <w:r>
        <w:rPr>
          <w:rFonts w:ascii="Times New Roman" w:cs="Times New Roman" w:eastAsia="Times New Roman" w:hAnsi="Times New Roman"/>
          <w:sz w:val="18"/>
          <w:szCs w:val="18"/>
          <w:color w:val="auto"/>
        </w:rPr>
        <w:t>. Stockholders approved the increase in the maximum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cash fee pool from which non-executive directors of the Company may be paid for their service as a member of the board of directors of the company from A$450,000 per annum to US$600,000 per annum, by a vote of (i) 6,642,165 in favor, (ii) 2,130,840 against, and (iii) 374,224 abstaining.</w:t>
      </w:r>
    </w:p>
    <w:p>
      <w:pPr>
        <w:spacing w:after="0" w:line="85"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of Securities to Mr. Louis Panaccio. </w:t>
      </w:r>
      <w:r>
        <w:rPr>
          <w:rFonts w:ascii="Times New Roman" w:cs="Times New Roman" w:eastAsia="Times New Roman" w:hAnsi="Times New Roman"/>
          <w:sz w:val="18"/>
          <w:szCs w:val="18"/>
          <w:color w:val="auto"/>
        </w:rPr>
        <w:t>Stockholders approved the issue of shares of common stock or CHESS Depositary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Mr. Louis Panaccio (or his nominee) up to a value of US$8,333 in each fiscal year during the three year period from the date of the Annual Meeting under the Plan, in lieu of the equivalent amount of directors fees otherwise payable to him by the Company, on the terms and conditions as set out in the Proxy Statement, by a vote of (i) 7,812,194 in favor, (ii) 946,460 against, and (iii) 388,575 abstaining.</w:t>
      </w:r>
    </w:p>
    <w:p>
      <w:pPr>
        <w:spacing w:after="0" w:line="88"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of Securities to Professor Suzanne Crowe. </w:t>
      </w:r>
      <w:r>
        <w:rPr>
          <w:rFonts w:ascii="Times New Roman" w:cs="Times New Roman" w:eastAsia="Times New Roman" w:hAnsi="Times New Roman"/>
          <w:sz w:val="18"/>
          <w:szCs w:val="18"/>
          <w:color w:val="auto"/>
        </w:rPr>
        <w:t>Stockholders approved the issue of shares of common stock or CHESS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in the Company to Professor Suzanne Crowe (or her nominee) up to a value of US$8,333 in each fiscal year during the three year period from the date of the Annual Meeting under the Plan, in lieu of the equivalent amount of directors fees otherwise payable to her by the Company, on the terms and conditions as set out in the Proxy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by a vote of (i) 7,885,577 in favor, (ii) 870,563 against, and</w:t>
      </w:r>
    </w:p>
    <w:p>
      <w:pPr>
        <w:spacing w:after="0" w:line="1" w:lineRule="exact"/>
        <w:rPr>
          <w:rFonts w:ascii="Times New Roman" w:cs="Times New Roman" w:eastAsia="Times New Roman" w:hAnsi="Times New Roman"/>
          <w:sz w:val="18"/>
          <w:szCs w:val="18"/>
          <w:color w:val="auto"/>
        </w:rPr>
      </w:pPr>
    </w:p>
    <w:p>
      <w:pPr>
        <w:ind w:left="1280" w:hanging="312"/>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391,089 abstaining.</w:t>
      </w:r>
    </w:p>
    <w:p>
      <w:pPr>
        <w:spacing w:after="0" w:line="110"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of Securities to Mr. Louis Drapeau. </w:t>
      </w:r>
      <w:r>
        <w:rPr>
          <w:rFonts w:ascii="Times New Roman" w:cs="Times New Roman" w:eastAsia="Times New Roman" w:hAnsi="Times New Roman"/>
          <w:sz w:val="18"/>
          <w:szCs w:val="18"/>
          <w:color w:val="auto"/>
        </w:rPr>
        <w:t>Stockholders approved the issue of shares of common stock or CHESS Depositary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Mr. Louis Drapeau (or his nominee) up to a value of US$8,333 in each fiscal year during the three year period from the date of the Annual Meeting under the Plan, in lieu of the equivalent amount of directors fees otherwise payable to him by the Company, on the terms and conditions as set out in the Proxy Statement, by a vote of (i) 7,874,138 in favor, (ii) 878,478 against, and (iii) 394,613 abstaining.</w:t>
      </w:r>
    </w:p>
    <w:p>
      <w:pPr>
        <w:spacing w:after="0" w:line="88" w:lineRule="exact"/>
        <w:rPr>
          <w:rFonts w:ascii="Times New Roman" w:cs="Times New Roman" w:eastAsia="Times New Roman" w:hAnsi="Times New Roman"/>
          <w:sz w:val="18"/>
          <w:szCs w:val="18"/>
          <w:color w:val="auto"/>
        </w:rPr>
      </w:pPr>
    </w:p>
    <w:p>
      <w:pPr>
        <w:ind w:left="960" w:right="54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of Securities to Mr. Jeremy Curnock Cook. </w:t>
      </w:r>
      <w:r>
        <w:rPr>
          <w:rFonts w:ascii="Times New Roman" w:cs="Times New Roman" w:eastAsia="Times New Roman" w:hAnsi="Times New Roman"/>
          <w:sz w:val="18"/>
          <w:szCs w:val="18"/>
          <w:color w:val="auto"/>
        </w:rPr>
        <w:t>Stockholders approved the issue of shares of common stock or CHESS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in the Company to Mr. Jeremy Curnock Cook (or his nominee)</w:t>
      </w:r>
    </w:p>
    <w:p>
      <w:pPr>
        <w:sectPr>
          <w:pgSz w:w="11900" w:h="16838" w:orient="portrait"/>
          <w:cols w:equalWidth="0" w:num="1">
            <w:col w:w="10980"/>
          </w:cols>
          <w:pgMar w:left="440" w:top="266" w:right="479" w:bottom="1440" w:gutter="0" w:footer="0" w:header="0"/>
        </w:sectPr>
      </w:pPr>
    </w:p>
    <w:bookmarkStart w:id="2" w:name="page3"/>
    <w:bookmarkEnd w:id="2"/>
    <w:p>
      <w:pPr>
        <w:ind w:left="98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 to a value of US$8,333 in each fiscal year during the three year period from the date of the Annual Meeting under the Plan, in lieu of the equivalent amount of directors fees otherwise payable to him by the Company, on the terms and conditions as set out in the Proxy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by a vote of (i) 7,868,343 in favor, (ii) 882,367 against, and (iii) 396,519 abstaining.</w:t>
      </w:r>
    </w:p>
    <w:p>
      <w:pPr>
        <w:spacing w:after="0" w:line="79" w:lineRule="exact"/>
        <w:rPr>
          <w:sz w:val="20"/>
          <w:szCs w:val="20"/>
          <w:color w:val="auto"/>
        </w:rPr>
      </w:pPr>
    </w:p>
    <w:p>
      <w:pPr>
        <w:ind w:left="960" w:right="40" w:hanging="532"/>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Vote to Approve the Compensation of Named Executive Officers</w:t>
      </w:r>
      <w:r>
        <w:rPr>
          <w:rFonts w:ascii="Times New Roman" w:cs="Times New Roman" w:eastAsia="Times New Roman" w:hAnsi="Times New Roman"/>
          <w:sz w:val="18"/>
          <w:szCs w:val="18"/>
          <w:color w:val="auto"/>
        </w:rPr>
        <w:t>. Stockholders voted in favor of the non-binding advisory vote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compensation of the Company’s named executive officers, by a vote of (i) 4,619,013 in favor, (ii) 4,289,735 against, and (iii) 238,481 abstaining.</w:t>
      </w:r>
    </w:p>
    <w:p>
      <w:pPr>
        <w:spacing w:after="0" w:line="78" w:lineRule="exact"/>
        <w:rPr>
          <w:rFonts w:ascii="Times New Roman" w:cs="Times New Roman" w:eastAsia="Times New Roman" w:hAnsi="Times New Roman"/>
          <w:sz w:val="18"/>
          <w:szCs w:val="18"/>
          <w:color w:val="auto"/>
        </w:rPr>
      </w:pPr>
    </w:p>
    <w:p>
      <w:pPr>
        <w:ind w:left="960" w:hanging="532"/>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Vote to Approve the Frequency of Future Advisory Votes</w:t>
      </w:r>
      <w:r>
        <w:rPr>
          <w:rFonts w:ascii="Times New Roman" w:cs="Times New Roman" w:eastAsia="Times New Roman" w:hAnsi="Times New Roman"/>
          <w:sz w:val="18"/>
          <w:szCs w:val="18"/>
          <w:color w:val="auto"/>
        </w:rPr>
        <w:t>. In relation to the non-binding advisory vote to approve the frequency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advisory votes to approve executive compensation, stockholders voted in favor of future advisory votes being held every one year, by a vote of (i) 7,783,828 in favor, and (ii) 290,424 abstaining, and (iii) 3,059,652 non-votes.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November 10, 2020, the Company issued a press release announcing the voting results with respect to each of the proposals presented to stockholders at the Annual Meeting. A copy of the Company’s press release is included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4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8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4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Press Release of AVITA Therapeutics, Inc. dated November 10, 2020 (“AVITA Therapeutics, Inc.: Results of 2020 Annual Meeting</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of Shareholders”).</w:t>
              </w:r>
            </w:hyperlink>
          </w:p>
        </w:tc>
        <w:tc>
          <w:tcPr>
            <w:tcW w:w="8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7" w:lineRule="exact"/>
        <w:rPr>
          <w:sz w:val="20"/>
          <w:szCs w:val="20"/>
          <w:color w:val="auto"/>
        </w:rPr>
      </w:pPr>
    </w:p>
    <w:p>
      <w:pPr>
        <w:ind w:left="662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18415</wp:posOffset>
            </wp:positionV>
            <wp:extent cx="2357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 w:lineRule="exact"/>
        <w:rPr>
          <w:sz w:val="20"/>
          <w:szCs w:val="20"/>
          <w:color w:val="auto"/>
        </w:rPr>
      </w:pPr>
    </w:p>
    <w:p>
      <w:pPr>
        <w:ind w:left="6620"/>
        <w:spacing w:after="0"/>
        <w:tabs>
          <w:tab w:leader="none" w:pos="728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662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7734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3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2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AVITA Therapeutics, Inc.: Results of 2020 Annual Meeting of Shareholders </w:t>
      </w:r>
      <w:r>
        <w:rPr>
          <w:rFonts w:ascii="Times New Roman" w:cs="Times New Roman" w:eastAsia="Times New Roman" w:hAnsi="Times New Roman"/>
          <w:sz w:val="18"/>
          <w:szCs w:val="18"/>
          <w:color w:val="auto"/>
        </w:rPr>
        <w:t>November 10, 2020</w:t>
      </w:r>
    </w:p>
    <w:p>
      <w:pPr>
        <w:spacing w:after="0" w:line="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VALENCIA, Calif. and MELBOURNE, Australia, Nov. 10, 2020 (GLOBE NEWSWIRE) — AVITA Therapeutics, Inc. (NASDAQ: RCEL, ASX: AVH)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regenerative medicine company that is developing and commercializing a technology platform that enables point-of-care autologous skin restoration for multiple unmet needs, is pleased to announce the results of its 2020 Annual Meeting of Shareholders that was held virtually today, being Monday, November 9, 2020 (Valencia, California) / Tuesday, November 10, 2020 (Melbourne, Australia).</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All five directors named in the Company’s proxy statement were re-elected to serve on the Company’s Board of Directors: Louis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Panaccio, Chair; Dr. Michael Perry, Executive Director and CEO; Professor Suzanne Crowe, Director; Louis Drapeau, Director; and Jeremy Curnock Cook, Director.</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Appointment of Independent Auditors: </w:t>
      </w:r>
      <w:r>
        <w:rPr>
          <w:rFonts w:ascii="Times New Roman" w:cs="Times New Roman" w:eastAsia="Times New Roman" w:hAnsi="Times New Roman"/>
          <w:sz w:val="18"/>
          <w:szCs w:val="18"/>
          <w:color w:val="auto"/>
        </w:rPr>
        <w:t>Shareholders approved the ratification of Grant Thornton LLP as the Company’s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June 30, 2021, as described in the proxy statement.</w:t>
      </w:r>
    </w:p>
    <w:p>
      <w:pPr>
        <w:spacing w:after="0" w:line="15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Shareholders approved (a) the adoption of the Company’s 2020 Omnibus Incentive Plan (the</w:t>
      </w:r>
      <w:r>
        <w:rPr>
          <w:rFonts w:ascii="Times New Roman" w:cs="Times New Roman" w:eastAsia="Times New Roman" w:hAnsi="Times New Roman"/>
          <w:sz w:val="18"/>
          <w:szCs w:val="18"/>
          <w:b w:val="1"/>
          <w:bCs w:val="1"/>
          <w:color w:val="auto"/>
        </w:rPr>
        <w:t xml:space="preserve"> Plan</w:t>
      </w:r>
      <w:r>
        <w:rPr>
          <w:rFonts w:ascii="Times New Roman" w:cs="Times New Roman" w:eastAsia="Times New Roman" w:hAnsi="Times New Roman"/>
          <w:sz w:val="18"/>
          <w:szCs w:val="18"/>
          <w:color w:val="auto"/>
        </w:rPr>
        <w:t>), the terms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summarized in the proxy statement; and (b) for the purposes of ASX Listing Rule 7.2 Exception 13(b) and for all other purposes, the issue of equity securities in the Company under and subject to the terms of the Plan for three years commencing on the date of approval of the Plan by the Company’s shareholders.</w:t>
      </w:r>
    </w:p>
    <w:p>
      <w:pPr>
        <w:spacing w:after="0" w:line="17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Maximum Aggregate Annual Cash Pool for Non-Executive Directors: </w:t>
      </w:r>
      <w:r>
        <w:rPr>
          <w:rFonts w:ascii="Times New Roman" w:cs="Times New Roman" w:eastAsia="Times New Roman" w:hAnsi="Times New Roman"/>
          <w:sz w:val="18"/>
          <w:szCs w:val="18"/>
          <w:color w:val="auto"/>
        </w:rPr>
        <w:t>Shareholders approved the increase in the maximum aggregate annual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 pool from which non-executive directors of the Company may be paid for their service as a member of the board of directors of the Company from A$450,000 per annum to US$600,000 per annum.</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Issue of Securities to Mr. Louis Panaccio</w:t>
      </w:r>
      <w:r>
        <w:rPr>
          <w:rFonts w:ascii="Times New Roman" w:cs="Times New Roman" w:eastAsia="Times New Roman" w:hAnsi="Times New Roman"/>
          <w:sz w:val="18"/>
          <w:szCs w:val="18"/>
          <w:color w:val="auto"/>
        </w:rPr>
        <w:t>: Shareholders approved the issue of shares of common stock or CHESS Depositary Interests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Mr. Louis Panaccio (or his nominee) up to a value of US$8,333 in each fiscal year during the three year period from the date of the Annual Meeting of Shareholders under the Plan, in lieu of the equivalent amount of directors fees otherwise payable to him by the Company, on the terms and conditions as set out in the proxy statement.</w:t>
      </w:r>
    </w:p>
    <w:p>
      <w:pPr>
        <w:spacing w:after="0" w:line="17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Issue of Securities to Professor Suzanne Crowe</w:t>
      </w:r>
      <w:r>
        <w:rPr>
          <w:rFonts w:ascii="Times New Roman" w:cs="Times New Roman" w:eastAsia="Times New Roman" w:hAnsi="Times New Roman"/>
          <w:sz w:val="18"/>
          <w:szCs w:val="18"/>
          <w:color w:val="auto"/>
        </w:rPr>
        <w:t>: Shareholders approved the issue of shares of common stock or CHESS Depositary Interests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Professor Suzanne Crowe (or her nominee) up to a value of US$8,333 in each fiscal year during the three year period from the date of the Annual Meeting of Shareholders under Plan, in lieu of the equivalent amount of directors fees otherwise payable to her by the Company, on the terms and conditions as set out in the proxy statement.</w:t>
      </w:r>
    </w:p>
    <w:p>
      <w:pPr>
        <w:spacing w:after="0" w:line="17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Issue of Securities to Mr. Louis Drapeau</w:t>
      </w:r>
      <w:r>
        <w:rPr>
          <w:rFonts w:ascii="Times New Roman" w:cs="Times New Roman" w:eastAsia="Times New Roman" w:hAnsi="Times New Roman"/>
          <w:sz w:val="18"/>
          <w:szCs w:val="18"/>
          <w:color w:val="auto"/>
        </w:rPr>
        <w:t>: Shareholders approved the issue of shares of common stock or CHESS Depositary Interests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Mr. Louis Drapeau (or his nominee) up to a value of US$8,333 in each fiscal year during the three year period from the date of the Annual Meeting of Shareholders under the Plan, in lieu of the equivalent amount of directors fees otherwise payable to him by the Company, on the terms and conditions as set out in the proxy statement.</w:t>
      </w:r>
    </w:p>
    <w:p>
      <w:pPr>
        <w:spacing w:after="0" w:line="17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Issue of Securities to Mr. Jeremy Curnock Cook</w:t>
      </w:r>
      <w:r>
        <w:rPr>
          <w:rFonts w:ascii="Times New Roman" w:cs="Times New Roman" w:eastAsia="Times New Roman" w:hAnsi="Times New Roman"/>
          <w:sz w:val="18"/>
          <w:szCs w:val="18"/>
          <w:color w:val="auto"/>
        </w:rPr>
        <w:t>: Shareholders approved the issue of shares of common stock or CHESS Depositary Interests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Mr. Jeremy Curnock Cook (or his nominee) up to a value of US$8,333 in each fiscal year during the three year period from the date of the Annual Meeting of Shareholders under the Plan, in lieu of the equivalent amount of directors fees otherwise payable to him by the Company, on the terms and conditions as set out in the proxy statement.</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Advisory Vote to Approve Compensation of Named Executive Officers: </w:t>
      </w:r>
      <w:r>
        <w:rPr>
          <w:rFonts w:ascii="Times New Roman" w:cs="Times New Roman" w:eastAsia="Times New Roman" w:hAnsi="Times New Roman"/>
          <w:sz w:val="18"/>
          <w:szCs w:val="18"/>
          <w:color w:val="auto"/>
        </w:rPr>
        <w:t>Shareholders voted in favour of the non-binding advisory vote to approve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compensation of the Company’s named executive officers.</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Advisory Vote to Approve the Frequency of Future Advisory Votes: </w:t>
      </w:r>
      <w:r>
        <w:rPr>
          <w:rFonts w:ascii="Times New Roman" w:cs="Times New Roman" w:eastAsia="Times New Roman" w:hAnsi="Times New Roman"/>
          <w:sz w:val="18"/>
          <w:szCs w:val="18"/>
          <w:color w:val="auto"/>
        </w:rPr>
        <w:t>In relation to the non-binding advisory vote to approve the frequency of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votes to approve executive compensation, shareholders voted in favour of future advisory votes being held every one year.</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Dr. Michael Perry, Chief Executive Officer, commented, “We are pleased the shareholders of AVITA Therapeutics, Inc. have shown their confidence with the Board of Directors by electing them to serve for another year. The executive team and employees of the Company will continue to execute on our strategies of enrolling subjects in our clinical trials, exploring indications in other adjacencies, and ramping our revenues for the use of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burns.”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final votes have been reported in a Form 8-K that was filed with the Securities and Exchange Commission earlier today. The filing can be found on the Company’s website at https://ir.avitamedical.com/financials/sec-filings.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of the Annual Meeting of Shareholders for the purposes of ASX Listing Rule 3.13.2 are attached to this announcement.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REGENERATIVE</w:t>
      </w:r>
    </w:p>
    <w:p>
      <w:pPr>
        <w:sectPr>
          <w:pgSz w:w="11900" w:h="16838" w:orient="portrait"/>
          <w:cols w:equalWidth="0" w:num="1">
            <w:col w:w="11020"/>
          </w:cols>
          <w:pgMar w:left="440" w:top="117" w:right="439" w:bottom="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EPIDERMAL SUSPENSION, an autologous suspension comprised of the patient’s skin cells necessary to regenerate natural healthy epidermis. This autologous suspension is then sprayed onto the areas of the patient requiring treatment.</w:t>
      </w:r>
    </w:p>
    <w:p>
      <w:pPr>
        <w:sectPr>
          <w:pgSz w:w="11900" w:h="16838" w:orient="portrait"/>
          <w:cols w:equalWidth="0" w:num="1">
            <w:col w:w="10720"/>
          </w:cols>
          <w:pgMar w:left="440" w:top="121" w:right="739" w:bottom="1440" w:gutter="0" w:footer="0" w:header="0"/>
        </w:sectPr>
      </w:pPr>
    </w:p>
    <w:bookmarkStart w:id="6" w:name="page7"/>
    <w:bookmarkEnd w:id="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announcement, and we undertake no obligation to update or revise any of these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1760" w:type="dxa"/>
            <w:vAlign w:val="bottom"/>
          </w:tcPr>
          <w:p>
            <w:pPr>
              <w:spacing w:after="0"/>
              <w:rPr>
                <w:sz w:val="16"/>
                <w:szCs w:val="16"/>
                <w:color w:val="auto"/>
              </w:rPr>
            </w:pPr>
          </w:p>
        </w:tc>
        <w:tc>
          <w:tcPr>
            <w:tcW w:w="4120" w:type="dxa"/>
            <w:vAlign w:val="bottom"/>
            <w:gridSpan w:val="2"/>
          </w:tcPr>
          <w:p>
            <w:pPr>
              <w:ind w:left="176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444"/>
        </w:trPr>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17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Mobile +61 (0)411 402 737</w:t>
            </w: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4"/>
        </w:trPr>
        <w:tc>
          <w:tcPr>
            <w:tcW w:w="3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rudim@monsoon.com.au</w:t>
            </w:r>
          </w:p>
        </w:tc>
        <w:tc>
          <w:tcPr>
            <w:tcW w:w="176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November 9, 2020 (Pacific Time) / November 10, 2020 (Australian Eastern Daylight Time)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for the purposes of ASX Listing Rule 3.13.2.</w:t>
      </w:r>
    </w:p>
    <w:p>
      <w:pPr>
        <w:sectPr>
          <w:pgSz w:w="11900" w:h="16838" w:orient="portrait"/>
          <w:cols w:equalWidth="0" w:num="1">
            <w:col w:w="11020"/>
          </w:cols>
          <w:pgMar w:left="440" w:top="270" w:right="43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Resolution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Resolution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5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Instructions given to validly appointed</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Number of votes cast on the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proxies (as at proxy close)</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poll</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result</w:t>
            </w:r>
          </w:p>
        </w:tc>
        <w:tc>
          <w:tcPr>
            <w:tcW w:w="0" w:type="dxa"/>
            <w:vAlign w:val="bottom"/>
          </w:tcPr>
          <w:p>
            <w:pPr>
              <w:spacing w:after="0"/>
              <w:rPr>
                <w:sz w:val="1"/>
                <w:szCs w:val="1"/>
                <w:color w:val="auto"/>
              </w:rPr>
            </w:pPr>
          </w:p>
        </w:tc>
      </w:tr>
      <w:tr>
        <w:trPr>
          <w:trHeight w:val="117"/>
        </w:trPr>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0" w:type="dxa"/>
            <w:vAlign w:val="bottom"/>
            <w:vMerge w:val="restart"/>
          </w:tcPr>
          <w:p>
            <w:pPr>
              <w:spacing w:after="0"/>
              <w:rPr>
                <w:sz w:val="10"/>
                <w:szCs w:val="10"/>
                <w:color w:val="auto"/>
              </w:rPr>
            </w:pPr>
          </w:p>
        </w:tc>
        <w:tc>
          <w:tcPr>
            <w:tcW w:w="9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Proxy’s</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200" w:type="dxa"/>
            <w:vAlign w:val="bottom"/>
            <w:vMerge w:val="restart"/>
          </w:tcPr>
          <w:p>
            <w:pPr>
              <w:spacing w:after="0"/>
              <w:rPr>
                <w:sz w:val="10"/>
                <w:szCs w:val="10"/>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360" w:type="dxa"/>
            <w:vAlign w:val="bottom"/>
            <w:vMerge w:val="restart"/>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0" w:type="dxa"/>
            <w:vAlign w:val="bottom"/>
            <w:vMerge w:val="restart"/>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Carried /</w:t>
            </w:r>
          </w:p>
        </w:tc>
        <w:tc>
          <w:tcPr>
            <w:tcW w:w="0" w:type="dxa"/>
            <w:vAlign w:val="bottom"/>
          </w:tcPr>
          <w:p>
            <w:pPr>
              <w:spacing w:after="0"/>
              <w:rPr>
                <w:sz w:val="1"/>
                <w:szCs w:val="1"/>
                <w:color w:val="auto"/>
              </w:rPr>
            </w:pPr>
          </w:p>
        </w:tc>
      </w:tr>
      <w:tr>
        <w:trPr>
          <w:trHeight w:val="173"/>
        </w:trPr>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w:t>
            </w: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carried</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2880" w:space="720"/>
            <w:col w:w="742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Resolution 1:</w:t>
            </w: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 to serve a one-year term</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8,454,939</w:t>
            </w: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691,576</w:t>
            </w:r>
          </w:p>
        </w:tc>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8,454,939</w:t>
            </w:r>
          </w:p>
        </w:tc>
        <w:tc>
          <w:tcPr>
            <w:tcW w:w="18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691,576</w:t>
            </w:r>
          </w:p>
        </w:tc>
        <w:tc>
          <w:tcPr>
            <w:tcW w:w="780" w:type="dxa"/>
            <w:vAlign w:val="bottom"/>
            <w:shd w:val="clear" w:color="auto" w:fill="CCEEFF"/>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Carried</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 Chairman of the Board of</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92.44%</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7.56%</w:t>
            </w:r>
          </w:p>
        </w:tc>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92.44%</w:t>
            </w:r>
          </w:p>
        </w:tc>
        <w:tc>
          <w:tcPr>
            <w:tcW w:w="18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7.56%</w:t>
            </w:r>
          </w:p>
        </w:tc>
        <w:tc>
          <w:tcPr>
            <w:tcW w:w="780" w:type="dxa"/>
            <w:vAlign w:val="bottom"/>
            <w:shd w:val="clear" w:color="auto" w:fill="CCEEFF"/>
          </w:tcPr>
          <w:p>
            <w:pPr>
              <w:spacing w:after="0"/>
              <w:rPr>
                <w:sz w:val="18"/>
                <w:szCs w:val="18"/>
                <w:color w:val="auto"/>
              </w:rPr>
            </w:pPr>
          </w:p>
        </w:tc>
      </w:tr>
      <w:tr>
        <w:trPr>
          <w:trHeight w:val="248"/>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bl>
    <w:p>
      <w:pPr>
        <w:sectPr>
          <w:pgSz w:w="11900" w:h="16838" w:orient="portrait"/>
          <w:cols w:equalWidth="0" w:num="1">
            <w:col w:w="11020"/>
          </w:cols>
          <w:pgMar w:left="440" w:top="270" w:right="439" w:bottom="1440" w:gutter="0" w:footer="0" w:header="0"/>
          <w:type w:val="continuous"/>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Resolution 1:</w:t>
            </w: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 to serve a one-year term</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8,057,811</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1,066,472</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8,057,811</w:t>
            </w:r>
          </w:p>
        </w:tc>
        <w:tc>
          <w:tcPr>
            <w:tcW w:w="258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1,066,472</w:t>
            </w:r>
          </w:p>
        </w:tc>
      </w:tr>
      <w:tr>
        <w:trPr>
          <w:trHeight w:val="216"/>
        </w:trPr>
        <w:tc>
          <w:tcPr>
            <w:tcW w:w="3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Carried</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Michael Perry, Director and Chief Executive</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258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11.69%</w:t>
            </w:r>
          </w:p>
        </w:tc>
      </w:tr>
      <w:tr>
        <w:trPr>
          <w:trHeight w:val="248"/>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bl>
    <w:p>
      <w:pPr>
        <w:spacing w:after="0" w:line="90" w:lineRule="exact"/>
        <w:rPr>
          <w:sz w:val="20"/>
          <w:szCs w:val="20"/>
          <w:color w:val="auto"/>
        </w:rPr>
      </w:pPr>
    </w:p>
    <w:p>
      <w:pPr>
        <w:sectPr>
          <w:pgSz w:w="11900" w:h="16838" w:orient="portrait"/>
          <w:cols w:equalWidth="0" w:num="1">
            <w:col w:w="11020"/>
          </w:cols>
          <w:pgMar w:left="440" w:top="387"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Resolution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to serve a one-year term</w:t>
      </w:r>
    </w:p>
    <w:p>
      <w:pPr>
        <w:spacing w:after="0" w:line="207" w:lineRule="exact"/>
        <w:rPr>
          <w:sz w:val="20"/>
          <w:szCs w:val="20"/>
          <w:color w:val="auto"/>
        </w:rPr>
      </w:pPr>
    </w:p>
    <w:p>
      <w:pPr>
        <w:ind w:right="1420"/>
        <w:spacing w:after="0" w:line="331" w:lineRule="auto"/>
        <w:rPr>
          <w:sz w:val="20"/>
          <w:szCs w:val="20"/>
          <w:color w:val="auto"/>
        </w:rPr>
      </w:pPr>
      <w:r>
        <w:rPr>
          <w:rFonts w:ascii="Times New Roman" w:cs="Times New Roman" w:eastAsia="Times New Roman" w:hAnsi="Times New Roman"/>
          <w:sz w:val="18"/>
          <w:szCs w:val="18"/>
          <w:color w:val="auto"/>
        </w:rPr>
        <w:t>Jeremy Curnock Cook, Director Resolution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to serve a one-year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Drapeau, Director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to serve a one-year term</w:t>
      </w:r>
    </w:p>
    <w:p>
      <w:pPr>
        <w:spacing w:after="0" w:line="207" w:lineRule="exact"/>
        <w:rPr>
          <w:sz w:val="20"/>
          <w:szCs w:val="20"/>
          <w:color w:val="auto"/>
        </w:rPr>
      </w:pPr>
    </w:p>
    <w:p>
      <w:pPr>
        <w:ind w:right="1180"/>
        <w:spacing w:after="0" w:line="331" w:lineRule="auto"/>
        <w:rPr>
          <w:sz w:val="20"/>
          <w:szCs w:val="20"/>
          <w:color w:val="auto"/>
        </w:rPr>
      </w:pPr>
      <w:r>
        <w:rPr>
          <w:rFonts w:ascii="Times New Roman" w:cs="Times New Roman" w:eastAsia="Times New Roman" w:hAnsi="Times New Roman"/>
          <w:sz w:val="18"/>
          <w:szCs w:val="18"/>
          <w:color w:val="auto"/>
        </w:rPr>
        <w:t>Professor Suzanne Crowe, Director Resolution 2:</w:t>
      </w:r>
    </w:p>
    <w:p>
      <w:pPr>
        <w:spacing w:after="0" w:line="1" w:lineRule="exact"/>
        <w:rPr>
          <w:sz w:val="20"/>
          <w:szCs w:val="20"/>
          <w:color w:val="auto"/>
        </w:rPr>
      </w:pPr>
    </w:p>
    <w:p>
      <w:pPr>
        <w:ind w:left="180" w:right="160" w:hanging="179"/>
        <w:spacing w:after="0" w:line="253" w:lineRule="auto"/>
        <w:rPr>
          <w:sz w:val="20"/>
          <w:szCs w:val="20"/>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June 30,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3:</w:t>
      </w:r>
    </w:p>
    <w:p>
      <w:pPr>
        <w:spacing w:after="0" w:line="27" w:lineRule="exact"/>
        <w:rPr>
          <w:sz w:val="20"/>
          <w:szCs w:val="20"/>
          <w:color w:val="auto"/>
        </w:rPr>
      </w:pPr>
    </w:p>
    <w:p>
      <w:pPr>
        <w:ind w:left="180" w:hanging="179"/>
        <w:spacing w:after="0" w:line="268" w:lineRule="auto"/>
        <w:rPr>
          <w:sz w:val="20"/>
          <w:szCs w:val="20"/>
          <w:color w:val="auto"/>
        </w:rPr>
      </w:pPr>
      <w:r>
        <w:rPr>
          <w:rFonts w:ascii="Times New Roman" w:cs="Times New Roman" w:eastAsia="Times New Roman" w:hAnsi="Times New Roman"/>
          <w:sz w:val="17"/>
          <w:szCs w:val="17"/>
          <w:color w:val="auto"/>
        </w:rPr>
        <w:t>To approve (a) the adoption of the Company’s 2020 Omnibus Incentive Plan; and (b) for the purposes of ASX Listing Rule 7.2 Exception 13(b) and for all other purposes, the issue of equity securities in the Company under and subject to the terms of the 2020 Omnibus Incentive Plan for three years commencing on the date that it is approved by the Company’s stockholders.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4:</w:t>
      </w:r>
    </w:p>
    <w:p>
      <w:pPr>
        <w:spacing w:after="0" w:line="27" w:lineRule="exact"/>
        <w:rPr>
          <w:sz w:val="20"/>
          <w:szCs w:val="20"/>
          <w:color w:val="auto"/>
        </w:rPr>
      </w:pPr>
    </w:p>
    <w:p>
      <w:pPr>
        <w:ind w:left="180" w:right="160" w:hanging="179"/>
        <w:spacing w:after="0" w:line="252" w:lineRule="auto"/>
        <w:rPr>
          <w:sz w:val="20"/>
          <w:szCs w:val="20"/>
          <w:color w:val="auto"/>
        </w:rPr>
      </w:pPr>
      <w:r>
        <w:rPr>
          <w:rFonts w:ascii="Times New Roman" w:cs="Times New Roman" w:eastAsia="Times New Roman" w:hAnsi="Times New Roman"/>
          <w:sz w:val="18"/>
          <w:szCs w:val="18"/>
          <w:color w:val="auto"/>
        </w:rPr>
        <w:t>To approve for the purposes of ASX Listing Rule 10.17 and for all other purposes that the maximum aggregate annual cash fee pool from which non-executive directors of the Company may be paid for serving on the board be increased from A$450,000 to US$600,000 per annum.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5:</w:t>
      </w:r>
    </w:p>
    <w:p>
      <w:pPr>
        <w:spacing w:after="0" w:line="27" w:lineRule="exact"/>
        <w:rPr>
          <w:sz w:val="20"/>
          <w:szCs w:val="20"/>
          <w:color w:val="auto"/>
        </w:rPr>
      </w:pPr>
    </w:p>
    <w:p>
      <w:pPr>
        <w:ind w:left="180" w:right="100" w:hanging="179"/>
        <w:spacing w:after="0" w:line="252" w:lineRule="auto"/>
        <w:rPr>
          <w:sz w:val="20"/>
          <w:szCs w:val="20"/>
          <w:color w:val="auto"/>
        </w:rPr>
      </w:pPr>
      <w:r>
        <w:rPr>
          <w:rFonts w:ascii="Times New Roman" w:cs="Times New Roman" w:eastAsia="Times New Roman" w:hAnsi="Times New Roman"/>
          <w:sz w:val="18"/>
          <w:szCs w:val="18"/>
          <w:color w:val="auto"/>
        </w:rPr>
        <w:t>To approve, subject to Resolution 3 passing, the issue of shares of common stock or CDIs to Mr Louis Panaccio (or his nominee) over the next three years up to a value of US$8,333 in each fiscal year under the Company’s 2020 Omnibus Incentive Plan, pursuant to and for the purposes of ASX Listing Rule 10.14.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6:</w:t>
      </w:r>
    </w:p>
    <w:p>
      <w:pPr>
        <w:spacing w:after="0" w:line="27" w:lineRule="exact"/>
        <w:rPr>
          <w:sz w:val="20"/>
          <w:szCs w:val="20"/>
          <w:color w:val="auto"/>
        </w:rPr>
      </w:pPr>
    </w:p>
    <w:p>
      <w:pPr>
        <w:ind w:left="180" w:right="40" w:hanging="179"/>
        <w:spacing w:after="0" w:line="252" w:lineRule="auto"/>
        <w:rPr>
          <w:sz w:val="20"/>
          <w:szCs w:val="20"/>
          <w:color w:val="auto"/>
        </w:rPr>
      </w:pPr>
      <w:r>
        <w:rPr>
          <w:rFonts w:ascii="Times New Roman" w:cs="Times New Roman" w:eastAsia="Times New Roman" w:hAnsi="Times New Roman"/>
          <w:sz w:val="18"/>
          <w:szCs w:val="18"/>
          <w:color w:val="auto"/>
        </w:rPr>
        <w:t>To approve, subject to Resolution 3 passing, the issue of shares of common stock or CDIs to Prof Suzanne Crowe (or her nominee) over the next three years up to a value of US$8,333 in each fiscal year under the Company’s 2020 Omnibus Incentive Plan, pursuant to and for the purposes of ASX Listing Rule 10.14.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8,158,543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965,187</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8,158,543</w:t>
            </w: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965,187</w:t>
            </w:r>
          </w:p>
        </w:tc>
        <w:tc>
          <w:tcPr>
            <w:tcW w:w="6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Carried</w:t>
            </w:r>
          </w:p>
        </w:tc>
      </w:tr>
      <w:tr>
        <w:trPr>
          <w:trHeight w:val="234"/>
        </w:trPr>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89.42%</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10.58%</w:t>
            </w:r>
          </w:p>
        </w:tc>
        <w:tc>
          <w:tcPr>
            <w:tcW w:w="640" w:type="dxa"/>
            <w:vAlign w:val="bottom"/>
          </w:tcPr>
          <w:p>
            <w:pPr>
              <w:spacing w:after="0"/>
              <w:rPr>
                <w:sz w:val="20"/>
                <w:szCs w:val="20"/>
                <w:color w:val="auto"/>
              </w:rPr>
            </w:pPr>
          </w:p>
        </w:tc>
      </w:tr>
      <w:tr>
        <w:trPr>
          <w:trHeight w:val="535"/>
        </w:trPr>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8,113,245</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1,011,038</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8,113,245</w:t>
            </w: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1,011,038</w:t>
            </w:r>
          </w:p>
        </w:tc>
        <w:tc>
          <w:tcPr>
            <w:tcW w:w="6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Carried</w:t>
            </w:r>
          </w:p>
        </w:tc>
      </w:tr>
      <w:tr>
        <w:trPr>
          <w:trHeight w:val="234"/>
        </w:trPr>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88.92%</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11.08%</w:t>
            </w:r>
          </w:p>
        </w:tc>
        <w:tc>
          <w:tcPr>
            <w:tcW w:w="640" w:type="dxa"/>
            <w:vAlign w:val="bottom"/>
          </w:tcPr>
          <w:p>
            <w:pPr>
              <w:spacing w:after="0"/>
              <w:rPr>
                <w:sz w:val="20"/>
                <w:szCs w:val="20"/>
                <w:color w:val="auto"/>
              </w:rPr>
            </w:pPr>
          </w:p>
        </w:tc>
      </w:tr>
      <w:tr>
        <w:trPr>
          <w:trHeight w:val="535"/>
        </w:trPr>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8,140,881</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981,886</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8,140,881</w:t>
            </w: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981,886</w:t>
            </w:r>
          </w:p>
        </w:tc>
        <w:tc>
          <w:tcPr>
            <w:tcW w:w="6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Carried</w:t>
            </w:r>
          </w:p>
        </w:tc>
      </w:tr>
      <w:tr>
        <w:trPr>
          <w:trHeight w:val="234"/>
        </w:trPr>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89.24%</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10.76%</w:t>
            </w:r>
          </w:p>
        </w:tc>
        <w:tc>
          <w:tcPr>
            <w:tcW w:w="640" w:type="dxa"/>
            <w:vAlign w:val="bottom"/>
          </w:tcPr>
          <w:p>
            <w:pPr>
              <w:spacing w:after="0"/>
              <w:rPr>
                <w:sz w:val="20"/>
                <w:szCs w:val="20"/>
                <w:color w:val="auto"/>
              </w:rPr>
            </w:pPr>
          </w:p>
        </w:tc>
      </w:tr>
      <w:tr>
        <w:trPr>
          <w:trHeight w:val="643"/>
        </w:trPr>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11,377,348</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605,154</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11,377,348</w:t>
            </w: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605,154</w:t>
            </w:r>
          </w:p>
        </w:tc>
        <w:tc>
          <w:tcPr>
            <w:tcW w:w="6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233,655</w:t>
            </w:r>
          </w:p>
        </w:tc>
        <w:tc>
          <w:tcPr>
            <w:tcW w:w="116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233,655</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Carried</w:t>
            </w:r>
          </w:p>
        </w:tc>
      </w:tr>
      <w:tr>
        <w:trPr>
          <w:trHeight w:val="234"/>
        </w:trPr>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93.21%</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4.96%</w:t>
            </w: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-1799590</wp:posOffset>
            </wp:positionV>
            <wp:extent cx="69951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-548005</wp:posOffset>
            </wp:positionV>
            <wp:extent cx="6995160" cy="69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7,267,180</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1,495,921</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7,267,180</w:t>
            </w:r>
          </w:p>
        </w:tc>
        <w:tc>
          <w:tcPr>
            <w:tcW w:w="252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1,495,921</w:t>
            </w: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384,290</w:t>
            </w:r>
          </w:p>
        </w:tc>
        <w:tc>
          <w:tcPr>
            <w:tcW w:w="1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384,290  Carried</w:t>
            </w:r>
          </w:p>
        </w:tc>
      </w:tr>
      <w:tr>
        <w:trPr>
          <w:trHeight w:val="234"/>
        </w:trPr>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79.45%</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79.45%</w:t>
            </w:r>
          </w:p>
        </w:tc>
        <w:tc>
          <w:tcPr>
            <w:tcW w:w="252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488315</wp:posOffset>
            </wp:positionV>
            <wp:extent cx="6995160" cy="1106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6,642,165</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2,130,840</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6,642,165</w:t>
            </w:r>
          </w:p>
        </w:tc>
        <w:tc>
          <w:tcPr>
            <w:tcW w:w="252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2,130,840</w:t>
            </w: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374,224</w:t>
            </w:r>
          </w:p>
        </w:tc>
        <w:tc>
          <w:tcPr>
            <w:tcW w:w="1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374,224  Carried</w:t>
            </w:r>
          </w:p>
        </w:tc>
      </w:tr>
      <w:tr>
        <w:trPr>
          <w:trHeight w:val="248"/>
        </w:trPr>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252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23.29%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7,812,194</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946,460</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7,812,194</w:t>
            </w: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946,460</w:t>
            </w: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388,575</w:t>
            </w:r>
          </w:p>
        </w:tc>
        <w:tc>
          <w:tcPr>
            <w:tcW w:w="12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388,575  Carried</w:t>
            </w:r>
          </w:p>
        </w:tc>
      </w:tr>
      <w:tr>
        <w:trPr>
          <w:trHeight w:val="234"/>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85.40%</w:t>
            </w:r>
          </w:p>
        </w:tc>
        <w:tc>
          <w:tcPr>
            <w:tcW w:w="2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419735</wp:posOffset>
            </wp:positionV>
            <wp:extent cx="6995160" cy="1105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7,885,577</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870,563</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7,885,577</w:t>
            </w: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870,563</w:t>
            </w: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391,089</w:t>
            </w:r>
          </w:p>
        </w:tc>
        <w:tc>
          <w:tcPr>
            <w:tcW w:w="12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391,089  Carried</w:t>
            </w:r>
          </w:p>
        </w:tc>
      </w:tr>
      <w:tr>
        <w:trPr>
          <w:trHeight w:val="234"/>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86.20%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86.20%</w:t>
            </w:r>
          </w:p>
        </w:tc>
        <w:tc>
          <w:tcPr>
            <w:tcW w:w="2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9.52%</w:t>
            </w:r>
          </w:p>
        </w:tc>
      </w:tr>
    </w:tbl>
    <w:p>
      <w:pPr>
        <w:sectPr>
          <w:pgSz w:w="11900" w:h="16838" w:orient="portrait"/>
          <w:cols w:equalWidth="0" w:num="2">
            <w:col w:w="3720" w:space="180"/>
            <w:col w:w="7120"/>
          </w:cols>
          <w:pgMar w:left="440" w:top="387" w:right="439" w:bottom="1440" w:gutter="0" w:footer="0" w:header="0"/>
          <w:type w:val="continuous"/>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t>Resolution 7:</w:t>
      </w:r>
    </w:p>
    <w:p>
      <w:pPr>
        <w:spacing w:after="0" w:line="27" w:lineRule="exact"/>
        <w:rPr>
          <w:sz w:val="20"/>
          <w:szCs w:val="20"/>
          <w:color w:val="auto"/>
        </w:rPr>
      </w:pPr>
    </w:p>
    <w:p>
      <w:pPr>
        <w:ind w:left="184" w:hanging="179"/>
        <w:spacing w:after="0" w:line="252" w:lineRule="auto"/>
        <w:rPr>
          <w:sz w:val="20"/>
          <w:szCs w:val="20"/>
          <w:color w:val="auto"/>
        </w:rPr>
      </w:pPr>
      <w:r>
        <w:rPr>
          <w:rFonts w:ascii="Times New Roman" w:cs="Times New Roman" w:eastAsia="Times New Roman" w:hAnsi="Times New Roman"/>
          <w:sz w:val="18"/>
          <w:szCs w:val="18"/>
          <w:color w:val="auto"/>
        </w:rPr>
        <w:t>To approve, subject to Resolution 3 passing, the issue of shares of common stock or CDIs to Mr Louis Drapeau (or his nominee) over the next three years up to a value of US$8,333 in each fiscal year under the Company’s 2020 Omnibus Incentive Plan, pursuant to and for the purposes of ASX Listing Rule 10.14</w:t>
      </w: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Resolution 8:</w:t>
      </w:r>
    </w:p>
    <w:p>
      <w:pPr>
        <w:spacing w:after="0" w:line="27" w:lineRule="exact"/>
        <w:rPr>
          <w:sz w:val="20"/>
          <w:szCs w:val="20"/>
          <w:color w:val="auto"/>
        </w:rPr>
      </w:pPr>
    </w:p>
    <w:p>
      <w:pPr>
        <w:ind w:left="184" w:hanging="179"/>
        <w:spacing w:after="0" w:line="252" w:lineRule="auto"/>
        <w:rPr>
          <w:sz w:val="20"/>
          <w:szCs w:val="20"/>
          <w:color w:val="auto"/>
        </w:rPr>
      </w:pPr>
      <w:r>
        <w:rPr>
          <w:rFonts w:ascii="Times New Roman" w:cs="Times New Roman" w:eastAsia="Times New Roman" w:hAnsi="Times New Roman"/>
          <w:sz w:val="18"/>
          <w:szCs w:val="18"/>
          <w:color w:val="auto"/>
        </w:rPr>
        <w:t>To approve, subject to Resolution 3 passing, the issue of shares of common stock or CDIs to Mr Jeremy Curnock Cook (or his nominee) over the next three years up to a value of US$8,333 in each fiscal year under the Company’s 2020 Omnibus Incentive Plan, pursuant to and for the purposes of ASX Listing Rule 10.14.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1200" w:val="left"/>
          <w:tab w:leader="none" w:pos="2140" w:val="left"/>
        </w:tabs>
        <w:rPr>
          <w:sz w:val="20"/>
          <w:szCs w:val="20"/>
          <w:color w:val="auto"/>
        </w:rPr>
      </w:pPr>
      <w:r>
        <w:rPr>
          <w:rFonts w:ascii="Times New Roman" w:cs="Times New Roman" w:eastAsia="Times New Roman" w:hAnsi="Times New Roman"/>
          <w:sz w:val="18"/>
          <w:szCs w:val="18"/>
          <w:color w:val="auto"/>
        </w:rPr>
        <w:t>7,874,138</w:t>
      </w:r>
      <w:r>
        <w:rPr>
          <w:sz w:val="20"/>
          <w:szCs w:val="20"/>
          <w:color w:val="auto"/>
        </w:rPr>
        <w:tab/>
      </w:r>
      <w:r>
        <w:rPr>
          <w:rFonts w:ascii="Times New Roman" w:cs="Times New Roman" w:eastAsia="Times New Roman" w:hAnsi="Times New Roman"/>
          <w:sz w:val="18"/>
          <w:szCs w:val="18"/>
          <w:color w:val="auto"/>
        </w:rPr>
        <w:t>878,478</w:t>
      </w:r>
      <w:r>
        <w:rPr>
          <w:sz w:val="20"/>
          <w:szCs w:val="20"/>
          <w:color w:val="auto"/>
        </w:rPr>
        <w:tab/>
      </w: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-624840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-462280</wp:posOffset>
            </wp:positionV>
            <wp:extent cx="6995160" cy="110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106170"/>
                    </a:xfrm>
                    <a:prstGeom prst="rect">
                      <a:avLst/>
                    </a:prstGeom>
                    <a:noFill/>
                  </pic:spPr>
                </pic:pic>
              </a:graphicData>
            </a:graphic>
          </wp:anchor>
        </w:drawing>
      </w:r>
    </w:p>
    <w:p>
      <w:pPr>
        <w:spacing w:after="0" w:line="205" w:lineRule="exact"/>
        <w:rPr>
          <w:sz w:val="20"/>
          <w:szCs w:val="20"/>
          <w:color w:val="auto"/>
        </w:rPr>
      </w:pPr>
    </w:p>
    <w:p>
      <w:pPr>
        <w:jc w:val="right"/>
        <w:spacing w:after="0"/>
        <w:tabs>
          <w:tab w:leader="none" w:pos="880" w:val="left"/>
          <w:tab w:leader="none" w:pos="220" w:val="left"/>
        </w:tabs>
        <w:rPr>
          <w:sz w:val="20"/>
          <w:szCs w:val="20"/>
          <w:color w:val="auto"/>
        </w:rPr>
      </w:pPr>
      <w:r>
        <w:rPr>
          <w:rFonts w:ascii="Times New Roman" w:cs="Times New Roman" w:eastAsia="Times New Roman" w:hAnsi="Times New Roman"/>
          <w:sz w:val="18"/>
          <w:szCs w:val="18"/>
          <w:color w:val="auto"/>
        </w:rPr>
        <w:t>86.09%</w:t>
      </w:r>
      <w:r>
        <w:rPr>
          <w:sz w:val="20"/>
          <w:szCs w:val="20"/>
          <w:color w:val="auto"/>
        </w:rPr>
        <w:tab/>
      </w:r>
      <w:r>
        <w:rPr>
          <w:rFonts w:ascii="Times New Roman" w:cs="Times New Roman" w:eastAsia="Times New Roman" w:hAnsi="Times New Roman"/>
          <w:sz w:val="18"/>
          <w:szCs w:val="18"/>
          <w:color w:val="auto"/>
        </w:rPr>
        <w:t>9.60%</w:t>
        <w:tab/>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200" w:val="left"/>
          <w:tab w:leader="none" w:pos="2140" w:val="left"/>
        </w:tabs>
        <w:rPr>
          <w:sz w:val="20"/>
          <w:szCs w:val="20"/>
          <w:color w:val="auto"/>
        </w:rPr>
      </w:pPr>
      <w:r>
        <w:rPr>
          <w:rFonts w:ascii="Times New Roman" w:cs="Times New Roman" w:eastAsia="Times New Roman" w:hAnsi="Times New Roman"/>
          <w:sz w:val="18"/>
          <w:szCs w:val="18"/>
          <w:color w:val="auto"/>
        </w:rPr>
        <w:t>7,868,343</w:t>
      </w:r>
      <w:r>
        <w:rPr>
          <w:sz w:val="20"/>
          <w:szCs w:val="20"/>
          <w:color w:val="auto"/>
        </w:rPr>
        <w:tab/>
      </w:r>
      <w:r>
        <w:rPr>
          <w:rFonts w:ascii="Times New Roman" w:cs="Times New Roman" w:eastAsia="Times New Roman" w:hAnsi="Times New Roman"/>
          <w:sz w:val="18"/>
          <w:szCs w:val="18"/>
          <w:color w:val="auto"/>
        </w:rPr>
        <w:t>882,367</w:t>
      </w:r>
      <w:r>
        <w:rPr>
          <w:sz w:val="20"/>
          <w:szCs w:val="20"/>
          <w:color w:val="auto"/>
        </w:rPr>
        <w:tab/>
      </w:r>
      <w:r>
        <w:rPr>
          <w:rFonts w:ascii="Times New Roman" w:cs="Times New Roman" w:eastAsia="Times New Roman" w:hAnsi="Times New Roman"/>
          <w:sz w:val="18"/>
          <w:szCs w:val="18"/>
          <w:color w:val="auto"/>
        </w:rPr>
        <w:t>0</w:t>
      </w:r>
    </w:p>
    <w:p>
      <w:pPr>
        <w:spacing w:after="0" w:line="225" w:lineRule="exact"/>
        <w:rPr>
          <w:sz w:val="20"/>
          <w:szCs w:val="20"/>
          <w:color w:val="auto"/>
        </w:rPr>
      </w:pPr>
    </w:p>
    <w:p>
      <w:pPr>
        <w:jc w:val="right"/>
        <w:spacing w:after="0"/>
        <w:tabs>
          <w:tab w:leader="none" w:pos="880" w:val="left"/>
          <w:tab w:leader="none" w:pos="220" w:val="left"/>
        </w:tabs>
        <w:rPr>
          <w:sz w:val="20"/>
          <w:szCs w:val="20"/>
          <w:color w:val="auto"/>
        </w:rPr>
      </w:pPr>
      <w:r>
        <w:rPr>
          <w:rFonts w:ascii="Times New Roman" w:cs="Times New Roman" w:eastAsia="Times New Roman" w:hAnsi="Times New Roman"/>
          <w:sz w:val="18"/>
          <w:szCs w:val="18"/>
          <w:color w:val="auto"/>
        </w:rPr>
        <w:t>86.02%</w:t>
      </w:r>
      <w:r>
        <w:rPr>
          <w:sz w:val="20"/>
          <w:szCs w:val="20"/>
          <w:color w:val="auto"/>
        </w:rPr>
        <w:tab/>
      </w:r>
      <w:r>
        <w:rPr>
          <w:rFonts w:ascii="Times New Roman" w:cs="Times New Roman" w:eastAsia="Times New Roman" w:hAnsi="Times New Roman"/>
          <w:sz w:val="18"/>
          <w:szCs w:val="18"/>
          <w:color w:val="auto"/>
        </w:rPr>
        <w:t>9.65%</w:t>
        <w:tab/>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7,874,138</w:t>
            </w: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878,478</w:t>
            </w:r>
          </w:p>
        </w:tc>
      </w:tr>
      <w:tr>
        <w:trPr>
          <w:trHeight w:val="216"/>
        </w:trPr>
        <w:tc>
          <w:tcPr>
            <w:tcW w:w="18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5"/>
              </w:rPr>
              <w:t>394,613</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394,613  Carried</w:t>
            </w:r>
          </w:p>
        </w:tc>
      </w:tr>
      <w:tr>
        <w:trPr>
          <w:trHeight w:val="234"/>
        </w:trPr>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86.09%</w:t>
            </w:r>
          </w:p>
        </w:tc>
        <w:tc>
          <w:tcPr>
            <w:tcW w:w="2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9.60%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7,868,343</w:t>
            </w: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882,367</w:t>
            </w:r>
          </w:p>
        </w:tc>
      </w:tr>
      <w:tr>
        <w:trPr>
          <w:trHeight w:val="216"/>
        </w:trPr>
        <w:tc>
          <w:tcPr>
            <w:tcW w:w="18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5"/>
              </w:rPr>
              <w:t>396,519</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396,519  Carried</w:t>
            </w:r>
          </w:p>
        </w:tc>
      </w:tr>
      <w:tr>
        <w:trPr>
          <w:trHeight w:val="234"/>
        </w:trPr>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86.02%</w:t>
            </w:r>
          </w:p>
        </w:tc>
        <w:tc>
          <w:tcPr>
            <w:tcW w:w="2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9.65%</w:t>
            </w:r>
          </w:p>
        </w:tc>
      </w:tr>
    </w:tbl>
    <w:p>
      <w:pPr>
        <w:spacing w:after="0" w:line="643" w:lineRule="exact"/>
        <w:rPr>
          <w:sz w:val="20"/>
          <w:szCs w:val="20"/>
          <w:color w:val="auto"/>
        </w:rPr>
      </w:pPr>
    </w:p>
    <w:p>
      <w:pPr>
        <w:sectPr>
          <w:pgSz w:w="11900" w:h="16838" w:orient="portrait"/>
          <w:cols w:equalWidth="0" w:num="3">
            <w:col w:w="3864" w:space="200"/>
            <w:col w:w="2400" w:space="220"/>
            <w:col w:w="4340"/>
          </w:cols>
          <w:pgMar w:left="436" w:top="378" w:right="439" w:bottom="1440" w:gutter="0" w:footer="0" w:header="0"/>
        </w:sectPr>
      </w:pPr>
    </w:p>
    <w:tbl>
      <w:tblPr>
        <w:tblLayout w:type="fixed"/>
        <w:tblInd w:w="4"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9:</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4,619,013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4,289,735</w:t>
            </w:r>
          </w:p>
        </w:tc>
        <w:tc>
          <w:tcPr>
            <w:tcW w:w="24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Advisory vote to approve the compensation of the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50.49%</w:t>
            </w:r>
          </w:p>
        </w:tc>
        <w:tc>
          <w:tcPr>
            <w:tcW w:w="11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46.90%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1"/>
              </w:rPr>
              <w:t>0%</w:t>
            </w:r>
          </w:p>
        </w:tc>
        <w:tc>
          <w:tcPr>
            <w:tcW w:w="0" w:type="dxa"/>
            <w:vAlign w:val="bottom"/>
          </w:tcPr>
          <w:p>
            <w:pPr>
              <w:spacing w:after="0"/>
              <w:rPr>
                <w:sz w:val="1"/>
                <w:szCs w:val="1"/>
                <w:color w:val="auto"/>
              </w:rPr>
            </w:pPr>
          </w:p>
        </w:tc>
      </w:tr>
      <w:tr>
        <w:trPr>
          <w:trHeight w:val="38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Resolution details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Instructions given to validly appointed proxies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(as at proxy close)</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4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300" w:type="dxa"/>
            <w:vAlign w:val="bottom"/>
          </w:tcPr>
          <w:p>
            <w:pPr>
              <w:spacing w:after="0"/>
              <w:rPr>
                <w:sz w:val="10"/>
                <w:szCs w:val="10"/>
                <w:color w:val="auto"/>
              </w:rPr>
            </w:pPr>
          </w:p>
        </w:tc>
        <w:tc>
          <w:tcPr>
            <w:tcW w:w="6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Two</w:t>
            </w:r>
          </w:p>
        </w:tc>
        <w:tc>
          <w:tcPr>
            <w:tcW w:w="280" w:type="dxa"/>
            <w:vAlign w:val="bottom"/>
          </w:tcPr>
          <w:p>
            <w:pPr>
              <w:spacing w:after="0"/>
              <w:rPr>
                <w:sz w:val="10"/>
                <w:szCs w:val="10"/>
                <w:color w:val="auto"/>
              </w:rPr>
            </w:pPr>
          </w:p>
        </w:tc>
        <w:tc>
          <w:tcPr>
            <w:tcW w:w="100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Three</w:t>
            </w:r>
          </w:p>
        </w:tc>
        <w:tc>
          <w:tcPr>
            <w:tcW w:w="920" w:type="dxa"/>
            <w:vAlign w:val="bottom"/>
            <w:gridSpan w:val="3"/>
          </w:tcPr>
          <w:p>
            <w:pPr>
              <w:jc w:val="right"/>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Proxy’s</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3"/>
                <w:szCs w:val="13"/>
                <w:color w:val="auto"/>
              </w:rPr>
            </w:pPr>
          </w:p>
        </w:tc>
        <w:tc>
          <w:tcPr>
            <w:tcW w:w="6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Pr>
          <w:p>
            <w:pPr>
              <w:spacing w:after="0"/>
              <w:rPr>
                <w:sz w:val="13"/>
                <w:szCs w:val="13"/>
                <w:color w:val="auto"/>
              </w:rPr>
            </w:pPr>
          </w:p>
        </w:tc>
        <w:tc>
          <w:tcPr>
            <w:tcW w:w="920" w:type="dxa"/>
            <w:vAlign w:val="bottom"/>
            <w:gridSpan w:val="3"/>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87"/>
              </w:rPr>
              <w:t>discretion</w:t>
            </w:r>
          </w:p>
        </w:tc>
        <w:tc>
          <w:tcPr>
            <w:tcW w:w="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-967740</wp:posOffset>
            </wp:positionV>
            <wp:extent cx="6995160" cy="420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238,481</w:t>
            </w:r>
          </w:p>
        </w:tc>
        <w:tc>
          <w:tcPr>
            <w:tcW w:w="9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4,619,013</w:t>
            </w:r>
          </w:p>
        </w:tc>
        <w:tc>
          <w:tcPr>
            <w:tcW w:w="12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4,289,735</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238,481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46.90%</w:t>
            </w:r>
          </w:p>
        </w:tc>
        <w:tc>
          <w:tcPr>
            <w:tcW w:w="8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780" w:type="dxa"/>
            <w:vAlign w:val="bottom"/>
          </w:tcPr>
          <w:p>
            <w:pPr>
              <w:spacing w:after="0"/>
              <w:rPr>
                <w:sz w:val="24"/>
                <w:szCs w:val="24"/>
                <w:color w:val="auto"/>
              </w:rPr>
            </w:pPr>
          </w:p>
        </w:tc>
        <w:tc>
          <w:tcPr>
            <w:tcW w:w="214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 votes cast on the poll</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result</w:t>
            </w:r>
          </w:p>
        </w:tc>
        <w:tc>
          <w:tcPr>
            <w:tcW w:w="0" w:type="dxa"/>
            <w:vAlign w:val="bottom"/>
          </w:tcPr>
          <w:p>
            <w:pPr>
              <w:spacing w:after="0"/>
              <w:rPr>
                <w:sz w:val="1"/>
                <w:szCs w:val="1"/>
                <w:color w:val="auto"/>
              </w:rPr>
            </w:pPr>
          </w:p>
        </w:tc>
      </w:tr>
      <w:tr>
        <w:trPr>
          <w:trHeight w:val="117"/>
        </w:trPr>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80" w:type="dxa"/>
            <w:vAlign w:val="bottom"/>
          </w:tcPr>
          <w:p>
            <w:pPr>
              <w:spacing w:after="0"/>
              <w:rPr>
                <w:sz w:val="10"/>
                <w:szCs w:val="10"/>
                <w:color w:val="auto"/>
              </w:rPr>
            </w:pPr>
          </w:p>
        </w:tc>
        <w:tc>
          <w:tcPr>
            <w:tcW w:w="78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Two</w:t>
            </w:r>
          </w:p>
        </w:tc>
        <w:tc>
          <w:tcPr>
            <w:tcW w:w="160" w:type="dxa"/>
            <w:vAlign w:val="bottom"/>
          </w:tcPr>
          <w:p>
            <w:pPr>
              <w:spacing w:after="0"/>
              <w:rPr>
                <w:sz w:val="10"/>
                <w:szCs w:val="10"/>
                <w:color w:val="auto"/>
              </w:rPr>
            </w:pPr>
          </w:p>
        </w:tc>
        <w:tc>
          <w:tcPr>
            <w:tcW w:w="92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Result</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6464" w:space="140"/>
            <w:col w:w="4420"/>
          </w:cols>
          <w:pgMar w:left="436" w:top="378"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Resolution 10:</w:t>
      </w:r>
    </w:p>
    <w:p>
      <w:pPr>
        <w:spacing w:after="0" w:line="27" w:lineRule="exact"/>
        <w:rPr>
          <w:sz w:val="20"/>
          <w:szCs w:val="20"/>
          <w:color w:val="auto"/>
        </w:rPr>
      </w:pPr>
    </w:p>
    <w:p>
      <w:pPr>
        <w:ind w:left="184" w:hanging="179"/>
        <w:spacing w:after="0" w:line="252" w:lineRule="auto"/>
        <w:rPr>
          <w:sz w:val="20"/>
          <w:szCs w:val="20"/>
          <w:color w:val="auto"/>
        </w:rPr>
      </w:pPr>
      <w:r>
        <w:rPr>
          <w:rFonts w:ascii="Times New Roman" w:cs="Times New Roman" w:eastAsia="Times New Roman" w:hAnsi="Times New Roman"/>
          <w:sz w:val="18"/>
          <w:szCs w:val="18"/>
          <w:color w:val="auto"/>
        </w:rPr>
        <w:t>Advisory vote to approve the frequency of future advisory votes to approve executive compensation (every one, two or three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7,783,828</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298,482</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781,285</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290,424</w:t>
            </w:r>
          </w:p>
        </w:tc>
      </w:tr>
      <w:tr>
        <w:trPr>
          <w:trHeight w:val="234"/>
        </w:trPr>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8.53%</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-753745</wp:posOffset>
            </wp:positionV>
            <wp:extent cx="6995160" cy="1105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105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7,783,828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298,482</w:t>
            </w:r>
          </w:p>
        </w:tc>
        <w:tc>
          <w:tcPr>
            <w:tcW w:w="244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781,285</w:t>
            </w: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290,424  One Year</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24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8.53%</w:t>
            </w:r>
          </w:p>
        </w:tc>
      </w:tr>
    </w:tbl>
    <w:p>
      <w:pPr>
        <w:spacing w:after="0" w:line="749" w:lineRule="exact"/>
        <w:rPr>
          <w:sz w:val="20"/>
          <w:szCs w:val="20"/>
          <w:color w:val="auto"/>
        </w:rPr>
      </w:pPr>
    </w:p>
    <w:p>
      <w:pPr>
        <w:sectPr>
          <w:pgSz w:w="11900" w:h="16838" w:orient="portrait"/>
          <w:cols w:equalWidth="0" w:num="3">
            <w:col w:w="1844" w:space="200"/>
            <w:col w:w="4400" w:space="220"/>
            <w:col w:w="4360"/>
          </w:cols>
          <w:pgMar w:left="436" w:top="378" w:right="439" w:bottom="1440" w:gutter="0" w:footer="0" w:header="0"/>
          <w:type w:val="continuous"/>
        </w:sectPr>
      </w:pPr>
    </w:p>
    <w:p>
      <w:pPr>
        <w:spacing w:after="0" w:line="29" w:lineRule="exact"/>
        <w:rPr>
          <w:sz w:val="20"/>
          <w:szCs w:val="20"/>
          <w:color w:val="auto"/>
        </w:rPr>
      </w:pPr>
    </w:p>
    <w:p>
      <w:pPr>
        <w:ind w:left="224" w:right="280" w:hanging="224"/>
        <w:spacing w:after="0" w:line="261" w:lineRule="auto"/>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relating to a person who abstained on Resolution 1, 4, 5, 6, 7, 8 or 10 (as applicable) were not counted in determining whether or not the required majority of votes were cast for or against that Resolution. Votes relating to a person who abstained on Resolution 2, 3 or 9 (as applicable) were counted as votes “AGAINST” that Resolution in determining whether or not the required majority of votes were cast for or against that Resolution.</w:t>
      </w:r>
    </w:p>
    <w:sectPr>
      <w:pgSz w:w="11900" w:h="16838" w:orient="portrait"/>
      <w:cols w:equalWidth="0" w:num="1">
        <w:col w:w="11024"/>
      </w:cols>
      <w:pgMar w:left="436" w:top="378"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lvl w:ilvl="1">
      <w:lvlJc w:val="left"/>
      <w:lvlText w:val="(%2)"/>
      <w:numFmt w:val="lowerRoman"/>
      <w:start w:val="1"/>
    </w:lvl>
  </w:abstractNum>
  <w:abstractNum w:abstractNumId="3">
    <w:nsid w:val="3D1B58BA"/>
    <w:multiLevelType w:val="hybridMultilevel"/>
    <w:lvl w:ilvl="0">
      <w:lvlJc w:val="left"/>
      <w:lvlText w:val="%1"/>
      <w:numFmt w:val="decimal"/>
      <w:start w:val="1"/>
    </w:lvl>
    <w:lvl w:ilvl="1">
      <w:lvlJc w:val="left"/>
      <w:lvlText w:val="(%2)"/>
      <w:numFmt w:val="lowerRoman"/>
      <w:start w:val="3"/>
    </w:lvl>
  </w:abstractNum>
  <w:abstractNum w:abstractNumId="4">
    <w:nsid w:val="507ED7AB"/>
    <w:multiLevelType w:val="hybridMultilevel"/>
    <w:lvl w:ilvl="0">
      <w:lvlJc w:val="left"/>
      <w:lvlText w:val="%1."/>
      <w:numFmt w:val="decimal"/>
      <w:start w:val="7"/>
    </w:lvl>
    <w:lvl w:ilvl="1">
      <w:lvlJc w:val="left"/>
      <w:lvlText w:val="%2"/>
      <w:numFmt w:val="lowerRoman"/>
      <w:start w:val="1"/>
    </w:lvl>
  </w:abstractNum>
  <w:abstractNum w:abstractNumId="5">
    <w:nsid w:val="2EB141F2"/>
    <w:multiLevelType w:val="hybridMultilevel"/>
    <w:lvl w:ilvl="0">
      <w:lvlJc w:val="left"/>
      <w:lvlText w:val="%1."/>
      <w:numFmt w:val="decimal"/>
      <w:start w:val="9"/>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2020-11-12T09:07:14Z</dcterms:created>
  <dcterms:modified xsi:type="dcterms:W3CDTF">2020-11-12T09:07:14Z</dcterms:modified>
</cp:coreProperties>
</file>