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Avita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85-1021707</w:t>
      </w:r>
    </w:p>
    <w:p>
      <w:pPr>
        <w:spacing w:after="0" w:line="24" w:lineRule="exact"/>
        <w:rPr>
          <w:sz w:val="24"/>
          <w:szCs w:val="24"/>
          <w:color w:val="auto"/>
        </w:rPr>
      </w:pPr>
    </w:p>
    <w:p>
      <w:pPr>
        <w:sectPr>
          <w:pgSz w:w="11900" w:h="16838" w:orient="portrait"/>
          <w:cols w:equalWidth="0" w:num="3">
            <w:col w:w="4504" w:space="720"/>
            <w:col w:w="2880" w:space="720"/>
            <w:col w:w="2200"/>
          </w:cols>
          <w:pgMar w:left="436" w:top="362"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62" w:right="439" w:bottom="1440" w:gutter="0" w:footer="0" w:header="0"/>
          <w:type w:val="continuous"/>
        </w:sectPr>
      </w:pPr>
    </w:p>
    <w:p>
      <w:pPr>
        <w:spacing w:after="0" w:line="28" w:lineRule="exact"/>
        <w:rPr>
          <w:sz w:val="24"/>
          <w:szCs w:val="24"/>
          <w:color w:val="auto"/>
        </w:rPr>
      </w:pPr>
    </w:p>
    <w:p>
      <w:pPr>
        <w:ind w:left="704"/>
        <w:spacing w:after="0"/>
        <w:rPr>
          <w:sz w:val="20"/>
          <w:szCs w:val="20"/>
          <w:color w:val="auto"/>
        </w:rPr>
      </w:pPr>
      <w:r>
        <w:rPr>
          <w:rFonts w:ascii="Times New Roman" w:cs="Times New Roman" w:eastAsia="Times New Roman" w:hAnsi="Times New Roman"/>
          <w:sz w:val="17"/>
          <w:szCs w:val="17"/>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661.367.9170</w:t>
      </w:r>
    </w:p>
    <w:p>
      <w:pPr>
        <w:spacing w:after="0" w:line="31" w:lineRule="exact"/>
        <w:rPr>
          <w:sz w:val="24"/>
          <w:szCs w:val="24"/>
          <w:color w:val="auto"/>
        </w:rPr>
      </w:pPr>
    </w:p>
    <w:p>
      <w:pPr>
        <w:sectPr>
          <w:pgSz w:w="11900" w:h="16838" w:orient="portrait"/>
          <w:cols w:equalWidth="0" w:num="2">
            <w:col w:w="7124" w:space="720"/>
            <w:col w:w="3180"/>
          </w:cols>
          <w:pgMar w:left="436" w:top="362"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1" w:lineRule="exact"/>
        <w:rPr>
          <w:sz w:val="24"/>
          <w:szCs w:val="24"/>
          <w:color w:val="auto"/>
        </w:rPr>
      </w:pPr>
    </w:p>
    <w:p>
      <w:pPr>
        <w:sectPr>
          <w:pgSz w:w="11900" w:h="16838" w:orient="portrait"/>
          <w:cols w:equalWidth="0" w:num="2">
            <w:col w:w="6004" w:space="720"/>
            <w:col w:w="4300"/>
          </w:cols>
          <w:pgMar w:left="436" w:top="362"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1"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98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RCEL</w:t>
            </w:r>
          </w:p>
        </w:tc>
        <w:tc>
          <w:tcPr>
            <w:tcW w:w="100" w:type="dxa"/>
            <w:vAlign w:val="bottom"/>
          </w:tcPr>
          <w:p>
            <w:pPr>
              <w:spacing w:after="0"/>
              <w:rPr>
                <w:sz w:val="20"/>
                <w:szCs w:val="20"/>
                <w:color w:val="auto"/>
              </w:rPr>
            </w:pPr>
          </w:p>
        </w:tc>
        <w:tc>
          <w:tcPr>
            <w:tcW w:w="3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8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8.01. Other Events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November 4, 2020, AVITA Therapeutics, Inc. (the Company) issued a press release announcing a correction in the time for the adjourned 2020 Annual Stockholder Meeting (the Adjourned Annual Meeting), due to the change in daylight savings time Pacific Time in the United States, it results in change in time in Australian Eastern Daylight Time (AEDT) from 7:00 am to 8:00 am on Tuesday, November 10, 2020 and remains unchanged at 1:00 pm Pacific Time on Monday, November 9, 2020.</w:t>
      </w:r>
    </w:p>
    <w:p>
      <w:pPr>
        <w:spacing w:after="0" w:line="18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Therefore, the Adjourned Annual Meeting will be held 8:00 am (AEDT) on Tuesday, November 10, 2020 and 1:00 pm (Pacific Time) on Monday, November 9, 2020.</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Stockholders who have any questions or require any assistance with how to complete a proxy or CDI Voting Instruction Form or who do not have the required materials, may contact Okapi Partners by telephone (toll-free within North America) at (877) 629-6356 or (call collect outside North America) at (212) 297-0720 or by email at </w:t>
      </w:r>
      <w:r>
        <w:rPr>
          <w:rFonts w:ascii="Times New Roman" w:cs="Times New Roman" w:eastAsia="Times New Roman" w:hAnsi="Times New Roman"/>
          <w:sz w:val="18"/>
          <w:szCs w:val="18"/>
          <w:u w:val="single" w:color="auto"/>
          <w:color w:val="auto"/>
        </w:rPr>
        <w:t>info@okapipartners.com</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This document may be deemed to be solicitation material in respect of the Annual Meeting to be held on November 9, 2020 (Pacific Time) (being November 10, 2020 (AEDT)). In connection with the Annual Meeting, the Company filed a definitive proxy statement with the SEC on September 25,</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2020. BEFORE MAKING ANY VOTING DECISIONS, STOCKHOLDERS AND CDI HOLDERS ARE URGED TO READ THE DEFINITIVE PROXY STATEMENT AND ANY OTHER RELEVANT DOCUMENTS FILED WITH THE SEC OR THE AUSTRALIAN SECURITIES EXCHANGE (“ASX”), BECAUSE THEY CONTAIN IMPORTANT INFORMATION ABOUT THE ANNUAL MEETING. The definitive proxy statement was mailed to stockholders and CDI holders entitled to vote at the Annual Meeting. No changes have been made to the proposals to be voted on by stockholders at the Annual Meeting. The Company’s proxy statement and any other materials filed by the Company with the SEC can be obtained free of charge at the SEC’s website at </w:t>
      </w:r>
      <w:r>
        <w:rPr>
          <w:rFonts w:ascii="Times New Roman" w:cs="Times New Roman" w:eastAsia="Times New Roman" w:hAnsi="Times New Roman"/>
          <w:sz w:val="18"/>
          <w:szCs w:val="18"/>
          <w:u w:val="single" w:color="auto"/>
          <w:color w:val="auto"/>
        </w:rPr>
        <w:t>https://www.sec.gov/Archives/edgar/data/1762303/000119312520254171/d37466ddef14a.htm</w:t>
      </w:r>
      <w:r>
        <w:rPr>
          <w:rFonts w:ascii="Times New Roman" w:cs="Times New Roman" w:eastAsia="Times New Roman" w:hAnsi="Times New Roman"/>
          <w:sz w:val="18"/>
          <w:szCs w:val="18"/>
          <w:color w:val="auto"/>
        </w:rPr>
        <w:t xml:space="preserve"> or on the Company’s website at </w:t>
      </w:r>
      <w:r>
        <w:rPr>
          <w:rFonts w:ascii="Times New Roman" w:cs="Times New Roman" w:eastAsia="Times New Roman" w:hAnsi="Times New Roman"/>
          <w:sz w:val="18"/>
          <w:szCs w:val="18"/>
          <w:u w:val="single" w:color="auto"/>
          <w:color w:val="auto"/>
        </w:rPr>
        <w:t>www.avitamedical.com</w:t>
      </w:r>
      <w:r>
        <w:rPr>
          <w:rFonts w:ascii="Times New Roman" w:cs="Times New Roman" w:eastAsia="Times New Roman" w:hAnsi="Times New Roman"/>
          <w:sz w:val="18"/>
          <w:szCs w:val="18"/>
          <w:color w:val="auto"/>
        </w:rPr>
        <w:t xml:space="preserve">. The proxy statement and any other materials filed by the Company with the ASX can be obtained free of charge at the ASX’s website </w:t>
      </w:r>
      <w:r>
        <w:rPr>
          <w:rFonts w:ascii="Times New Roman" w:cs="Times New Roman" w:eastAsia="Times New Roman" w:hAnsi="Times New Roman"/>
          <w:sz w:val="18"/>
          <w:szCs w:val="18"/>
          <w:u w:val="single" w:color="auto"/>
          <w:color w:val="auto"/>
        </w:rPr>
        <w:t>www.asx.com</w:t>
      </w:r>
      <w:r>
        <w:rPr>
          <w:rFonts w:ascii="Times New Roman" w:cs="Times New Roman" w:eastAsia="Times New Roman" w:hAnsi="Times New Roman"/>
          <w:sz w:val="18"/>
          <w:szCs w:val="18"/>
          <w:color w:val="auto"/>
        </w:rPr>
        <w:t xml:space="preserve">.au and also the Company’s website at </w:t>
      </w:r>
      <w:r>
        <w:rPr>
          <w:rFonts w:ascii="Times New Roman" w:cs="Times New Roman" w:eastAsia="Times New Roman" w:hAnsi="Times New Roman"/>
          <w:sz w:val="18"/>
          <w:szCs w:val="18"/>
          <w:u w:val="single" w:color="auto"/>
          <w:color w:val="auto"/>
        </w:rPr>
        <w:t>www.avitamedical.com</w:t>
      </w:r>
      <w:r>
        <w:rPr>
          <w:rFonts w:ascii="Times New Roman" w:cs="Times New Roman" w:eastAsia="Times New Roman" w:hAnsi="Times New Roman"/>
          <w:sz w:val="18"/>
          <w:szCs w:val="18"/>
          <w:color w:val="auto"/>
        </w:rPr>
        <w: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Exhibits.</w:t>
      </w:r>
    </w:p>
    <w:p>
      <w:pPr>
        <w:spacing w:after="0" w:line="329"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u w:val="single" w:color="auto"/>
          <w:color w:val="auto"/>
        </w:rPr>
        <w:t>Description</w:t>
      </w:r>
    </w:p>
    <w:p>
      <w:pPr>
        <w:spacing w:after="0" w:line="135" w:lineRule="exact"/>
        <w:rPr>
          <w:sz w:val="20"/>
          <w:szCs w:val="20"/>
          <w:color w:val="auto"/>
        </w:rPr>
      </w:pPr>
    </w:p>
    <w:p>
      <w:pPr>
        <w:spacing w:after="0"/>
        <w:tabs>
          <w:tab w:leader="none" w:pos="6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Press release of AVITA Therapeutics, Inc. dated November 4, 2020</w:t>
        </w:r>
      </w:hyperlink>
    </w:p>
    <w:p>
      <w:pPr>
        <w:sectPr>
          <w:pgSz w:w="11900" w:h="16838" w:orient="portrait"/>
          <w:cols w:equalWidth="0" w:num="1">
            <w:col w:w="10960"/>
          </w:cols>
          <w:pgMar w:left="440" w:top="266" w:right="49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of 1934, the Registrant has duly caused this report to be signed on its behalf by the undersigned thereunto duly authorized.</w:t>
      </w:r>
    </w:p>
    <w:p>
      <w:pPr>
        <w:spacing w:after="0" w:line="18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AVITA THERAPEUTICS, INC.</w:t>
      </w:r>
    </w:p>
    <w:p>
      <w:pPr>
        <w:spacing w:after="0" w:line="3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(Registrant)</w:t>
      </w:r>
    </w:p>
    <w:p>
      <w:pPr>
        <w:spacing w:after="0" w:line="205"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 November 4, 2020</w:t>
      </w:r>
      <w:r>
        <w:rPr>
          <w:sz w:val="20"/>
          <w:szCs w:val="20"/>
          <w:color w:val="auto"/>
        </w:rPr>
        <w:tab/>
      </w:r>
      <w:r>
        <w:rPr>
          <w:rFonts w:ascii="Times New Roman" w:cs="Times New Roman" w:eastAsia="Times New Roman" w:hAnsi="Times New Roman"/>
          <w:sz w:val="17"/>
          <w:szCs w:val="17"/>
          <w:i w:val="1"/>
          <w:iCs w:val="1"/>
          <w:color w:val="auto"/>
        </w:rPr>
        <w:t>/s/ David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18415</wp:posOffset>
            </wp:positionV>
            <wp:extent cx="32143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David McIntyre</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0500"/>
          </w:cols>
          <w:pgMar w:left="440" w:top="266" w:right="959" w:bottom="1440" w:gutter="0" w:footer="0" w:header="0"/>
        </w:sectPr>
      </w:pPr>
    </w:p>
    <w:bookmarkStart w:id="3" w:name="page4"/>
    <w:bookmarkEnd w:id="3"/>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173990</wp:posOffset>
            </wp:positionV>
            <wp:extent cx="1757045" cy="685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5704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AVITA THERAPEUTICS, INC. ANNOUNCES CORRECTION OF TIME FOR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ADJOURNED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2020 ANNUAL STOCKHOLDER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7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Valencia, Calif, USA, November 4, 2020/Melbourne, November 5, 2020 </w:t>
      </w:r>
      <w:r>
        <w:rPr>
          <w:rFonts w:ascii="Times New Roman" w:cs="Times New Roman" w:eastAsia="Times New Roman" w:hAnsi="Times New Roman"/>
          <w:sz w:val="18"/>
          <w:szCs w:val="18"/>
          <w:color w:val="auto"/>
        </w:rPr>
        <w:t>— AVITA Therapeutics, Inc. (NASDAQ: RCEL, ASX:AVH), a regenerative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medicine company that is developing and commercializing a technology platform that enables point-of-care autologous skin restoration for multiple unmet needs, announces today a correction in the time for the adjourned 2020 Annual Stockholder Meeting (“Adjourned Annual Meeting”), due to the change in daylight savings time Pacific Time in the United States, it results in change in time in Australian Eastern Daylight Time (AEDT) from 7:00 am to 8:00 am on Tuesday, November 10, 2020 and remains unchanged at 1:00 pm Pacific Time on Monday, November 9, 2020.</w:t>
      </w:r>
    </w:p>
    <w:p>
      <w:pPr>
        <w:spacing w:after="0" w:line="18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Therefore, the Adjourned Annual Meeting will be held 8:00 am (AEDT) on Tuesday, November 10, 2020 and 1:00 pm (Pacific Time) on Monday, November 9, 2020.</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Stockholders who have any questions or require any assistance with how to complete a proxy or CDI Voting Instruction Form or who do not have the required materials, may contact Okapi Partners by telephone (toll-free within North America) at (877) 629-6356 or (call collect outside North America) at (212) 297-0720 or by email at </w:t>
      </w:r>
      <w:r>
        <w:rPr>
          <w:rFonts w:ascii="Times New Roman" w:cs="Times New Roman" w:eastAsia="Times New Roman" w:hAnsi="Times New Roman"/>
          <w:sz w:val="18"/>
          <w:szCs w:val="18"/>
          <w:u w:val="single" w:color="auto"/>
          <w:color w:val="auto"/>
        </w:rPr>
        <w:t>info@okapipartners.com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for release by the Chief Executive Officer of AVITA Therapeutics,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material may be deemed to be solicitation material in respect of the Annual Meeting to be held on November 9, 2020 (Pacific Time) (being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10, 2020 (AEDT)). In connection with the Annual Meeting, the Company filed a definitive proxy statement with the SEC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25, 2020. BEFORE MAKING ANY VOTING DECISIONS, STOCKHOLDERS AND CDI HOLDERS ARE URGED TO READ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DEFINITIVE PROXY STATEMENT AND ANY OTHER RELEVANT DOCUMENTS FILED WITH THE SEC OR THE AUSTRALIAN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EXCHANGE (“ASX”), BECAUSE THEY CONTAIN IMPORTANT INFORMATION ABOUT THE ANNUAL MEETING.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definitive proxy statement was mailed to stockholders and CDI holders entitled to vote at the Annual Meeting. No changes have been made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proposals to be voted on by stockholders at the Annual Meeting. The Company’s proxy statement and any other materials filed by the Company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can be obtained free of charge at the SEC’s website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https://www.sec.gov/Archives/edgar/data/1762303/000119312520254171/d37466ddef14a.htm</w:t>
      </w:r>
      <w:r>
        <w:rPr>
          <w:rFonts w:ascii="Times New Roman" w:cs="Times New Roman" w:eastAsia="Times New Roman" w:hAnsi="Times New Roman"/>
          <w:sz w:val="18"/>
          <w:szCs w:val="18"/>
          <w:color w:val="auto"/>
        </w:rPr>
        <w:t xml:space="preserve"> or on the Company’s website at </w:t>
      </w:r>
      <w:r>
        <w:rPr>
          <w:rFonts w:ascii="Times New Roman" w:cs="Times New Roman" w:eastAsia="Times New Roman" w:hAnsi="Times New Roman"/>
          <w:sz w:val="18"/>
          <w:szCs w:val="18"/>
          <w:u w:val="single" w:color="auto"/>
          <w:color w:val="auto"/>
        </w:rPr>
        <w:t>www.avitamedical.com</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proxy statement and any other materials filed by the Company with the ASX can be obtained free of charge at the ASX’s website </w:t>
      </w:r>
      <w:r>
        <w:rPr>
          <w:rFonts w:ascii="Times New Roman" w:cs="Times New Roman" w:eastAsia="Times New Roman" w:hAnsi="Times New Roman"/>
          <w:sz w:val="18"/>
          <w:szCs w:val="18"/>
          <w:u w:val="single" w:color="auto"/>
          <w:color w:val="auto"/>
        </w:rPr>
        <w:t>www.asx.com.au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also the Company’s website at </w:t>
      </w:r>
      <w:r>
        <w:rPr>
          <w:rFonts w:ascii="Times New Roman" w:cs="Times New Roman" w:eastAsia="Times New Roman" w:hAnsi="Times New Roman"/>
          <w:sz w:val="18"/>
          <w:szCs w:val="18"/>
          <w:u w:val="single" w:color="auto"/>
          <w:color w:val="auto"/>
        </w:rPr>
        <w:t>www.avitamedical.com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AVITA Therapeutics, Inc. (ARBN 641 28 155) c/o Mertons Corporate Services Pty Ltd Level 7, 330 Collins Street, Melbourne Victoria 3000</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ABOUT AVITA THERAPEUTICS, INC.</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AVITA Therapeutics is a regenerative medicine company with a technology platform positioned to address unmet medical needs in burns, chronic wounds, and aesthetics indications. AVITA Therapeutics’ patented and proprietary collection and application technology provides innovative treatment solutions derived from the regenerative properties of a patient’s own skin. The medical devices work by preparing a RES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AVITA Therapeutics’ first U.S. product, the RECELL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System, was approved by the U.S. Food and Drug Administration (FDA) in September 2018. The RECELL System is indicated for use in the treatment of acute thermal burns in patients 18 years and older. The RECELL System is used to prepare Spray-On Skin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8,000 patients globally, reinforce that the RECELL System is a significant advancement over the current standard of care for burn patients and offers benefits in clinical outcomes and cost savings. Healthcare professionals should read the INSTRUCTIONS FOR USE—RECELL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Autologous Cell Harvesting Device (https://recellsystem.com/) for a full description of indications for use and important safety information including contraindications, warnings and precautions.</w:t>
      </w:r>
    </w:p>
    <w:p>
      <w:pPr>
        <w:spacing w:after="0" w:line="18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In international markets, our products are marketed under the RECELL System brand to promote skin healing in a wide range of applications including burns, chronic wounds and aesthetics. The RECELL System is TGA-registered in Australia and received CE-mark approval in Europe. To learn more, visit </w:t>
      </w:r>
      <w:r>
        <w:rPr>
          <w:rFonts w:ascii="Times New Roman" w:cs="Times New Roman" w:eastAsia="Times New Roman" w:hAnsi="Times New Roman"/>
          <w:sz w:val="18"/>
          <w:szCs w:val="18"/>
          <w:u w:val="single" w:color="auto"/>
          <w:color w:val="auto"/>
        </w:rPr>
        <w:t>www.avitamedical.com</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This letter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letter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 looking statement contained in this letter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letter. Investors are encouraged to read our publicly available filings for a discussion of these and other risks and uncertainties. The forward-looking statements in this letter speak only as of the date of this release, and we undertake no obligation to update or revise any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6995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AVITA Therapeutics, Inc. (ARBN 641 28 155) c/o Mertons Corporate Services Pty Ltd Level 7, 330 Collins Street, Melbourne Victoria 3000</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w:t>
      </w:r>
    </w:p>
    <w:p>
      <w:pPr>
        <w:sectPr>
          <w:pgSz w:w="11900" w:h="16838" w:orient="portrait"/>
          <w:cols w:equalWidth="0" w:num="1">
            <w:col w:w="11020"/>
          </w:cols>
          <w:pgMar w:left="440" w:top="266"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FURTHER INFORMATION:</w:t>
            </w:r>
          </w:p>
        </w:tc>
        <w:tc>
          <w:tcPr>
            <w:tcW w:w="15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437"/>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Media</w:t>
            </w:r>
          </w:p>
        </w:tc>
        <w:tc>
          <w:tcPr>
            <w:tcW w:w="3880" w:type="dxa"/>
            <w:vAlign w:val="bottom"/>
            <w:gridSpan w:val="2"/>
          </w:tcPr>
          <w:p>
            <w:pPr>
              <w:ind w:left="1520"/>
              <w:spacing w:after="0"/>
              <w:rPr>
                <w:sz w:val="20"/>
                <w:szCs w:val="20"/>
                <w:color w:val="auto"/>
              </w:rPr>
            </w:pPr>
            <w:r>
              <w:rPr>
                <w:rFonts w:ascii="Times New Roman" w:cs="Times New Roman" w:eastAsia="Times New Roman" w:hAnsi="Times New Roman"/>
                <w:sz w:val="18"/>
                <w:szCs w:val="18"/>
                <w:b w:val="1"/>
                <w:bCs w:val="1"/>
                <w:color w:val="auto"/>
              </w:rPr>
              <w:t>Investors</w:t>
            </w:r>
          </w:p>
        </w:tc>
      </w:tr>
      <w:tr>
        <w:trPr>
          <w:trHeight w:val="220"/>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Sam Brown, Inc.</w:t>
            </w:r>
          </w:p>
        </w:tc>
        <w:tc>
          <w:tcPr>
            <w:tcW w:w="3880" w:type="dxa"/>
            <w:vAlign w:val="bottom"/>
            <w:gridSpan w:val="2"/>
          </w:tcPr>
          <w:p>
            <w:pPr>
              <w:ind w:left="1520"/>
              <w:spacing w:after="0"/>
              <w:rPr>
                <w:sz w:val="20"/>
                <w:szCs w:val="20"/>
                <w:color w:val="auto"/>
              </w:rPr>
            </w:pPr>
            <w:r>
              <w:rPr>
                <w:rFonts w:ascii="Times New Roman" w:cs="Times New Roman" w:eastAsia="Times New Roman" w:hAnsi="Times New Roman"/>
                <w:sz w:val="18"/>
                <w:szCs w:val="18"/>
                <w:b w:val="1"/>
                <w:bCs w:val="1"/>
                <w:color w:val="auto"/>
              </w:rPr>
              <w:t>Westwicke Partners</w:t>
            </w: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Christy Curran</w:t>
            </w:r>
          </w:p>
        </w:tc>
        <w:tc>
          <w:tcPr>
            <w:tcW w:w="38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Caroline Corner</w:t>
            </w: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Phone +1 615 414 8668</w:t>
            </w:r>
          </w:p>
        </w:tc>
        <w:tc>
          <w:tcPr>
            <w:tcW w:w="38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Phone +1 415 202 5678</w:t>
            </w:r>
          </w:p>
        </w:tc>
      </w:tr>
      <w:tr>
        <w:trPr>
          <w:trHeight w:val="194"/>
        </w:trPr>
        <w:tc>
          <w:tcPr>
            <w:tcW w:w="22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9"/>
              </w:rPr>
              <w:t>christycurran@sambrown.com</w:t>
            </w:r>
          </w:p>
        </w:tc>
        <w:tc>
          <w:tcPr>
            <w:tcW w:w="2000" w:type="dxa"/>
            <w:vAlign w:val="bottom"/>
          </w:tcPr>
          <w:p>
            <w:pPr>
              <w:spacing w:after="0"/>
              <w:rPr>
                <w:sz w:val="16"/>
                <w:szCs w:val="16"/>
                <w:color w:val="auto"/>
              </w:rPr>
            </w:pPr>
          </w:p>
        </w:tc>
        <w:tc>
          <w:tcPr>
            <w:tcW w:w="3880" w:type="dxa"/>
            <w:vAlign w:val="bottom"/>
            <w:gridSpan w:val="2"/>
          </w:tcPr>
          <w:p>
            <w:pPr>
              <w:ind w:left="1520"/>
              <w:spacing w:after="0" w:line="194" w:lineRule="exact"/>
              <w:rPr>
                <w:sz w:val="20"/>
                <w:szCs w:val="20"/>
                <w:color w:val="auto"/>
              </w:rPr>
            </w:pPr>
            <w:r>
              <w:rPr>
                <w:rFonts w:ascii="Times New Roman" w:cs="Times New Roman" w:eastAsia="Times New Roman" w:hAnsi="Times New Roman"/>
                <w:sz w:val="18"/>
                <w:szCs w:val="18"/>
                <w:color w:val="auto"/>
                <w:w w:val="98"/>
              </w:rPr>
              <w:t>caroline.corner@westwicke.com</w:t>
            </w:r>
          </w:p>
        </w:tc>
      </w:tr>
      <w:tr>
        <w:trPr>
          <w:trHeight w:val="20"/>
        </w:trPr>
        <w:tc>
          <w:tcPr>
            <w:tcW w:w="22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r>
    </w:tbl>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O.U.S Media</w:t>
            </w:r>
          </w:p>
        </w:tc>
        <w:tc>
          <w:tcPr>
            <w:tcW w:w="420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AVITA Therapeutics, Inc.</w:t>
            </w:r>
          </w:p>
        </w:tc>
      </w:tr>
      <w:tr>
        <w:trPr>
          <w:trHeight w:val="220"/>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Monsoon Communications</w:t>
            </w:r>
          </w:p>
        </w:tc>
        <w:tc>
          <w:tcPr>
            <w:tcW w:w="42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David McIntyre</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Rudi Michelson</w:t>
            </w:r>
          </w:p>
        </w:tc>
        <w:tc>
          <w:tcPr>
            <w:tcW w:w="42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Phone +61 (0)3 9620 3333</w:t>
            </w:r>
          </w:p>
        </w:tc>
        <w:tc>
          <w:tcPr>
            <w:tcW w:w="42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Phone +1 661 367 9178</w:t>
            </w:r>
          </w:p>
        </w:tc>
      </w:tr>
      <w:tr>
        <w:trPr>
          <w:trHeight w:val="194"/>
        </w:trPr>
        <w:tc>
          <w:tcPr>
            <w:tcW w:w="37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Mobile +61 (0)411 402 737</w:t>
            </w:r>
          </w:p>
        </w:tc>
        <w:tc>
          <w:tcPr>
            <w:tcW w:w="4200" w:type="dxa"/>
            <w:vAlign w:val="bottom"/>
            <w:gridSpan w:val="2"/>
          </w:tcPr>
          <w:p>
            <w:pPr>
              <w:ind w:left="2040"/>
              <w:spacing w:after="0" w:line="194" w:lineRule="exact"/>
              <w:rPr>
                <w:sz w:val="20"/>
                <w:szCs w:val="20"/>
                <w:color w:val="auto"/>
              </w:rPr>
            </w:pPr>
            <w:r>
              <w:rPr>
                <w:rFonts w:ascii="Times New Roman" w:cs="Times New Roman" w:eastAsia="Times New Roman" w:hAnsi="Times New Roman"/>
                <w:sz w:val="18"/>
                <w:szCs w:val="18"/>
                <w:color w:val="auto"/>
                <w:w w:val="98"/>
              </w:rPr>
              <w:t>dmcintyre@avitamedical.com</w:t>
            </w:r>
          </w:p>
        </w:tc>
      </w:tr>
      <w:tr>
        <w:trPr>
          <w:trHeight w:val="196"/>
        </w:trPr>
        <w:tc>
          <w:tcPr>
            <w:tcW w:w="3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rudim@monsoon.com.au</w:t>
            </w:r>
          </w:p>
        </w:tc>
        <w:tc>
          <w:tcPr>
            <w:tcW w:w="2040" w:type="dxa"/>
            <w:vAlign w:val="bottom"/>
          </w:tcPr>
          <w:p>
            <w:pPr>
              <w:spacing w:after="0"/>
              <w:rPr>
                <w:sz w:val="17"/>
                <w:szCs w:val="17"/>
                <w:color w:val="auto"/>
              </w:rPr>
            </w:pPr>
          </w:p>
        </w:tc>
        <w:tc>
          <w:tcPr>
            <w:tcW w:w="2160" w:type="dxa"/>
            <w:vAlign w:val="bottom"/>
            <w:tcBorders>
              <w:top w:val="single" w:sz="8" w:color="auto"/>
            </w:tcBorders>
          </w:tcPr>
          <w:p>
            <w:pPr>
              <w:spacing w:after="0"/>
              <w:rPr>
                <w:sz w:val="17"/>
                <w:szCs w:val="17"/>
                <w:color w:val="auto"/>
              </w:rPr>
            </w:pPr>
          </w:p>
        </w:tc>
      </w:tr>
      <w:tr>
        <w:trPr>
          <w:trHeight w:val="466"/>
        </w:trPr>
        <w:tc>
          <w:tcPr>
            <w:tcW w:w="1820" w:type="dxa"/>
            <w:vAlign w:val="bottom"/>
            <w:tcBorders>
              <w:top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204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 # #</w:t>
            </w:r>
          </w:p>
        </w:tc>
        <w:tc>
          <w:tcPr>
            <w:tcW w:w="2160" w:type="dxa"/>
            <w:vAlign w:val="bottom"/>
          </w:tcPr>
          <w:p>
            <w:pPr>
              <w:spacing w:after="0"/>
              <w:rPr>
                <w:sz w:val="24"/>
                <w:szCs w:val="24"/>
                <w:color w:val="auto"/>
              </w:rPr>
            </w:pPr>
          </w:p>
        </w:tc>
      </w:tr>
    </w:tbl>
    <w:p>
      <w:pPr>
        <w:spacing w:after="0" w:line="198"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7"/>
          <w:szCs w:val="17"/>
          <w:color w:val="auto"/>
        </w:rPr>
        <w:t>PR20201030a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AVITA Therapeutics, Inc. (ARBN 641 28 155) c/o Mertons Corporate Services Pty Ltd Level 7, 330 Collins Street, Melbourne Victoria 3000</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2020-11-05T05:29:06Z</dcterms:created>
  <dcterms:modified xsi:type="dcterms:W3CDTF">2020-11-05T05:29:06Z</dcterms:modified>
</cp:coreProperties>
</file>