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October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AVITA Medical,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000" w:type="dxa"/>
            <w:vAlign w:val="bottom"/>
          </w:tcPr>
          <w:p>
            <w:pPr>
              <w:jc w:val="center"/>
              <w:ind w:right="600"/>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right"/>
              <w:ind w:right="1321"/>
              <w:spacing w:after="0"/>
              <w:rPr>
                <w:sz w:val="20"/>
                <w:szCs w:val="20"/>
                <w:color w:val="auto"/>
              </w:rPr>
            </w:pPr>
            <w:r>
              <w:rPr>
                <w:rFonts w:ascii="Arial" w:cs="Arial" w:eastAsia="Arial" w:hAnsi="Arial"/>
                <w:sz w:val="18"/>
                <w:szCs w:val="18"/>
                <w:b w:val="1"/>
                <w:bCs w:val="1"/>
                <w:color w:val="auto"/>
              </w:rPr>
              <w:t>001-39059</w:t>
            </w:r>
          </w:p>
        </w:tc>
        <w:tc>
          <w:tcPr>
            <w:tcW w:w="2040" w:type="dxa"/>
            <w:vAlign w:val="bottom"/>
          </w:tcPr>
          <w:p>
            <w:pPr>
              <w:jc w:val="right"/>
              <w:ind w:right="4"/>
              <w:spacing w:after="0"/>
              <w:rPr>
                <w:sz w:val="20"/>
                <w:szCs w:val="20"/>
                <w:color w:val="auto"/>
              </w:rPr>
            </w:pPr>
            <w:r>
              <w:rPr>
                <w:rFonts w:ascii="Arial" w:cs="Arial" w:eastAsia="Arial" w:hAnsi="Arial"/>
                <w:sz w:val="18"/>
                <w:szCs w:val="18"/>
                <w:b w:val="1"/>
                <w:bCs w:val="1"/>
                <w:color w:val="auto"/>
              </w:rPr>
              <w:t>85-1021707</w:t>
            </w:r>
          </w:p>
        </w:tc>
      </w:tr>
      <w:tr>
        <w:trPr>
          <w:trHeight w:val="149"/>
        </w:trPr>
        <w:tc>
          <w:tcPr>
            <w:tcW w:w="3000" w:type="dxa"/>
            <w:vAlign w:val="bottom"/>
          </w:tcPr>
          <w:p>
            <w:pPr>
              <w:jc w:val="center"/>
              <w:ind w:right="600"/>
              <w:spacing w:after="0"/>
              <w:rPr>
                <w:sz w:val="20"/>
                <w:szCs w:val="20"/>
                <w:color w:val="auto"/>
              </w:rPr>
            </w:pPr>
            <w:r>
              <w:rPr>
                <w:rFonts w:ascii="Arial" w:cs="Arial" w:eastAsia="Arial" w:hAnsi="Arial"/>
                <w:sz w:val="13"/>
                <w:szCs w:val="13"/>
                <w:b w:val="1"/>
                <w:bCs w:val="1"/>
                <w:color w:val="auto"/>
                <w:w w:val="95"/>
              </w:rPr>
              <w:t>(State or Other Jurisdiction</w:t>
            </w:r>
          </w:p>
        </w:tc>
        <w:tc>
          <w:tcPr>
            <w:tcW w:w="3260" w:type="dxa"/>
            <w:vAlign w:val="bottom"/>
          </w:tcPr>
          <w:p>
            <w:pPr>
              <w:jc w:val="center"/>
              <w:ind w:right="241"/>
              <w:spacing w:after="0"/>
              <w:rPr>
                <w:sz w:val="20"/>
                <w:szCs w:val="20"/>
                <w:color w:val="auto"/>
              </w:rPr>
            </w:pPr>
            <w:r>
              <w:rPr>
                <w:rFonts w:ascii="Arial" w:cs="Arial" w:eastAsia="Arial" w:hAnsi="Arial"/>
                <w:sz w:val="13"/>
                <w:szCs w:val="13"/>
                <w:b w:val="1"/>
                <w:bCs w:val="1"/>
                <w:color w:val="auto"/>
                <w:w w:val="95"/>
              </w:rPr>
              <w:t>(Commission File Number)</w:t>
            </w: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000" w:type="dxa"/>
            <w:vAlign w:val="bottom"/>
          </w:tcPr>
          <w:p>
            <w:pPr>
              <w:jc w:val="center"/>
              <w:ind w:right="600"/>
              <w:spacing w:after="0"/>
              <w:rPr>
                <w:sz w:val="20"/>
                <w:szCs w:val="20"/>
                <w:color w:val="auto"/>
              </w:rPr>
            </w:pPr>
            <w:r>
              <w:rPr>
                <w:rFonts w:ascii="Arial" w:cs="Arial" w:eastAsia="Arial" w:hAnsi="Arial"/>
                <w:sz w:val="13"/>
                <w:szCs w:val="13"/>
                <w:b w:val="1"/>
                <w:bCs w:val="1"/>
                <w:color w:val="auto"/>
                <w:w w:val="96"/>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Identification No.)</w:t>
            </w:r>
          </w:p>
        </w:tc>
      </w:tr>
      <w:tr>
        <w:trPr>
          <w:trHeight w:val="428"/>
        </w:trPr>
        <w:tc>
          <w:tcPr>
            <w:tcW w:w="3000" w:type="dxa"/>
            <w:vAlign w:val="bottom"/>
          </w:tcPr>
          <w:p>
            <w:pPr>
              <w:jc w:val="center"/>
              <w:ind w:right="620"/>
              <w:spacing w:after="0"/>
              <w:rPr>
                <w:sz w:val="20"/>
                <w:szCs w:val="20"/>
                <w:color w:val="auto"/>
              </w:rPr>
            </w:pPr>
            <w:r>
              <w:rPr>
                <w:rFonts w:ascii="Arial" w:cs="Arial" w:eastAsia="Arial" w:hAnsi="Arial"/>
                <w:sz w:val="18"/>
                <w:szCs w:val="18"/>
                <w:b w:val="1"/>
                <w:bCs w:val="1"/>
                <w:color w:val="auto"/>
                <w:w w:val="89"/>
              </w:rPr>
              <w:t>28159 Avenue Stanford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20"/>
              <w:spacing w:after="0"/>
              <w:rPr>
                <w:sz w:val="20"/>
                <w:szCs w:val="20"/>
                <w:color w:val="auto"/>
              </w:rPr>
            </w:pPr>
            <w:r>
              <w:rPr>
                <w:rFonts w:ascii="Arial" w:cs="Arial" w:eastAsia="Arial" w:hAnsi="Arial"/>
                <w:sz w:val="18"/>
                <w:szCs w:val="18"/>
                <w:b w:val="1"/>
                <w:bCs w:val="1"/>
                <w:color w:val="auto"/>
                <w:w w:val="88"/>
              </w:rPr>
              <w:t>Suite 220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4"/>
        </w:trPr>
        <w:tc>
          <w:tcPr>
            <w:tcW w:w="3000" w:type="dxa"/>
            <w:vAlign w:val="bottom"/>
          </w:tcPr>
          <w:p>
            <w:pPr>
              <w:jc w:val="center"/>
              <w:ind w:right="600"/>
              <w:spacing w:after="0"/>
              <w:rPr>
                <w:sz w:val="20"/>
                <w:szCs w:val="20"/>
                <w:color w:val="auto"/>
              </w:rPr>
            </w:pPr>
            <w:r>
              <w:rPr>
                <w:rFonts w:ascii="Arial" w:cs="Arial" w:eastAsia="Arial" w:hAnsi="Arial"/>
                <w:sz w:val="18"/>
                <w:szCs w:val="18"/>
                <w:b w:val="1"/>
                <w:bCs w:val="1"/>
                <w:color w:val="auto"/>
                <w:w w:val="91"/>
              </w:rPr>
              <w:t>Valencia, California</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Arial" w:cs="Arial" w:eastAsia="Arial" w:hAnsi="Arial"/>
                <w:sz w:val="18"/>
                <w:szCs w:val="18"/>
                <w:b w:val="1"/>
                <w:bCs w:val="1"/>
                <w:color w:val="auto"/>
              </w:rPr>
              <w:t>91355</w:t>
            </w:r>
          </w:p>
        </w:tc>
      </w:tr>
      <w:tr>
        <w:trPr>
          <w:trHeight w:val="175"/>
        </w:trPr>
        <w:tc>
          <w:tcPr>
            <w:tcW w:w="3000" w:type="dxa"/>
            <w:vAlign w:val="bottom"/>
          </w:tcPr>
          <w:p>
            <w:pPr>
              <w:jc w:val="center"/>
              <w:ind w:right="600"/>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9"/>
              </w:rPr>
              <w:t>(Zip Code)</w:t>
            </w:r>
          </w:p>
        </w:tc>
      </w:tr>
    </w:tbl>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661 367-9170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255905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5"/>
              </w:rPr>
              <w:t>RCEL</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18, 2023 (the “Closing Date”), AVITA Medical, Inc. (the “Company”) entered into a Credit Agreement (the “Credit Agreement”), by and between the Company, as borrower, and an affiliate of OrbiMed as the lender and administrative agent (the “Lender”). The Credit Agreement provides for a five-year senior secured credit facility in an aggregate principal amount of up to $90 million (the “Loan Facility”), of which (i) $40 million was made available on the Closing Date (the “Initial Commitment Amount”), (ii) $25 million will be made available, at the Company’s discretion, on or prior to December 31, 2024, subject to certain net revenue requirements, and (iii) $25 million will be made available, at the Company’s discretion, on or prior to June 30, 2025, subject to certain net revenue requirements. On October 18, 2023, the Company closed on the Initial Commitment Amount, less certain fees and expenses payable to or on behalf of the Lender.</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 obligations under the Credit Agreement will be guaranteed by all of the Company’s wholly owned subsidiaries (subject to certain exceptions) and secured by substantially all of the Company's and each guarantor's assets. If, for any quarter until the maturity date of the Loan Facility, the Company’s net revenue does not equal or exceed the applicable trailing twelve-month amount as set forth in the Credit Agreement, then the Company shall repay in equal quarterly installments equal to 5.0% of the outstanding principal amount of the Loan Facility on the date the net revenue amount was not satisfied, together with a repayment premium and other fees. The Company shall repay amounts outstanding under the Loan Facility in full immediately upon an acceleration as a result of an event of default as set forth in the Credit Agreement, together with a repayment premium and other fees.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term of the Loan Facility, interest payable in cash by the Company shall accrue on any outstanding amounts under the Loan Facility at a rate per annum equal to the greater of (x) the SOFR rate for such period and (y) 4.00% plus, in either case, 8.00%. During an event of default, any outstanding amount under the Loan Facility will bear interest at a rate of 4.00% in excess of the otherwise applicable rate of interest. The Company will pay certain fees with respect to the Loan Facility, including an upfront fee, an unused fee on the undrawn portion of the Loan Facility, an administration fee, a repayment premium and an exit fee, as well as certain other fees and expenses of the Lender.</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contains certain customary events of default, including with respect to nonpayment of principal, interest, fees or other amounts; material inaccuracy of a representation or warranty; failure to perform or observe covenants; material defaults on other indebtedness; bankruptcy and insolvency events; material monetary judgments; loss of certain key permits, persons and contracts; material adverse effects; certain regulatory matters; and any change of control.</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Each of the Credit Agreement and a Pledge and Security Agreement entered into by the Company, the guarantors and the Lender on October 18, 2023 (the “Pledge and Security Agreement”) contains a number of customary representations, warranties and covenants that, among other things, will limit or restrict the ability of the Company and its subsidiaries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their capital stock; amend certain material documents; redeem or repurchase certain debt; engage in certain transactions with affiliates; and enter into certain restrictive agreements. In addition, the Company and guarantors will be required to maintain at least $10 million of unrestricted cash and cash equivalents.</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the Closing Date, the Company issued to an affiliate of the Lender a warrant (the “Warrant”) to purchase up to 409,661 shares of the Company’s common stock, par value $0.0001 per share (“Common Stock”), at an exercise price of $10.9847 per share, with a term of 10 years from the issuance date. The Warrant contains customary share adjustment provisions, as well as weighted average price protection in certain circumstances. The Warrant and the underlying shares of Common Stock (the “Warrant Shares”) will be registered pursuant to the Company’s Registration Statement on Form S-3 (File No. 333-271276) that became effective April 25, 2023 (the “Registration Statement”). The Company filed a prospectus supplement in connection with the registration of the Warrant and the Warrant Shares on October 18, 2023. A copy of the opinion of K&amp;L Gates LLP relating to the legality of the issuance and sale of the Warrant and the Warrant Shares is attached as Exhibit 5.1 hereto.</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Current Report on Form 8-K shall not constitute an offer to sell or the solicitation of an offer to buy the Warrant or the Warrant Shares, nor shall there be any offer, solicitation or sale of the Warrant or Warrant Shares in any state or country in which such offer, solicitation or sale would be unlawful prior to registration or qualification under the securities laws of any such state or country.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description of the terms of the Credit Agreement, the Pledge and Security Agreement, and the Warrant are not intended to be complete and are qualified in their entirety by reference to the Credit Agreement, the Pledge and Security Agreement, and the Warrant, copies of which are attached hereto as Exhibit 10.1, 10.2, and 4.1, respectively,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18, 2023, the Company issued a press release announcing the Credit Agreement and also announced certain preliminary unaudited results for the quarter ended September 30, 2023. A copy of the press release announcing the transaction and such preliminary results is attached hereto as Exhibit 99.1.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under this Item 2.02 and Exhibit 99.1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under the heading “Credit Agreement” is incorporated by reference into this Item 2.03.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9" w:lineRule="exact"/>
        <w:rPr>
          <w:sz w:val="20"/>
          <w:szCs w:val="20"/>
          <w:color w:val="auto"/>
        </w:rPr>
      </w:pPr>
    </w:p>
    <w:p>
      <w:pPr>
        <w:ind w:left="760" w:right="1720" w:hanging="647"/>
        <w:spacing w:after="0" w:line="266" w:lineRule="auto"/>
        <w:tabs>
          <w:tab w:leader="none" w:pos="7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u w:val="single" w:color="auto"/>
          <w:color w:val="0000FF"/>
        </w:rPr>
        <w:t>Warrant Certificate, dated October 18, 2023, by and between the Company, and OrbiMed Royalty &amp; Credit Opportunities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61290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29020" cy="291465"/>
                    </a:xfrm>
                    <a:prstGeom prst="rect">
                      <a:avLst/>
                    </a:prstGeom>
                    <a:noFill/>
                  </pic:spPr>
                </pic:pic>
              </a:graphicData>
            </a:graphic>
          </wp:anchor>
        </w:drawing>
      </w:r>
    </w:p>
    <w:p>
      <w:pPr>
        <w:ind w:left="120"/>
        <w:spacing w:after="0"/>
        <w:tabs>
          <w:tab w:leader="none" w:pos="7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0000FF"/>
        </w:rPr>
        <w:t>Opinion of K&amp;L Gates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-10160</wp:posOffset>
            </wp:positionV>
            <wp:extent cx="13169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16" w:lineRule="exact"/>
        <w:rPr>
          <w:sz w:val="20"/>
          <w:szCs w:val="20"/>
          <w:color w:val="auto"/>
        </w:rPr>
      </w:pPr>
    </w:p>
    <w:p>
      <w:pPr>
        <w:ind w:left="760" w:right="1740" w:hanging="647"/>
        <w:spacing w:after="0" w:line="266" w:lineRule="auto"/>
        <w:tabs>
          <w:tab w:leader="none" w:pos="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0000FF"/>
        </w:rPr>
        <w:t>Credit Agreement, dated October 18, 2023, by and between the Company, as borrower, and ORCO IV LLC as lender and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61290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29020" cy="291465"/>
                    </a:xfrm>
                    <a:prstGeom prst="rect">
                      <a:avLst/>
                    </a:prstGeom>
                    <a:noFill/>
                  </pic:spPr>
                </pic:pic>
              </a:graphicData>
            </a:graphic>
          </wp:anchor>
        </w:drawing>
      </w:r>
    </w:p>
    <w:p>
      <w:pPr>
        <w:ind w:left="120"/>
        <w:spacing w:after="0"/>
        <w:tabs>
          <w:tab w:leader="none" w:pos="7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0000FF"/>
        </w:rPr>
        <w:t>Pledge and Security Agreement, dated October 18, 2023, by and among the Company, the guarantors party thereto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-10160</wp:posOffset>
            </wp:positionV>
            <wp:extent cx="54559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5920" cy="8255"/>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0000FF"/>
        </w:rPr>
        <w:t>ORCO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-19050</wp:posOffset>
            </wp:positionV>
            <wp:extent cx="73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2"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FF"/>
        </w:rPr>
        <w:t>Consent of K&amp;L Gates LLP with respect to Exhibit 5.1 (included in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1290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29020" cy="154305"/>
                    </a:xfrm>
                    <a:prstGeom prst="rect">
                      <a:avLst/>
                    </a:prstGeom>
                    <a:noFill/>
                  </pic:spPr>
                </pic:pic>
              </a:graphicData>
            </a:graphic>
          </wp:anchor>
        </w:drawing>
      </w:r>
    </w:p>
    <w:p>
      <w:pPr>
        <w:spacing w:after="0" w:line="16"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Press Release, dated October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-10160</wp:posOffset>
            </wp:positionV>
            <wp:extent cx="17545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54505" cy="8255"/>
                    </a:xfrm>
                    <a:prstGeom prst="rect">
                      <a:avLst/>
                    </a:prstGeom>
                    <a:noFill/>
                  </pic:spPr>
                </pic:pic>
              </a:graphicData>
            </a:graphic>
          </wp:anchor>
        </w:drawing>
      </w:r>
    </w:p>
    <w:p>
      <w:pPr>
        <w:spacing w:after="0" w:line="16"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1290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290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AVITA MEDICAL, INC.</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Donna Shiroma</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4.1</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WARRANT CERTIFICATE</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color w:val="auto"/>
        </w:rPr>
        <w:t>Warrant Shares Issuable: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409,661 Common Shares</w:t>
      </w:r>
    </w:p>
    <w:p>
      <w:pPr>
        <w:spacing w:after="0" w:line="200" w:lineRule="exact"/>
        <w:rPr>
          <w:sz w:val="20"/>
          <w:szCs w:val="20"/>
          <w:color w:val="auto"/>
        </w:rPr>
      </w:pPr>
    </w:p>
    <w:p>
      <w:pPr>
        <w:sectPr>
          <w:pgSz w:w="11900" w:h="16838" w:orient="portrait"/>
          <w:cols w:equalWidth="0" w:num="2">
            <w:col w:w="2160" w:space="440"/>
            <w:col w:w="86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Issue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October 18, 2023</w:t>
      </w:r>
    </w:p>
    <w:p>
      <w:pPr>
        <w:spacing w:after="0" w:line="200" w:lineRule="exact"/>
        <w:rPr>
          <w:sz w:val="20"/>
          <w:szCs w:val="20"/>
          <w:color w:val="auto"/>
        </w:rPr>
      </w:pPr>
    </w:p>
    <w:p>
      <w:pPr>
        <w:sectPr>
          <w:pgSz w:w="11900" w:h="16838" w:orient="portrait"/>
          <w:cols w:equalWidth="0" w:num="2">
            <w:col w:w="1440" w:space="720"/>
            <w:col w:w="9080"/>
          </w:cols>
          <w:pgMar w:left="320" w:top="112" w:right="339" w:bottom="1440" w:gutter="0" w:footer="0" w:header="0"/>
          <w:type w:val="continuous"/>
        </w:sectPr>
      </w:pPr>
    </w:p>
    <w:p>
      <w:pPr>
        <w:spacing w:after="0" w:line="41"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FOR VALUE RECEIVED, AVITA MEDICAL,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hereby certifies that ORBIMED ROYALTY &amp; CREDIT OPPORTUNITIES IV, LP, a Delaware limited partnership (the “</w:t>
      </w:r>
      <w:r>
        <w:rPr>
          <w:rFonts w:ascii="Arial" w:cs="Arial" w:eastAsia="Arial" w:hAnsi="Arial"/>
          <w:sz w:val="19"/>
          <w:szCs w:val="19"/>
          <w:b w:val="1"/>
          <w:bCs w:val="1"/>
          <w:i w:val="1"/>
          <w:iCs w:val="1"/>
          <w:color w:val="auto"/>
        </w:rPr>
        <w:t>Initial Holder</w:t>
      </w:r>
      <w:r>
        <w:rPr>
          <w:rFonts w:ascii="Arial" w:cs="Arial" w:eastAsia="Arial" w:hAnsi="Arial"/>
          <w:sz w:val="19"/>
          <w:szCs w:val="19"/>
          <w:color w:val="auto"/>
        </w:rPr>
        <w:t>” and, together with its successors and permitted transferees and assigns, a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entitled to purchase, at the per share Exercise Price, up to Four-Hundred and Nine Thousand Six-Hundred and Sixty-One (409,661) fully paid and nonassessable Common Shares (as subject to adjustment hereunder, the “</w:t>
      </w:r>
      <w:r>
        <w:rPr>
          <w:rFonts w:ascii="Arial" w:cs="Arial" w:eastAsia="Arial" w:hAnsi="Arial"/>
          <w:sz w:val="19"/>
          <w:szCs w:val="19"/>
          <w:b w:val="1"/>
          <w:bCs w:val="1"/>
          <w:i w:val="1"/>
          <w:iCs w:val="1"/>
          <w:color w:val="auto"/>
        </w:rPr>
        <w:t>Warrant Shares</w:t>
      </w:r>
      <w:r>
        <w:rPr>
          <w:rFonts w:ascii="Arial" w:cs="Arial" w:eastAsia="Arial" w:hAnsi="Arial"/>
          <w:sz w:val="19"/>
          <w:szCs w:val="19"/>
          <w:color w:val="auto"/>
        </w:rPr>
        <w:t xml:space="preserve">”), all subject to the terms, conditions and adjustments set forth below in this Warrant Certificate. Certain capitalized terms used herein are defined in </w:t>
      </w:r>
      <w:r>
        <w:rPr>
          <w:rFonts w:ascii="Arial" w:cs="Arial" w:eastAsia="Arial" w:hAnsi="Arial"/>
          <w:sz w:val="19"/>
          <w:szCs w:val="19"/>
          <w:b w:val="1"/>
          <w:bCs w:val="1"/>
          <w:color w:val="auto"/>
        </w:rPr>
        <w:t>Section 1</w:t>
      </w:r>
      <w:r>
        <w:rPr>
          <w:rFonts w:ascii="Arial" w:cs="Arial" w:eastAsia="Arial" w:hAnsi="Arial"/>
          <w:sz w:val="19"/>
          <w:szCs w:val="19"/>
          <w:color w:val="auto"/>
        </w:rPr>
        <w:t>. For the avoidance of doubt, only Common Shares are entitled to be purchased upon exercise of this Warrant Certificate, not CDIs.</w:t>
      </w:r>
    </w:p>
    <w:p>
      <w:pPr>
        <w:spacing w:after="0" w:line="152"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This Warrant Certificate has been issued as a condition precedent to the making of loans under and pursuant to the Credit Agreement, dated as of October 18, 2023 (as amended or otherwise modified from time to time, the “</w:t>
      </w:r>
      <w:r>
        <w:rPr>
          <w:rFonts w:ascii="Arial" w:cs="Arial" w:eastAsia="Arial" w:hAnsi="Arial"/>
          <w:sz w:val="19"/>
          <w:szCs w:val="19"/>
          <w:b w:val="1"/>
          <w:bCs w:val="1"/>
          <w:i w:val="1"/>
          <w:iCs w:val="1"/>
          <w:color w:val="auto"/>
        </w:rPr>
        <w:t>Credit Agreement</w:t>
      </w:r>
      <w:r>
        <w:rPr>
          <w:rFonts w:ascii="Arial" w:cs="Arial" w:eastAsia="Arial" w:hAnsi="Arial"/>
          <w:sz w:val="19"/>
          <w:szCs w:val="19"/>
          <w:color w:val="auto"/>
        </w:rPr>
        <w:t>”), among the Company, as borrower, the lenders party thereto, and ORCO IV LLC, as administrative agent for the lenders.</w:t>
      </w:r>
    </w:p>
    <w:p>
      <w:pPr>
        <w:spacing w:after="0" w:line="128"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Section 1. Definitions. </w:t>
      </w:r>
      <w:r>
        <w:rPr>
          <w:rFonts w:ascii="Arial" w:cs="Arial" w:eastAsia="Arial" w:hAnsi="Arial"/>
          <w:sz w:val="22"/>
          <w:szCs w:val="22"/>
          <w:color w:val="auto"/>
        </w:rPr>
        <w:t>Capitalized terms used in this Warrant Certificate but not defined herein have the meanings ascribed</w:t>
      </w:r>
      <w:r>
        <w:rPr>
          <w:rFonts w:ascii="Arial" w:cs="Arial" w:eastAsia="Arial" w:hAnsi="Arial"/>
          <w:sz w:val="22"/>
          <w:szCs w:val="22"/>
          <w:b w:val="1"/>
          <w:bCs w:val="1"/>
          <w:color w:val="auto"/>
        </w:rPr>
        <w:t xml:space="preserve"> </w:t>
      </w:r>
      <w:r>
        <w:rPr>
          <w:rFonts w:ascii="Arial" w:cs="Arial" w:eastAsia="Arial" w:hAnsi="Arial"/>
          <w:sz w:val="22"/>
          <w:szCs w:val="22"/>
          <w:color w:val="auto"/>
        </w:rPr>
        <w:t>thereto in the Credit Agreement as in effect on the date hereof. The following terms when used herein have the following meanings:</w:t>
      </w:r>
    </w:p>
    <w:p>
      <w:pPr>
        <w:spacing w:after="0" w:line="183"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Aggregate Exercise Price</w:t>
      </w:r>
      <w:r>
        <w:rPr>
          <w:rFonts w:ascii="Arial" w:cs="Arial" w:eastAsia="Arial" w:hAnsi="Arial"/>
          <w:sz w:val="22"/>
          <w:szCs w:val="22"/>
          <w:color w:val="auto"/>
        </w:rPr>
        <w:t xml:space="preserve">” means, with respect to any exercise of this Warrant Certificate for Warrant Shares, an amount equal to the product of (i) the number of Warrant Shares in respect of which this Warrant Certificate is then being exercised pursuant to </w:t>
      </w:r>
      <w:r>
        <w:rPr>
          <w:rFonts w:ascii="Arial" w:cs="Arial" w:eastAsia="Arial" w:hAnsi="Arial"/>
          <w:sz w:val="22"/>
          <w:szCs w:val="22"/>
          <w:b w:val="1"/>
          <w:bCs w:val="1"/>
          <w:color w:val="auto"/>
        </w:rPr>
        <w:t>Section 3</w:t>
      </w:r>
      <w:r>
        <w:rPr>
          <w:rFonts w:ascii="Arial" w:cs="Arial" w:eastAsia="Arial" w:hAnsi="Arial"/>
          <w:sz w:val="22"/>
          <w:szCs w:val="22"/>
          <w:color w:val="auto"/>
        </w:rPr>
        <w:t>, multiplied by (ii) the Exercise Price.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ASIC</w:t>
      </w:r>
      <w:r>
        <w:rPr>
          <w:rFonts w:ascii="Arial" w:cs="Arial" w:eastAsia="Arial" w:hAnsi="Arial"/>
          <w:sz w:val="22"/>
          <w:szCs w:val="22"/>
          <w:color w:val="auto"/>
        </w:rPr>
        <w:t>” means the Australian Securities and Investments Commission.</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ASX</w:t>
      </w:r>
      <w:r>
        <w:rPr>
          <w:rFonts w:ascii="Arial" w:cs="Arial" w:eastAsia="Arial" w:hAnsi="Arial"/>
          <w:sz w:val="22"/>
          <w:szCs w:val="22"/>
          <w:color w:val="auto"/>
        </w:rPr>
        <w:t>” means the Australian Securities Exchange.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ASX Listing Rules"</w:t>
      </w:r>
      <w:r>
        <w:rPr>
          <w:rFonts w:ascii="Arial" w:cs="Arial" w:eastAsia="Arial" w:hAnsi="Arial"/>
          <w:sz w:val="22"/>
          <w:szCs w:val="22"/>
          <w:color w:val="auto"/>
        </w:rPr>
        <w:t xml:space="preserve"> means the listing rules of ASX from time to time.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Bloomberg</w:t>
      </w:r>
      <w:r>
        <w:rPr>
          <w:rFonts w:ascii="Arial" w:cs="Arial" w:eastAsia="Arial" w:hAnsi="Arial"/>
          <w:sz w:val="22"/>
          <w:szCs w:val="22"/>
          <w:color w:val="auto"/>
        </w:rPr>
        <w:t>” has the meaning set forth within the definition of “VWAP”.</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Cashless Exercise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3(b)</w:t>
      </w:r>
      <w:r>
        <w:rPr>
          <w:rFonts w:ascii="Arial" w:cs="Arial" w:eastAsia="Arial" w:hAnsi="Arial"/>
          <w:sz w:val="22"/>
          <w:szCs w:val="22"/>
          <w:color w:val="auto"/>
        </w:rPr>
        <w:t>.</w:t>
      </w:r>
    </w:p>
    <w:p>
      <w:pPr>
        <w:spacing w:after="0" w:line="22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CDIs</w:t>
      </w:r>
      <w:r>
        <w:rPr>
          <w:rFonts w:ascii="Arial" w:cs="Arial" w:eastAsia="Arial" w:hAnsi="Arial"/>
          <w:sz w:val="22"/>
          <w:szCs w:val="22"/>
          <w:color w:val="auto"/>
        </w:rPr>
        <w:t>” means CHESS Depositary Interests (with each CDI representing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a Common Share).</w:t>
      </w:r>
    </w:p>
    <w:p>
      <w:pPr>
        <w:spacing w:after="0" w:line="13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Charter</w:t>
      </w:r>
      <w:r>
        <w:rPr>
          <w:rFonts w:ascii="Arial" w:cs="Arial" w:eastAsia="Arial" w:hAnsi="Arial"/>
          <w:sz w:val="22"/>
          <w:szCs w:val="22"/>
          <w:color w:val="auto"/>
        </w:rPr>
        <w:t>” means the Certificate of Incorporation of the Company dated as of April 17, 2020, as amended as of November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429260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 w:name="page6"/>
    <w:bookmarkEnd w:id="5"/>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Common Shares</w:t>
      </w:r>
      <w:r>
        <w:rPr>
          <w:rFonts w:ascii="Arial" w:cs="Arial" w:eastAsia="Arial" w:hAnsi="Arial"/>
          <w:sz w:val="22"/>
          <w:szCs w:val="22"/>
          <w:color w:val="auto"/>
        </w:rPr>
        <w:t>” means the Company’s common stock, par value $0.0001 per share.</w:t>
      </w:r>
    </w:p>
    <w:p>
      <w:pPr>
        <w:spacing w:after="0" w:line="20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Common Shares Deemed Outstanding</w:t>
      </w:r>
      <w:r>
        <w:rPr>
          <w:rFonts w:ascii="Arial" w:cs="Arial" w:eastAsia="Arial" w:hAnsi="Arial"/>
          <w:sz w:val="19"/>
          <w:szCs w:val="19"/>
          <w:color w:val="auto"/>
        </w:rPr>
        <w:t>” means, at any given time, the sum of (i) the number of Common Shares (including any Common Shares represented by CDIs) actually outstanding at such time, plus (ii) the number of Common Shares (including any Common Shares to be represented by CDIs) issuable upon exercise of Options actually outstanding at such time, plus (iii) the number of Common Shares (including any Common Shares to be represented by CDIs) issuable upon conversion or exchange of Convertible Securities actually outstanding at such time (treating as actually outstanding any Convertible Securities issuable upon exercise of Options actually outstanding at such time), in each case, regardless of whether the Options or Convertible Securities are actually exercisable at such time; provided that Common Shares Deemed Outstanding at any given time shall not include shares owned or held by or for the account of the Company or any or its wholly owned subsidiaries.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Convertible Securities</w:t>
      </w:r>
      <w:r>
        <w:rPr>
          <w:rFonts w:ascii="Arial" w:cs="Arial" w:eastAsia="Arial" w:hAnsi="Arial"/>
          <w:sz w:val="22"/>
          <w:szCs w:val="22"/>
          <w:color w:val="auto"/>
        </w:rPr>
        <w:t>” means any Capital Securities that, directly or indirectly, are convertible into or exchangeable for Common Shares (including any Common Shares to be represented by CDIs), including shares of the Company’s preferred stock that may be issued from time to time.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"Corporations Act" </w:t>
      </w:r>
      <w:r>
        <w:rPr>
          <w:rFonts w:ascii="Arial" w:cs="Arial" w:eastAsia="Arial" w:hAnsi="Arial"/>
          <w:sz w:val="22"/>
          <w:szCs w:val="22"/>
          <w:color w:val="auto"/>
        </w:rPr>
        <w:t>means the Australian</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Corporations Act 2001</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(Cth).</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Credit Agreement</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Determination Date</w:t>
      </w:r>
      <w:r>
        <w:rPr>
          <w:rFonts w:ascii="Arial" w:cs="Arial" w:eastAsia="Arial" w:hAnsi="Arial"/>
          <w:sz w:val="22"/>
          <w:szCs w:val="22"/>
          <w:color w:val="auto"/>
        </w:rPr>
        <w:t>” has the meaning set forth in the definition of “VWAP”.</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Exercise Certificate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3(a)(i)</w:t>
      </w:r>
      <w:r>
        <w:rPr>
          <w:rFonts w:ascii="Arial" w:cs="Arial" w:eastAsia="Arial" w:hAnsi="Arial"/>
          <w:sz w:val="22"/>
          <w:szCs w:val="22"/>
          <w:color w:val="auto"/>
        </w:rPr>
        <w:t>.</w:t>
      </w:r>
    </w:p>
    <w:p>
      <w:pPr>
        <w:spacing w:after="0" w:line="21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Exercise Date</w:t>
      </w:r>
      <w:r>
        <w:rPr>
          <w:rFonts w:ascii="Arial" w:cs="Arial" w:eastAsia="Arial" w:hAnsi="Arial"/>
          <w:sz w:val="21"/>
          <w:szCs w:val="21"/>
          <w:color w:val="auto"/>
        </w:rPr>
        <w:t xml:space="preserve">” means, for any given exercise of this Warrant Certificate, whether in whole or in part, a Business Day on which the conditions to such exercise as set forth in </w:t>
      </w:r>
      <w:r>
        <w:rPr>
          <w:rFonts w:ascii="Arial" w:cs="Arial" w:eastAsia="Arial" w:hAnsi="Arial"/>
          <w:sz w:val="21"/>
          <w:szCs w:val="21"/>
          <w:b w:val="1"/>
          <w:bCs w:val="1"/>
          <w:color w:val="auto"/>
        </w:rPr>
        <w:t>Section 3</w:t>
      </w:r>
      <w:r>
        <w:rPr>
          <w:rFonts w:ascii="Arial" w:cs="Arial" w:eastAsia="Arial" w:hAnsi="Arial"/>
          <w:sz w:val="21"/>
          <w:szCs w:val="21"/>
          <w:color w:val="auto"/>
        </w:rPr>
        <w:t xml:space="preserve"> shall have been satisfied at or prior to 5:00 p.m., New York City time, including, without limitation, the receipt by the Company of the Exercise Certificate.</w:t>
      </w:r>
    </w:p>
    <w:p>
      <w:pPr>
        <w:spacing w:after="0" w:line="16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Exercise Period</w:t>
      </w:r>
      <w:r>
        <w:rPr>
          <w:rFonts w:ascii="Arial" w:cs="Arial" w:eastAsia="Arial" w:hAnsi="Arial"/>
          <w:sz w:val="22"/>
          <w:szCs w:val="22"/>
          <w:color w:val="auto"/>
        </w:rPr>
        <w:t>” means the period from (and including) the Issue Date to (and including) 5:00 p.m., New York City time, on the Expiration Date.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Exercise Price</w:t>
      </w:r>
      <w:r>
        <w:rPr>
          <w:rFonts w:ascii="Arial" w:cs="Arial" w:eastAsia="Arial" w:hAnsi="Arial"/>
          <w:sz w:val="22"/>
          <w:szCs w:val="22"/>
          <w:color w:val="auto"/>
        </w:rPr>
        <w:t xml:space="preserve">” means $10.9847, as adjusted from time to time pursuant to </w:t>
      </w:r>
      <w:r>
        <w:rPr>
          <w:rFonts w:ascii="Arial" w:cs="Arial" w:eastAsia="Arial" w:hAnsi="Arial"/>
          <w:sz w:val="22"/>
          <w:szCs w:val="22"/>
          <w:b w:val="1"/>
          <w:bCs w:val="1"/>
          <w:color w:val="auto"/>
        </w:rPr>
        <w:t>Section 4</w:t>
      </w:r>
      <w:r>
        <w:rPr>
          <w:rFonts w:ascii="Arial" w:cs="Arial" w:eastAsia="Arial" w:hAnsi="Arial"/>
          <w:sz w:val="22"/>
          <w:szCs w:val="22"/>
          <w:color w:val="auto"/>
        </w:rPr>
        <w: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Expiration Date</w:t>
      </w:r>
      <w:r>
        <w:rPr>
          <w:rFonts w:ascii="Arial" w:cs="Arial" w:eastAsia="Arial" w:hAnsi="Arial"/>
          <w:sz w:val="22"/>
          <w:szCs w:val="22"/>
          <w:color w:val="auto"/>
        </w:rPr>
        <w:t>” means October 18, 2033.</w:t>
      </w:r>
    </w:p>
    <w:p>
      <w:pPr>
        <w:spacing w:after="0" w:line="206"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means, if the Common Shares are traded on a Trading Market, (i) the VWAP of such Common Shares for such day (provided that if the Fair Market Value is being determined in connection with a Sale of the Company, such Fair Market Value shall be the greater of the amount determined pursuant to this clause (i) and the closing price on the Trading Market on the Trading Day immediately prior to the closing date of the Sale of the Company) or (ii) if there have been no sales of such Common Shares on any Trading Market on any such day, the average of the highest bid and lowest asked prices for such Common Shares on all applicable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 w:name="page7"/>
    <w:bookmarkEnd w:id="6"/>
    <w:p>
      <w:pPr>
        <w:jc w:val="both"/>
        <w:spacing w:after="0" w:line="282" w:lineRule="auto"/>
        <w:rPr>
          <w:sz w:val="20"/>
          <w:szCs w:val="20"/>
          <w:color w:val="auto"/>
        </w:rPr>
      </w:pPr>
      <w:r>
        <w:rPr>
          <w:rFonts w:ascii="Arial" w:cs="Arial" w:eastAsia="Arial" w:hAnsi="Arial"/>
          <w:sz w:val="19"/>
          <w:szCs w:val="19"/>
          <w:color w:val="auto"/>
        </w:rPr>
        <w:t>Trading Markets at the end of such day; provided that if at any time the Common Shares are not listed, quoted or otherwise available for trading on any Trading Market (so that no Trading Date shall have occurred), or if VWAP cannot be calculated for the Common Shares for such day for any other reason, the “</w:t>
      </w:r>
      <w:r>
        <w:rPr>
          <w:rFonts w:ascii="Arial" w:cs="Arial" w:eastAsia="Arial" w:hAnsi="Arial"/>
          <w:sz w:val="19"/>
          <w:szCs w:val="19"/>
          <w:b w:val="1"/>
          <w:bCs w:val="1"/>
          <w:i w:val="1"/>
          <w:iCs w:val="1"/>
          <w:color w:val="auto"/>
        </w:rPr>
        <w:t>Fair Market Value</w:t>
      </w:r>
      <w:r>
        <w:rPr>
          <w:rFonts w:ascii="Arial" w:cs="Arial" w:eastAsia="Arial" w:hAnsi="Arial"/>
          <w:sz w:val="19"/>
          <w:szCs w:val="19"/>
          <w:color w:val="auto"/>
        </w:rPr>
        <w:t xml:space="preserve">” of such Common Shares shall be the fair market value per share of such Common Shares as determined jointly by the Company and the Holder;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the event the Company and Holder are unable to so mutually agree, Fair Market Value shall be determined pursuant to </w:t>
      </w:r>
      <w:r>
        <w:rPr>
          <w:rFonts w:ascii="Arial" w:cs="Arial" w:eastAsia="Arial" w:hAnsi="Arial"/>
          <w:sz w:val="19"/>
          <w:szCs w:val="19"/>
          <w:b w:val="1"/>
          <w:bCs w:val="1"/>
          <w:color w:val="auto"/>
        </w:rPr>
        <w:t>Section 10(a)</w:t>
      </w:r>
      <w:r>
        <w:rPr>
          <w:rFonts w:ascii="Arial" w:cs="Arial" w:eastAsia="Arial" w:hAnsi="Arial"/>
          <w:sz w:val="19"/>
          <w:szCs w:val="19"/>
          <w:color w:val="auto"/>
        </w:rPr>
        <w:t>.</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Holder</w:t>
      </w:r>
      <w:r>
        <w:rPr>
          <w:rFonts w:ascii="Arial" w:cs="Arial" w:eastAsia="Arial" w:hAnsi="Arial"/>
          <w:sz w:val="22"/>
          <w:szCs w:val="22"/>
          <w:color w:val="auto"/>
        </w:rPr>
        <w:t>” has the meaning set forth in the preamble.</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Independent Advisor</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10(a)</w:t>
      </w:r>
      <w:r>
        <w:rPr>
          <w:rFonts w:ascii="Arial" w:cs="Arial" w:eastAsia="Arial" w:hAnsi="Arial"/>
          <w:sz w:val="22"/>
          <w:szCs w:val="22"/>
          <w:color w:val="auto"/>
        </w:rPr>
        <w: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Holder</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Issue Date</w:t>
      </w:r>
      <w:r>
        <w:rPr>
          <w:rFonts w:ascii="Arial" w:cs="Arial" w:eastAsia="Arial" w:hAnsi="Arial"/>
          <w:sz w:val="22"/>
          <w:szCs w:val="22"/>
          <w:color w:val="auto"/>
        </w:rPr>
        <w:t>” means the date designated as such on the first page of this Warrant Certificate.</w:t>
      </w:r>
    </w:p>
    <w:p>
      <w:pPr>
        <w:spacing w:after="0" w:line="20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Marketable Securities</w:t>
      </w:r>
      <w:r>
        <w:rPr>
          <w:rFonts w:ascii="Arial" w:cs="Arial" w:eastAsia="Arial" w:hAnsi="Arial"/>
          <w:sz w:val="19"/>
          <w:szCs w:val="19"/>
          <w:color w:val="auto"/>
        </w:rPr>
        <w:t xml:space="preserve">” means equity securities meeting each of the following requirements: (i) the issuer thereof is subject to the reporting requirements of Section 13 or Section 15(d) of the Exchange Act, and is current in its filing of all required reports and other information under the Securities Act and the Exchange Act; (ii) such equity securities are traded on a Trading Market; and (iii) if delivered (or to be delivered) as payment or compensation to the Holder in connection with an automatic Cashless Exercise pursuant to </w:t>
      </w:r>
      <w:r>
        <w:rPr>
          <w:rFonts w:ascii="Arial" w:cs="Arial" w:eastAsia="Arial" w:hAnsi="Arial"/>
          <w:sz w:val="19"/>
          <w:szCs w:val="19"/>
          <w:b w:val="1"/>
          <w:bCs w:val="1"/>
          <w:color w:val="auto"/>
        </w:rPr>
        <w:t>Section 3(c)</w:t>
      </w:r>
      <w:r>
        <w:rPr>
          <w:rFonts w:ascii="Arial" w:cs="Arial" w:eastAsia="Arial" w:hAnsi="Arial"/>
          <w:sz w:val="19"/>
          <w:szCs w:val="19"/>
          <w:color w:val="auto"/>
        </w:rPr>
        <w:t>, following the closing of the related Sale of the Company, the Holder would not be restricted from publicly re-selling all of such equity securities delivered to it.</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Nasdaq</w:t>
      </w:r>
      <w:r>
        <w:rPr>
          <w:rFonts w:ascii="Arial" w:cs="Arial" w:eastAsia="Arial" w:hAnsi="Arial"/>
          <w:sz w:val="22"/>
          <w:szCs w:val="22"/>
          <w:color w:val="auto"/>
        </w:rPr>
        <w:t>” means The Nasdaq Stock Market LLC.</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NYSE</w:t>
      </w:r>
      <w:r>
        <w:rPr>
          <w:rFonts w:ascii="Arial" w:cs="Arial" w:eastAsia="Arial" w:hAnsi="Arial"/>
          <w:sz w:val="22"/>
          <w:szCs w:val="22"/>
          <w:color w:val="auto"/>
        </w:rPr>
        <w:t>” means the New York Stock Exchange.</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Options</w:t>
      </w:r>
      <w:r>
        <w:rPr>
          <w:rFonts w:ascii="Arial" w:cs="Arial" w:eastAsia="Arial" w:hAnsi="Arial"/>
          <w:sz w:val="22"/>
          <w:szCs w:val="22"/>
          <w:color w:val="auto"/>
        </w:rPr>
        <w:t>” means any warrants, options or similar rights to subscribe for or purchase Common Shares (including any Common Shares to be represented by CDIs) or Convertible Securities.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OTC Bulletin Board</w:t>
      </w:r>
      <w:r>
        <w:rPr>
          <w:rFonts w:ascii="Arial" w:cs="Arial" w:eastAsia="Arial" w:hAnsi="Arial"/>
          <w:sz w:val="22"/>
          <w:szCs w:val="22"/>
          <w:color w:val="auto"/>
        </w:rPr>
        <w:t>” means the Financial Industry Regulatory Authority, Inc. OTC Bulletin Board.</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Registration Statement</w:t>
      </w:r>
      <w:r>
        <w:rPr>
          <w:rFonts w:ascii="Arial" w:cs="Arial" w:eastAsia="Arial" w:hAnsi="Arial"/>
          <w:sz w:val="22"/>
          <w:szCs w:val="22"/>
          <w:color w:val="auto"/>
        </w:rPr>
        <w:t>” means, in connection with any public offering of securities, any registration statement required pursuant to the Securities Act that covers the offer and sales of any such securities, including any prospectus, amendments or supplements to such Registration Statement, including post-effective amendments and all exhibits and all materials incorporated by reference in such Registration Statement.</w:t>
      </w:r>
    </w:p>
    <w:p>
      <w:pPr>
        <w:spacing w:after="0" w:line="18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Restrictive Legend Event”</w:t>
      </w:r>
      <w:r>
        <w:rPr>
          <w:rFonts w:ascii="Arial" w:cs="Arial" w:eastAsia="Arial" w:hAnsi="Arial"/>
          <w:sz w:val="22"/>
          <w:szCs w:val="22"/>
          <w:color w:val="auto"/>
        </w:rPr>
        <w:t xml:space="preserve"> means any time that the Company is unable to deliver the Warrant Shares via DTC transfer or otherwise without restrictive legend because (A) the Commission has issued a stop order with respect to the Registration Statement, (B) the Commission otherwise has suspended or withdrawn the effectiveness of the Registration Statement, either temporarily or permanently, (C) the Company has suspended or withdrawn the effectiveness of the Registration Statement, either temporarily or permanently, (D) the prospectus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 w:name="page8"/>
    <w:bookmarkEnd w:id="7"/>
    <w:p>
      <w:pPr>
        <w:spacing w:after="0"/>
        <w:rPr>
          <w:sz w:val="20"/>
          <w:szCs w:val="20"/>
          <w:color w:val="auto"/>
        </w:rPr>
      </w:pPr>
      <w:r>
        <w:rPr>
          <w:rFonts w:ascii="Arial" w:cs="Arial" w:eastAsia="Arial" w:hAnsi="Arial"/>
          <w:sz w:val="19"/>
          <w:szCs w:val="19"/>
          <w:color w:val="auto"/>
        </w:rPr>
        <w:t>contained in the Registration Statement is not available for the issuance of the Warrant Shares to the Holder or (E) otherwise.</w:t>
      </w:r>
    </w:p>
    <w:p>
      <w:pPr>
        <w:spacing w:after="0" w:line="24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Sale of the Company</w:t>
      </w:r>
      <w:r>
        <w:rPr>
          <w:rFonts w:ascii="Arial" w:cs="Arial" w:eastAsia="Arial" w:hAnsi="Arial"/>
          <w:sz w:val="21"/>
          <w:szCs w:val="21"/>
          <w:color w:val="auto"/>
        </w:rPr>
        <w:t>” means a transaction pursuant to which (i) (x) any Person or group of Persons acting jointly or otherwise in concert (other than the Holder and any other parties to the Credit Agreement) acquires ownership, directly or indirectly, beneficially or of record, of Capital Securities of the Borrower having more than fifty percent (50%) of the aggregate economic interests and/or voting power, determined on a fully diluted basis, (y) any Person or group of Persons acting jointly or otherwise in concert (other than the Holder and any other parties to the Credit Agreement) acquires, by contract or otherwise, the right to appoint or elect a majority of the board of directors of the Company (the “</w:t>
      </w:r>
      <w:r>
        <w:rPr>
          <w:rFonts w:ascii="Arial" w:cs="Arial" w:eastAsia="Arial" w:hAnsi="Arial"/>
          <w:sz w:val="21"/>
          <w:szCs w:val="21"/>
          <w:b w:val="1"/>
          <w:bCs w:val="1"/>
          <w:i w:val="1"/>
          <w:iCs w:val="1"/>
          <w:color w:val="auto"/>
        </w:rPr>
        <w:t>Board</w:t>
      </w:r>
      <w:r>
        <w:rPr>
          <w:rFonts w:ascii="Arial" w:cs="Arial" w:eastAsia="Arial" w:hAnsi="Arial"/>
          <w:sz w:val="21"/>
          <w:szCs w:val="21"/>
          <w:color w:val="auto"/>
        </w:rPr>
        <w:t xml:space="preserve">”), or (z) all or substantially all of the assets of the Borrower and its Subsidiaries, taken as a whole, are sold, leased, exclusively licensed, transferred, conveyed or otherwise disposed of, and (ii) all Obligations (as defined in the Credit Agreement) outstanding under the Credit Agreement are to be paid in full in cash, whether pursuant to the terms of the transaction, pursuant to the terms of the Credit Agreement (including </w:t>
      </w:r>
      <w:r>
        <w:rPr>
          <w:rFonts w:ascii="Arial" w:cs="Arial" w:eastAsia="Arial" w:hAnsi="Arial"/>
          <w:sz w:val="21"/>
          <w:szCs w:val="21"/>
          <w:b w:val="1"/>
          <w:bCs w:val="1"/>
          <w:color w:val="auto"/>
        </w:rPr>
        <w:t>Section 12</w:t>
      </w:r>
      <w:r>
        <w:rPr>
          <w:rFonts w:ascii="Arial" w:cs="Arial" w:eastAsia="Arial" w:hAnsi="Arial"/>
          <w:sz w:val="21"/>
          <w:szCs w:val="21"/>
          <w:color w:val="auto"/>
        </w:rPr>
        <w:t xml:space="preserve"> thereof) or otherwise.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w:t>
      </w:r>
      <w:r>
        <w:rPr>
          <w:rFonts w:ascii="Arial" w:cs="Arial" w:eastAsia="Arial" w:hAnsi="Arial"/>
          <w:sz w:val="22"/>
          <w:szCs w:val="22"/>
          <w:color w:val="auto"/>
        </w:rPr>
        <w:t>” means the Securities and Exchange Commission or any successor thereto.</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 Distribution</w:t>
      </w:r>
      <w:r>
        <w:rPr>
          <w:rFonts w:ascii="Arial" w:cs="Arial" w:eastAsia="Arial" w:hAnsi="Arial"/>
          <w:sz w:val="22"/>
          <w:szCs w:val="22"/>
          <w:color w:val="auto"/>
        </w:rPr>
        <w:t xml:space="preserve">” means any issuance or sale by the Company of any of its Common Shares (including any Common Shares represented by CDIs), Options or Convertible Securities, other than in connection with a dividend or distribution to holders of its Common Shares of the type described in </w:t>
      </w:r>
      <w:r>
        <w:rPr>
          <w:rFonts w:ascii="Arial" w:cs="Arial" w:eastAsia="Arial" w:hAnsi="Arial"/>
          <w:sz w:val="22"/>
          <w:szCs w:val="22"/>
          <w:b w:val="1"/>
          <w:bCs w:val="1"/>
          <w:color w:val="auto"/>
        </w:rPr>
        <w:t>Section 4(1)(b)</w:t>
      </w:r>
      <w:r>
        <w:rPr>
          <w:rFonts w:ascii="Arial" w:cs="Arial" w:eastAsia="Arial" w:hAnsi="Arial"/>
          <w:sz w:val="22"/>
          <w:szCs w:val="22"/>
          <w:color w:val="auto"/>
        </w:rPr>
        <w:t xml:space="preserve"> below.</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 Reorganization</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4(1)(a)</w:t>
      </w:r>
      <w:r>
        <w:rPr>
          <w:rFonts w:ascii="Arial" w:cs="Arial" w:eastAsia="Arial" w:hAnsi="Arial"/>
          <w:sz w:val="22"/>
          <w:szCs w:val="22"/>
          <w:color w:val="auto"/>
        </w:rPr>
        <w:t>.</w:t>
      </w:r>
    </w:p>
    <w:p>
      <w:pPr>
        <w:spacing w:after="0" w:line="21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Day</w:t>
      </w:r>
      <w:r>
        <w:rPr>
          <w:rFonts w:ascii="Arial" w:cs="Arial" w:eastAsia="Arial" w:hAnsi="Arial"/>
          <w:sz w:val="22"/>
          <w:szCs w:val="22"/>
          <w:color w:val="auto"/>
        </w:rPr>
        <w:t>” means, with respect to the Common Shares or any other Marketable Securities, a date on which the relevant Trading Market is open and conducting business.</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Market</w:t>
      </w:r>
      <w:r>
        <w:rPr>
          <w:rFonts w:ascii="Arial" w:cs="Arial" w:eastAsia="Arial" w:hAnsi="Arial"/>
          <w:sz w:val="22"/>
          <w:szCs w:val="22"/>
          <w:color w:val="auto"/>
        </w:rPr>
        <w:t>” means, with respect to the Common Shares or any other Marketable Securities, the Nasdaq, the NYSE or the OTC Bulletin Board.</w:t>
      </w:r>
    </w:p>
    <w:p>
      <w:pPr>
        <w:spacing w:after="0" w:line="175"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VWAP</w:t>
      </w:r>
      <w:r>
        <w:rPr>
          <w:rFonts w:ascii="Arial" w:cs="Arial" w:eastAsia="Arial" w:hAnsi="Arial"/>
          <w:sz w:val="19"/>
          <w:szCs w:val="19"/>
          <w:color w:val="auto"/>
        </w:rPr>
        <w:t>” means, with respect to any Common Shares, as of any day of determination (a “</w:t>
      </w:r>
      <w:r>
        <w:rPr>
          <w:rFonts w:ascii="Arial" w:cs="Arial" w:eastAsia="Arial" w:hAnsi="Arial"/>
          <w:sz w:val="19"/>
          <w:szCs w:val="19"/>
          <w:b w:val="1"/>
          <w:bCs w:val="1"/>
          <w:i w:val="1"/>
          <w:iCs w:val="1"/>
          <w:color w:val="auto"/>
        </w:rPr>
        <w:t>Determination Date</w:t>
      </w:r>
      <w:r>
        <w:rPr>
          <w:rFonts w:ascii="Arial" w:cs="Arial" w:eastAsia="Arial" w:hAnsi="Arial"/>
          <w:sz w:val="19"/>
          <w:szCs w:val="19"/>
          <w:color w:val="auto"/>
        </w:rPr>
        <w:t>”), the volume weighted average sale price for the period of ten (10) consecutive Trading Days immediately preceding such Determination Date on the Trading Market for such Common Shares as reported by, or based upon data reported by, Bloomberg Financial Markets or an equivalent, reliable reporting service reasonably acceptable to the Holder and the Company (collectively, “</w:t>
      </w:r>
      <w:r>
        <w:rPr>
          <w:rFonts w:ascii="Arial" w:cs="Arial" w:eastAsia="Arial" w:hAnsi="Arial"/>
          <w:sz w:val="19"/>
          <w:szCs w:val="19"/>
          <w:b w:val="1"/>
          <w:bCs w:val="1"/>
          <w:i w:val="1"/>
          <w:iCs w:val="1"/>
          <w:color w:val="auto"/>
        </w:rPr>
        <w:t>Bloomberg</w:t>
      </w:r>
      <w:r>
        <w:rPr>
          <w:rFonts w:ascii="Arial" w:cs="Arial" w:eastAsia="Arial" w:hAnsi="Arial"/>
          <w:sz w:val="19"/>
          <w:szCs w:val="19"/>
          <w:color w:val="auto"/>
        </w:rPr>
        <w:t>”) or, if the volume weighted average sale price has not been reported for such security by Bloomberg for such ten</w:t>
      </w:r>
    </w:p>
    <w:p>
      <w:pPr>
        <w:spacing w:after="0" w:line="4" w:lineRule="exact"/>
        <w:rPr>
          <w:sz w:val="20"/>
          <w:szCs w:val="20"/>
          <w:color w:val="auto"/>
        </w:rPr>
      </w:pPr>
    </w:p>
    <w:p>
      <w:pPr>
        <w:jc w:val="both"/>
        <w:ind w:firstLine="8"/>
        <w:spacing w:after="0" w:line="243" w:lineRule="auto"/>
        <w:tabs>
          <w:tab w:leader="none" w:pos="425" w:val="left"/>
        </w:tabs>
        <w:numPr>
          <w:ilvl w:val="0"/>
          <w:numId w:val="2"/>
        </w:numPr>
        <w:rPr>
          <w:rFonts w:ascii="Arial" w:cs="Arial" w:eastAsia="Arial" w:hAnsi="Arial"/>
          <w:sz w:val="21"/>
          <w:szCs w:val="21"/>
          <w:color w:val="auto"/>
        </w:rPr>
      </w:pPr>
      <w:r>
        <w:rPr>
          <w:rFonts w:ascii="Arial" w:cs="Arial" w:eastAsia="Arial" w:hAnsi="Arial"/>
          <w:sz w:val="21"/>
          <w:szCs w:val="21"/>
          <w:color w:val="auto"/>
        </w:rPr>
        <w:t xml:space="preserve">day period, then the simple average of the last closing trade prices of such security for such ten (10) period, as reported by Bloomberg, or, if no last closing trade price is reported for such security by Bloomberg, the simple average of the bid prices of any market makers for such security that are listed in the over the counter market by the Financial Industry Regulatory Authority, Inc. or on the OTC Bulletin Board (or any successor) or in the “pink sheets” (or any successor) by the OTC Markets Group, Inc. over such ten (10) day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VWAP cannot be calculated for such security on such date in the manner provided above (including because the applicable security is not listed or publicly traded), the VWAP shall be the Fair Market Value as mutually determined by the Company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 w:name="page9"/>
    <w:bookmarkEnd w:id="8"/>
    <w:p>
      <w:pPr>
        <w:jc w:val="both"/>
        <w:spacing w:after="0" w:line="250" w:lineRule="auto"/>
        <w:rPr>
          <w:sz w:val="20"/>
          <w:szCs w:val="20"/>
          <w:color w:val="auto"/>
        </w:rPr>
      </w:pPr>
      <w:r>
        <w:rPr>
          <w:rFonts w:ascii="Arial" w:cs="Arial" w:eastAsia="Arial" w:hAnsi="Arial"/>
          <w:sz w:val="22"/>
          <w:szCs w:val="22"/>
          <w:color w:val="auto"/>
        </w:rPr>
        <w:t xml:space="preserve">the Holder;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in the event the Company and Holder are unable to so mutually agree, Fair Market Value shall be determined pursuant to </w:t>
      </w:r>
      <w:r>
        <w:rPr>
          <w:rFonts w:ascii="Arial" w:cs="Arial" w:eastAsia="Arial" w:hAnsi="Arial"/>
          <w:sz w:val="22"/>
          <w:szCs w:val="22"/>
          <w:b w:val="1"/>
          <w:bCs w:val="1"/>
          <w:color w:val="auto"/>
        </w:rPr>
        <w:t>Section 10(a)</w:t>
      </w:r>
      <w:r>
        <w:rPr>
          <w:rFonts w:ascii="Arial" w:cs="Arial" w:eastAsia="Arial" w:hAnsi="Arial"/>
          <w:sz w:val="22"/>
          <w:szCs w:val="22"/>
          <w:color w:val="auto"/>
        </w:rPr>
        <w:t>.</w:t>
      </w:r>
    </w:p>
    <w:p>
      <w:pPr>
        <w:spacing w:after="0" w:line="175"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Warrant Certificate</w:t>
      </w:r>
      <w:r>
        <w:rPr>
          <w:rFonts w:ascii="Arial" w:cs="Arial" w:eastAsia="Arial" w:hAnsi="Arial"/>
          <w:sz w:val="22"/>
          <w:szCs w:val="22"/>
          <w:color w:val="auto"/>
        </w:rPr>
        <w:t>” means this Warrant Certificate and all subsequent warrant certificates issued upon division, combination or transfer of, or in substitution for, this Warrant Certificate.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Warrant Register</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5</w:t>
      </w:r>
      <w:r>
        <w:rPr>
          <w:rFonts w:ascii="Arial" w:cs="Arial" w:eastAsia="Arial" w:hAnsi="Arial"/>
          <w:sz w:val="22"/>
          <w:szCs w:val="22"/>
          <w:color w:val="auto"/>
        </w:rPr>
        <w: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Warrant Shares</w:t>
      </w:r>
      <w:r>
        <w:rPr>
          <w:rFonts w:ascii="Arial" w:cs="Arial" w:eastAsia="Arial" w:hAnsi="Arial"/>
          <w:sz w:val="22"/>
          <w:szCs w:val="22"/>
          <w:color w:val="auto"/>
        </w:rPr>
        <w:t>” has the meaning set forth in the preamble.</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Section 2. Term of Warrant Certificate. </w:t>
      </w:r>
      <w:r>
        <w:rPr>
          <w:rFonts w:ascii="Arial" w:cs="Arial" w:eastAsia="Arial" w:hAnsi="Arial"/>
          <w:sz w:val="22"/>
          <w:szCs w:val="22"/>
          <w:color w:val="auto"/>
        </w:rPr>
        <w:t>Subject to the terms and conditions hereof, from time to time during the Exercise</w:t>
      </w:r>
      <w:r>
        <w:rPr>
          <w:rFonts w:ascii="Arial" w:cs="Arial" w:eastAsia="Arial" w:hAnsi="Arial"/>
          <w:sz w:val="22"/>
          <w:szCs w:val="22"/>
          <w:b w:val="1"/>
          <w:bCs w:val="1"/>
          <w:color w:val="auto"/>
        </w:rPr>
        <w:t xml:space="preserve"> </w:t>
      </w:r>
      <w:r>
        <w:rPr>
          <w:rFonts w:ascii="Arial" w:cs="Arial" w:eastAsia="Arial" w:hAnsi="Arial"/>
          <w:sz w:val="22"/>
          <w:szCs w:val="22"/>
          <w:color w:val="auto"/>
        </w:rPr>
        <w:t>Period, the Holder of this Warrant Certificate may exercise this Warrant Certificate for all or any part of the Warrant Shares purchasable hereunder (subject to adjustment as provided herein).</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color w:val="auto"/>
        </w:rPr>
        <w:t>Exercise of Warrant Certificate</w:t>
      </w:r>
      <w:r>
        <w:rPr>
          <w:rFonts w:ascii="Arial" w:cs="Arial" w:eastAsia="Arial" w:hAnsi="Arial"/>
          <w:sz w:val="19"/>
          <w:szCs w:val="19"/>
          <w:color w:val="auto"/>
        </w:rPr>
        <w:t>.</w:t>
      </w:r>
    </w:p>
    <w:p>
      <w:pPr>
        <w:spacing w:after="0" w:line="206" w:lineRule="exact"/>
        <w:rPr>
          <w:sz w:val="20"/>
          <w:szCs w:val="20"/>
          <w:color w:val="auto"/>
        </w:rPr>
      </w:pPr>
    </w:p>
    <w:p>
      <w:pPr>
        <w:ind w:firstLine="757"/>
        <w:spacing w:after="0" w:line="280" w:lineRule="auto"/>
        <w:tabs>
          <w:tab w:leader="none" w:pos="1018" w:val="left"/>
        </w:tabs>
        <w:numPr>
          <w:ilvl w:val="0"/>
          <w:numId w:val="3"/>
        </w:numPr>
        <w:rPr>
          <w:rFonts w:ascii="Arial" w:cs="Arial" w:eastAsia="Arial" w:hAnsi="Arial"/>
          <w:sz w:val="21"/>
          <w:szCs w:val="21"/>
          <w:color w:val="auto"/>
        </w:rPr>
      </w:pPr>
      <w:r>
        <w:rPr>
          <w:rFonts w:ascii="Arial" w:cs="Arial" w:eastAsia="Arial" w:hAnsi="Arial"/>
          <w:sz w:val="21"/>
          <w:szCs w:val="21"/>
          <w:b w:val="1"/>
          <w:bCs w:val="1"/>
          <w:color w:val="auto"/>
        </w:rPr>
        <w:t>Exercise Procedure</w:t>
      </w:r>
      <w:r>
        <w:rPr>
          <w:rFonts w:ascii="Arial" w:cs="Arial" w:eastAsia="Arial" w:hAnsi="Arial"/>
          <w:sz w:val="21"/>
          <w:szCs w:val="21"/>
          <w:color w:val="auto"/>
        </w:rPr>
        <w:t>. This Warrant Certificate may be exercised from time to time on any Business Day during the</w:t>
      </w:r>
      <w:r>
        <w:rPr>
          <w:rFonts w:ascii="Arial" w:cs="Arial" w:eastAsia="Arial" w:hAnsi="Arial"/>
          <w:sz w:val="21"/>
          <w:szCs w:val="21"/>
          <w:b w:val="1"/>
          <w:bCs w:val="1"/>
          <w:color w:val="auto"/>
        </w:rPr>
        <w:t xml:space="preserve"> </w:t>
      </w:r>
      <w:r>
        <w:rPr>
          <w:rFonts w:ascii="Arial" w:cs="Arial" w:eastAsia="Arial" w:hAnsi="Arial"/>
          <w:sz w:val="21"/>
          <w:szCs w:val="21"/>
          <w:color w:val="auto"/>
        </w:rPr>
        <w:t>Exercise Period, for all or any part of the unexercised Warrant Shares upon:</w:t>
      </w:r>
    </w:p>
    <w:p>
      <w:pPr>
        <w:spacing w:after="0" w:line="138" w:lineRule="exact"/>
        <w:rPr>
          <w:rFonts w:ascii="Arial" w:cs="Arial" w:eastAsia="Arial" w:hAnsi="Arial"/>
          <w:sz w:val="21"/>
          <w:szCs w:val="21"/>
          <w:color w:val="auto"/>
        </w:rPr>
      </w:pPr>
    </w:p>
    <w:p>
      <w:pPr>
        <w:jc w:val="both"/>
        <w:ind w:firstLine="1505"/>
        <w:spacing w:after="0" w:line="300" w:lineRule="auto"/>
        <w:tabs>
          <w:tab w:leader="none" w:pos="2036" w:val="left"/>
        </w:tabs>
        <w:numPr>
          <w:ilvl w:val="1"/>
          <w:numId w:val="3"/>
        </w:numPr>
        <w:rPr>
          <w:rFonts w:ascii="Arial" w:cs="Arial" w:eastAsia="Arial" w:hAnsi="Arial"/>
          <w:sz w:val="19"/>
          <w:szCs w:val="19"/>
          <w:color w:val="auto"/>
        </w:rPr>
      </w:pPr>
      <w:r>
        <w:rPr>
          <w:rFonts w:ascii="Arial" w:cs="Arial" w:eastAsia="Arial" w:hAnsi="Arial"/>
          <w:sz w:val="19"/>
          <w:szCs w:val="19"/>
          <w:color w:val="auto"/>
        </w:rPr>
        <w:t xml:space="preserve">delivery to the Company (at its address or by email in accordance with </w:t>
      </w:r>
      <w:r>
        <w:rPr>
          <w:rFonts w:ascii="Arial" w:cs="Arial" w:eastAsia="Arial" w:hAnsi="Arial"/>
          <w:sz w:val="19"/>
          <w:szCs w:val="19"/>
          <w:b w:val="1"/>
          <w:bCs w:val="1"/>
          <w:color w:val="auto"/>
        </w:rPr>
        <w:t>Section 13</w:t>
      </w:r>
      <w:r>
        <w:rPr>
          <w:rFonts w:ascii="Arial" w:cs="Arial" w:eastAsia="Arial" w:hAnsi="Arial"/>
          <w:sz w:val="19"/>
          <w:szCs w:val="19"/>
          <w:color w:val="auto"/>
        </w:rPr>
        <w:t xml:space="preserve">) of a copy of a duly completed and executed Exercise Certificate in the form attached hereto as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(each, an “</w:t>
      </w:r>
      <w:r>
        <w:rPr>
          <w:rFonts w:ascii="Arial" w:cs="Arial" w:eastAsia="Arial" w:hAnsi="Arial"/>
          <w:sz w:val="19"/>
          <w:szCs w:val="19"/>
          <w:b w:val="1"/>
          <w:bCs w:val="1"/>
          <w:i w:val="1"/>
          <w:iCs w:val="1"/>
          <w:color w:val="auto"/>
        </w:rPr>
        <w:t>Exercise Certificate</w:t>
      </w:r>
      <w:r>
        <w:rPr>
          <w:rFonts w:ascii="Arial" w:cs="Arial" w:eastAsia="Arial" w:hAnsi="Arial"/>
          <w:sz w:val="19"/>
          <w:szCs w:val="19"/>
          <w:color w:val="auto"/>
        </w:rPr>
        <w:t>”), which certificate will specify the number of Warrant Shares to be purchased and the Aggregate Exercise Price; and</w:t>
      </w:r>
    </w:p>
    <w:p>
      <w:pPr>
        <w:spacing w:after="0" w:line="131" w:lineRule="exact"/>
        <w:rPr>
          <w:rFonts w:ascii="Arial" w:cs="Arial" w:eastAsia="Arial" w:hAnsi="Arial"/>
          <w:sz w:val="19"/>
          <w:szCs w:val="19"/>
          <w:color w:val="auto"/>
        </w:rPr>
      </w:pPr>
    </w:p>
    <w:p>
      <w:pPr>
        <w:ind w:firstLine="1505"/>
        <w:spacing w:after="0" w:line="250" w:lineRule="auto"/>
        <w:tabs>
          <w:tab w:leader="none" w:pos="2036" w:val="left"/>
        </w:tabs>
        <w:numPr>
          <w:ilvl w:val="1"/>
          <w:numId w:val="3"/>
        </w:numPr>
        <w:rPr>
          <w:rFonts w:ascii="Arial" w:cs="Arial" w:eastAsia="Arial" w:hAnsi="Arial"/>
          <w:sz w:val="22"/>
          <w:szCs w:val="22"/>
          <w:color w:val="auto"/>
        </w:rPr>
      </w:pPr>
      <w:r>
        <w:rPr>
          <w:rFonts w:ascii="Arial" w:cs="Arial" w:eastAsia="Arial" w:hAnsi="Arial"/>
          <w:sz w:val="22"/>
          <w:szCs w:val="22"/>
          <w:color w:val="auto"/>
        </w:rPr>
        <w:t xml:space="preserve">simultaneously with the delivery of the Exercise Certificate, payment to the Company of the Aggregate Exercise Price in accordance with </w:t>
      </w:r>
      <w:r>
        <w:rPr>
          <w:rFonts w:ascii="Arial" w:cs="Arial" w:eastAsia="Arial" w:hAnsi="Arial"/>
          <w:sz w:val="22"/>
          <w:szCs w:val="22"/>
          <w:b w:val="1"/>
          <w:bCs w:val="1"/>
          <w:color w:val="auto"/>
        </w:rPr>
        <w:t>Section 3(b)</w:t>
      </w:r>
      <w:r>
        <w:rPr>
          <w:rFonts w:ascii="Arial" w:cs="Arial" w:eastAsia="Arial" w:hAnsi="Arial"/>
          <w:sz w:val="22"/>
          <w:szCs w:val="22"/>
          <w:color w:val="auto"/>
        </w:rPr>
        <w:t>.</w:t>
      </w:r>
    </w:p>
    <w:p>
      <w:pPr>
        <w:spacing w:after="0" w:line="175"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No ink-original Exercise Certificate, medallion guarantee (or other type of guarantee or notarization) of any Certificate of Exercise, legal opinion or other document, information or instruction shall be required to exercise the Warrants.</w:t>
      </w:r>
    </w:p>
    <w:p>
      <w:pPr>
        <w:spacing w:after="0" w:line="145" w:lineRule="exact"/>
        <w:rPr>
          <w:sz w:val="20"/>
          <w:szCs w:val="20"/>
          <w:color w:val="auto"/>
        </w:rPr>
      </w:pPr>
    </w:p>
    <w:p>
      <w:pPr>
        <w:ind w:right="20" w:firstLine="757"/>
        <w:spacing w:after="0" w:line="280" w:lineRule="auto"/>
        <w:tabs>
          <w:tab w:leader="none" w:pos="1018" w:val="left"/>
        </w:tabs>
        <w:numPr>
          <w:ilvl w:val="0"/>
          <w:numId w:val="4"/>
        </w:numPr>
        <w:rPr>
          <w:rFonts w:ascii="Arial" w:cs="Arial" w:eastAsia="Arial" w:hAnsi="Arial"/>
          <w:sz w:val="21"/>
          <w:szCs w:val="21"/>
          <w:color w:val="auto"/>
        </w:rPr>
      </w:pPr>
      <w:r>
        <w:rPr>
          <w:rFonts w:ascii="Arial" w:cs="Arial" w:eastAsia="Arial" w:hAnsi="Arial"/>
          <w:sz w:val="21"/>
          <w:szCs w:val="21"/>
          <w:b w:val="1"/>
          <w:bCs w:val="1"/>
          <w:color w:val="auto"/>
        </w:rPr>
        <w:t xml:space="preserve">Payment of the Aggregate Exercise Price. </w:t>
      </w:r>
      <w:r>
        <w:rPr>
          <w:rFonts w:ascii="Arial" w:cs="Arial" w:eastAsia="Arial" w:hAnsi="Arial"/>
          <w:sz w:val="21"/>
          <w:szCs w:val="21"/>
          <w:color w:val="auto"/>
        </w:rPr>
        <w:t>Payment of the Aggregate Exercise Price shall be made, at the option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the Holder as set forth in the applicable Exercise Certificate, by any of the following methods:</w:t>
      </w:r>
    </w:p>
    <w:p>
      <w:pPr>
        <w:spacing w:after="0" w:line="144" w:lineRule="exact"/>
        <w:rPr>
          <w:rFonts w:ascii="Arial" w:cs="Arial" w:eastAsia="Arial" w:hAnsi="Arial"/>
          <w:sz w:val="21"/>
          <w:szCs w:val="21"/>
          <w:color w:val="auto"/>
        </w:rPr>
      </w:pPr>
    </w:p>
    <w:p>
      <w:pPr>
        <w:ind w:firstLine="1505"/>
        <w:spacing w:after="0" w:line="250" w:lineRule="auto"/>
        <w:tabs>
          <w:tab w:leader="none" w:pos="2036" w:val="left"/>
        </w:tabs>
        <w:numPr>
          <w:ilvl w:val="1"/>
          <w:numId w:val="4"/>
        </w:numPr>
        <w:rPr>
          <w:rFonts w:ascii="Arial" w:cs="Arial" w:eastAsia="Arial" w:hAnsi="Arial"/>
          <w:sz w:val="22"/>
          <w:szCs w:val="22"/>
          <w:color w:val="auto"/>
        </w:rPr>
      </w:pPr>
      <w:r>
        <w:rPr>
          <w:rFonts w:ascii="Arial" w:cs="Arial" w:eastAsia="Arial" w:hAnsi="Arial"/>
          <w:sz w:val="22"/>
          <w:szCs w:val="22"/>
          <w:color w:val="auto"/>
        </w:rPr>
        <w:t>by wire transfer of immediately available funds to an account designated in writing by the Company, in the amount of such Aggregate Exercise Price;</w:t>
      </w:r>
    </w:p>
    <w:p>
      <w:pPr>
        <w:spacing w:after="0" w:line="174" w:lineRule="exact"/>
        <w:rPr>
          <w:rFonts w:ascii="Arial" w:cs="Arial" w:eastAsia="Arial" w:hAnsi="Arial"/>
          <w:sz w:val="22"/>
          <w:szCs w:val="22"/>
          <w:color w:val="auto"/>
        </w:rPr>
      </w:pPr>
    </w:p>
    <w:p>
      <w:pPr>
        <w:ind w:firstLine="1505"/>
        <w:spacing w:after="0" w:line="328" w:lineRule="auto"/>
        <w:tabs>
          <w:tab w:leader="none" w:pos="2036" w:val="left"/>
        </w:tabs>
        <w:numPr>
          <w:ilvl w:val="1"/>
          <w:numId w:val="4"/>
        </w:numPr>
        <w:rPr>
          <w:rFonts w:ascii="Arial" w:cs="Arial" w:eastAsia="Arial" w:hAnsi="Arial"/>
          <w:sz w:val="19"/>
          <w:szCs w:val="19"/>
          <w:color w:val="auto"/>
        </w:rPr>
      </w:pPr>
      <w:r>
        <w:rPr>
          <w:rFonts w:ascii="Arial" w:cs="Arial" w:eastAsia="Arial" w:hAnsi="Arial"/>
          <w:sz w:val="19"/>
          <w:szCs w:val="19"/>
          <w:color w:val="auto"/>
        </w:rPr>
        <w:t>by instructing the Company to withhold a number of Warrant Shares then issuable upon exercise of this Warrant Certificate with an aggregate Fair Market Value as of the Exercise Date equal to such Aggregate Exercise Price; or</w:t>
      </w:r>
    </w:p>
    <w:p>
      <w:pPr>
        <w:spacing w:after="0" w:line="104" w:lineRule="exact"/>
        <w:rPr>
          <w:rFonts w:ascii="Arial" w:cs="Arial" w:eastAsia="Arial" w:hAnsi="Arial"/>
          <w:sz w:val="19"/>
          <w:szCs w:val="19"/>
          <w:color w:val="auto"/>
        </w:rPr>
      </w:pPr>
    </w:p>
    <w:p>
      <w:pPr>
        <w:ind w:left="2040" w:hanging="535"/>
        <w:spacing w:after="0"/>
        <w:tabs>
          <w:tab w:leader="none" w:pos="2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any combination of the foregoing.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 w:name="page10"/>
    <w:bookmarkEnd w:id="9"/>
    <w:p>
      <w:pPr>
        <w:jc w:val="both"/>
        <w:spacing w:after="0" w:line="235" w:lineRule="auto"/>
        <w:rPr>
          <w:sz w:val="20"/>
          <w:szCs w:val="20"/>
          <w:color w:val="auto"/>
        </w:rPr>
      </w:pPr>
      <w:r>
        <w:rPr>
          <w:rFonts w:ascii="Arial" w:cs="Arial" w:eastAsia="Arial" w:hAnsi="Arial"/>
          <w:sz w:val="22"/>
          <w:szCs w:val="22"/>
          <w:color w:val="auto"/>
        </w:rPr>
        <w:t xml:space="preserve">In the event of any withholding of Warrant Shares pursuant to </w:t>
      </w:r>
      <w:r>
        <w:rPr>
          <w:rFonts w:ascii="Arial" w:cs="Arial" w:eastAsia="Arial" w:hAnsi="Arial"/>
          <w:sz w:val="22"/>
          <w:szCs w:val="22"/>
          <w:b w:val="1"/>
          <w:bCs w:val="1"/>
          <w:color w:val="auto"/>
        </w:rPr>
        <w:t>Section 3(b)(ii)</w:t>
      </w:r>
      <w:r>
        <w:rPr>
          <w:rFonts w:ascii="Arial" w:cs="Arial" w:eastAsia="Arial" w:hAnsi="Arial"/>
          <w:sz w:val="22"/>
          <w:szCs w:val="22"/>
          <w:color w:val="auto"/>
        </w:rPr>
        <w:t xml:space="preserve"> or </w:t>
      </w:r>
      <w:r>
        <w:rPr>
          <w:rFonts w:ascii="Arial" w:cs="Arial" w:eastAsia="Arial" w:hAnsi="Arial"/>
          <w:sz w:val="22"/>
          <w:szCs w:val="22"/>
          <w:b w:val="1"/>
          <w:bCs w:val="1"/>
          <w:color w:val="auto"/>
        </w:rPr>
        <w:t>(iii)</w:t>
      </w:r>
      <w:r>
        <w:rPr>
          <w:rFonts w:ascii="Arial" w:cs="Arial" w:eastAsia="Arial" w:hAnsi="Arial"/>
          <w:sz w:val="22"/>
          <w:szCs w:val="22"/>
          <w:color w:val="auto"/>
        </w:rPr>
        <w:t xml:space="preserve"> (solely to the extent of such withholding, a “</w:t>
      </w:r>
      <w:r>
        <w:rPr>
          <w:rFonts w:ascii="Arial" w:cs="Arial" w:eastAsia="Arial" w:hAnsi="Arial"/>
          <w:sz w:val="22"/>
          <w:szCs w:val="22"/>
          <w:b w:val="1"/>
          <w:bCs w:val="1"/>
          <w:i w:val="1"/>
          <w:iCs w:val="1"/>
          <w:color w:val="auto"/>
        </w:rPr>
        <w:t>Cashless Exercise</w:t>
      </w:r>
      <w:r>
        <w:rPr>
          <w:rFonts w:ascii="Arial" w:cs="Arial" w:eastAsia="Arial" w:hAnsi="Arial"/>
          <w:sz w:val="22"/>
          <w:szCs w:val="22"/>
          <w:color w:val="auto"/>
        </w:rPr>
        <w:t>”) where the number of shares whose value is equal to the Aggregate Exercise Price is not a whole number, the number of shares withheld by the Company shall be rounded up to the nearest whole share and the Company shall make a cash payment to the Holder (by delivery of a certified or official bank check or by wire transfer of immediately available funds) based on the incremental fraction of the share being so withheld by the Company in an amount equal to the product of (x) such incremental fraction of a share being so withheld multiplied by (y) the Fair Market Value per Warrant Share as of the Exercise Date.</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If a Restrictive Legend Event has occurred, the Warrant may be exercisable only on a cashless basis pursuant to Section 3(b)(ii) of the Warrant Certificate. If the Warrant Shares are issued in such a cashless exercise, the Company acknowledges and agrees that, in accordance with Section 3(a)(9) of the Securities Act, the Warrant Shares shall take on the registered characteristics of the Warrants being exercised and the Company agrees not to take any position contrary thereto. Notwithstanding anything herein to the contrary, the Company shall not be required to make any cash payments or net cash settlement to the Holder in lieu of delivery of the Warrant Shares.</w:t>
      </w:r>
    </w:p>
    <w:p>
      <w:pPr>
        <w:spacing w:after="0" w:line="182" w:lineRule="exact"/>
        <w:rPr>
          <w:sz w:val="20"/>
          <w:szCs w:val="20"/>
          <w:color w:val="auto"/>
        </w:rPr>
      </w:pPr>
    </w:p>
    <w:p>
      <w:pPr>
        <w:jc w:val="both"/>
        <w:ind w:firstLine="757"/>
        <w:spacing w:after="0" w:line="276" w:lineRule="auto"/>
        <w:tabs>
          <w:tab w:leader="none" w:pos="1018"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 xml:space="preserve">Automatic Cashless Exercise. </w:t>
      </w:r>
      <w:r>
        <w:rPr>
          <w:rFonts w:ascii="Arial" w:cs="Arial" w:eastAsia="Arial" w:hAnsi="Arial"/>
          <w:sz w:val="19"/>
          <w:szCs w:val="19"/>
          <w:color w:val="auto"/>
        </w:rPr>
        <w:t>To the extent this Warrant Certificate has not been exercised in full by the Holder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prior to the earlier of (i) the occurrence of the Expiration Date, and (ii) the date on which a Sale of the Company is consummated pursuant to which the sole consideration payable to the Company or its shareholders in respect of such sale transaction consists of cash, Marketable Securities or a combination thereof, any portion of this Warrant Certificate that remains unexercised on such date shall be deemed to have been exercised automatically pursuant to a Cashless Exercise, in whole (and not in part), on the Business Day immediately preceding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automatic Cashless Exercise contemplated by this </w:t>
      </w:r>
      <w:r>
        <w:rPr>
          <w:rFonts w:ascii="Arial" w:cs="Arial" w:eastAsia="Arial" w:hAnsi="Arial"/>
          <w:sz w:val="19"/>
          <w:szCs w:val="19"/>
          <w:b w:val="1"/>
          <w:bCs w:val="1"/>
          <w:color w:val="auto"/>
        </w:rPr>
        <w:t>Section 3(c)</w:t>
      </w:r>
      <w:r>
        <w:rPr>
          <w:rFonts w:ascii="Arial" w:cs="Arial" w:eastAsia="Arial" w:hAnsi="Arial"/>
          <w:sz w:val="19"/>
          <w:szCs w:val="19"/>
          <w:color w:val="auto"/>
        </w:rPr>
        <w:t xml:space="preserve"> shall not occur in the event that, as of the Business Day immediately preceding any such date described above, the per share Fair Market Value of a Warrant Share is less than the Exercise Price per Warrant Share.</w:t>
      </w:r>
    </w:p>
    <w:p>
      <w:pPr>
        <w:spacing w:after="0" w:line="149" w:lineRule="exact"/>
        <w:rPr>
          <w:rFonts w:ascii="Arial" w:cs="Arial" w:eastAsia="Arial" w:hAnsi="Arial"/>
          <w:sz w:val="19"/>
          <w:szCs w:val="19"/>
          <w:color w:val="auto"/>
        </w:rPr>
      </w:pPr>
    </w:p>
    <w:p>
      <w:pPr>
        <w:jc w:val="both"/>
        <w:ind w:firstLine="757"/>
        <w:spacing w:after="0" w:line="245" w:lineRule="auto"/>
        <w:tabs>
          <w:tab w:leader="none" w:pos="1018" w:val="left"/>
        </w:tabs>
        <w:numPr>
          <w:ilvl w:val="0"/>
          <w:numId w:val="5"/>
        </w:numPr>
        <w:rPr>
          <w:rFonts w:ascii="Arial" w:cs="Arial" w:eastAsia="Arial" w:hAnsi="Arial"/>
          <w:sz w:val="21"/>
          <w:szCs w:val="21"/>
          <w:color w:val="auto"/>
        </w:rPr>
      </w:pPr>
      <w:r>
        <w:rPr>
          <w:rFonts w:ascii="Arial" w:cs="Arial" w:eastAsia="Arial" w:hAnsi="Arial"/>
          <w:sz w:val="21"/>
          <w:szCs w:val="21"/>
          <w:b w:val="1"/>
          <w:bCs w:val="1"/>
          <w:color w:val="auto"/>
        </w:rPr>
        <w:t>Delivery of Warrant Shares</w:t>
      </w:r>
      <w:r>
        <w:rPr>
          <w:rFonts w:ascii="Arial" w:cs="Arial" w:eastAsia="Arial" w:hAnsi="Arial"/>
          <w:sz w:val="21"/>
          <w:szCs w:val="21"/>
          <w:color w:val="auto"/>
        </w:rPr>
        <w:t>. With respect to any exercise of this Warrant Certificate by the Holder, upon receipt by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Company of an Exercise Certificate and delivery of the Aggregate Exercise Price, the Company shall, within five (5) Business Days, deliver in accordance with the terms hereof to or upon the order of the Holder that number of Warrant Shares for the portion of this Warrant Certificate so exercised on such date, together with cash in lieu of any fraction of a share to the extent the Company elects to do so pursuant to </w:t>
      </w:r>
      <w:r>
        <w:rPr>
          <w:rFonts w:ascii="Arial" w:cs="Arial" w:eastAsia="Arial" w:hAnsi="Arial"/>
          <w:sz w:val="21"/>
          <w:szCs w:val="21"/>
          <w:b w:val="1"/>
          <w:bCs w:val="1"/>
          <w:color w:val="auto"/>
        </w:rPr>
        <w:t>Section 3(e)</w:t>
      </w:r>
      <w:r>
        <w:rPr>
          <w:rFonts w:ascii="Arial" w:cs="Arial" w:eastAsia="Arial" w:hAnsi="Arial"/>
          <w:sz w:val="21"/>
          <w:szCs w:val="21"/>
          <w:color w:val="auto"/>
        </w:rPr>
        <w:t xml:space="preserve"> below. If such Warrant Shares are issued in certificated form, the Company shall deliver a certificate or certificates, to the extent possible, representing the number of Warrant Shares as the Holder shall request in the Exercise Certificate. If such Warrant Shares are issued in uncertificated form, the Company shall deliver upon request a confirmation evidencing the registration of such shares. Unless otherwise provided herein, upon any exercise hereof, this Warrant Certificate shall be deemed to have been exercised and such certificate or certificates of Warrant Shares shall be deemed to have been issued, and the Holder shall be deemed to have become a holder of record of such Warrant Shares for all purposes, as of the Exercise Date.</w:t>
      </w:r>
    </w:p>
    <w:p>
      <w:pPr>
        <w:spacing w:after="0" w:line="177" w:lineRule="exact"/>
        <w:rPr>
          <w:rFonts w:ascii="Arial" w:cs="Arial" w:eastAsia="Arial" w:hAnsi="Arial"/>
          <w:sz w:val="21"/>
          <w:szCs w:val="21"/>
          <w:color w:val="auto"/>
        </w:rPr>
      </w:pPr>
    </w:p>
    <w:p>
      <w:pPr>
        <w:jc w:val="both"/>
        <w:ind w:firstLine="757"/>
        <w:spacing w:after="0" w:line="260" w:lineRule="auto"/>
        <w:tabs>
          <w:tab w:leader="none" w:pos="1018" w:val="left"/>
        </w:tabs>
        <w:numPr>
          <w:ilvl w:val="0"/>
          <w:numId w:val="5"/>
        </w:numPr>
        <w:rPr>
          <w:rFonts w:ascii="Arial" w:cs="Arial" w:eastAsia="Arial" w:hAnsi="Arial"/>
          <w:sz w:val="21"/>
          <w:szCs w:val="21"/>
          <w:color w:val="auto"/>
        </w:rPr>
      </w:pPr>
      <w:r>
        <w:rPr>
          <w:rFonts w:ascii="Arial" w:cs="Arial" w:eastAsia="Arial" w:hAnsi="Arial"/>
          <w:sz w:val="21"/>
          <w:szCs w:val="21"/>
          <w:b w:val="1"/>
          <w:bCs w:val="1"/>
          <w:color w:val="auto"/>
        </w:rPr>
        <w:t>No Fractional Shares or Scrip</w:t>
      </w:r>
      <w:r>
        <w:rPr>
          <w:rFonts w:ascii="Arial" w:cs="Arial" w:eastAsia="Arial" w:hAnsi="Arial"/>
          <w:sz w:val="21"/>
          <w:szCs w:val="21"/>
          <w:color w:val="auto"/>
        </w:rPr>
        <w:t>. No fractional or scrip representing fractional shares shall be issued upon the</w:t>
      </w:r>
      <w:r>
        <w:rPr>
          <w:rFonts w:ascii="Arial" w:cs="Arial" w:eastAsia="Arial" w:hAnsi="Arial"/>
          <w:sz w:val="21"/>
          <w:szCs w:val="21"/>
          <w:b w:val="1"/>
          <w:bCs w:val="1"/>
          <w:color w:val="auto"/>
        </w:rPr>
        <w:t xml:space="preserve"> </w:t>
      </w:r>
      <w:r>
        <w:rPr>
          <w:rFonts w:ascii="Arial" w:cs="Arial" w:eastAsia="Arial" w:hAnsi="Arial"/>
          <w:sz w:val="21"/>
          <w:szCs w:val="21"/>
          <w:color w:val="auto"/>
        </w:rPr>
        <w:t>exercise of this Warrant Certificate. As to any fraction of a share which the Holder would otherwise be entitled to purchase upon such exercise, the Company shall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 w:name="page11"/>
    <w:bookmarkEnd w:id="10"/>
    <w:p>
      <w:pPr>
        <w:ind w:right="20"/>
        <w:spacing w:after="0" w:line="274" w:lineRule="auto"/>
        <w:rPr>
          <w:sz w:val="20"/>
          <w:szCs w:val="20"/>
          <w:color w:val="auto"/>
        </w:rPr>
      </w:pPr>
      <w:r>
        <w:rPr>
          <w:rFonts w:ascii="Arial" w:cs="Arial" w:eastAsia="Arial" w:hAnsi="Arial"/>
          <w:sz w:val="21"/>
          <w:szCs w:val="21"/>
          <w:color w:val="auto"/>
        </w:rPr>
        <w:t>at its election, either pay a cash adjustment in respect of such final fraction in an amount equal to such fraction multiplied by the Fair Market Value of one Warrant Share on the Exercise Date or round up to the next whole share.</w:t>
      </w:r>
    </w:p>
    <w:p>
      <w:pPr>
        <w:spacing w:after="0" w:line="145" w:lineRule="exact"/>
        <w:rPr>
          <w:sz w:val="20"/>
          <w:szCs w:val="20"/>
          <w:color w:val="auto"/>
        </w:rPr>
      </w:pPr>
    </w:p>
    <w:p>
      <w:pPr>
        <w:ind w:left="1020" w:hanging="263"/>
        <w:spacing w:after="0"/>
        <w:tabs>
          <w:tab w:leader="none" w:pos="1020"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Surrender of this Warrant Certificate; Delivery of New Warrant Certificate.</w:t>
      </w:r>
    </w:p>
    <w:p>
      <w:pPr>
        <w:spacing w:after="0" w:line="212" w:lineRule="exact"/>
        <w:rPr>
          <w:rFonts w:ascii="Arial" w:cs="Arial" w:eastAsia="Arial" w:hAnsi="Arial"/>
          <w:sz w:val="22"/>
          <w:szCs w:val="22"/>
          <w:color w:val="auto"/>
        </w:rPr>
      </w:pPr>
    </w:p>
    <w:p>
      <w:pPr>
        <w:jc w:val="both"/>
        <w:ind w:firstLine="1505"/>
        <w:spacing w:after="0" w:line="272" w:lineRule="auto"/>
        <w:tabs>
          <w:tab w:leader="none" w:pos="2036" w:val="left"/>
        </w:tabs>
        <w:numPr>
          <w:ilvl w:val="1"/>
          <w:numId w:val="6"/>
        </w:numPr>
        <w:rPr>
          <w:rFonts w:ascii="Arial" w:cs="Arial" w:eastAsia="Arial" w:hAnsi="Arial"/>
          <w:sz w:val="19"/>
          <w:szCs w:val="19"/>
          <w:color w:val="auto"/>
        </w:rPr>
      </w:pPr>
      <w:r>
        <w:rPr>
          <w:rFonts w:ascii="Arial" w:cs="Arial" w:eastAsia="Arial" w:hAnsi="Arial"/>
          <w:sz w:val="19"/>
          <w:szCs w:val="19"/>
          <w:color w:val="auto"/>
        </w:rPr>
        <w:t xml:space="preserve">The Holder shall not be required to physically surrender this Warrant Certificate to the Company until this Warrant Certificate has been exercised in full by the Holder, in which case, the Holder shall, at the written request of the Company, surrender this Warrant Certificate to the Company for cancellation within three (3) Business Days after the date the final Exercise Certificate is delivered to the Company. Partial exercises of this Warrant Certificate resulting in purchases of a portion of the total number of Warrant Shares available hereunder shall have the effect of lowering the outstanding number of Warrant Shares issuable hereunder by an amount equal to the applicable number of Warrant Shares that have been issued hereunder as a result of previous exercises or withheld in connection with any Cashless Exercises. The Holder and the Company shall maintain records showing the number of Warrant Shares issued and purchased, the date of such issuances and purchases and the number of Warrant Shares withheld in connection with any Cashless Exercises. The Holder and any assignee, by acceptance of this Warrant Certificate, acknowledge and agree that, by reason of the provisions of this </w:t>
      </w:r>
      <w:r>
        <w:rPr>
          <w:rFonts w:ascii="Arial" w:cs="Arial" w:eastAsia="Arial" w:hAnsi="Arial"/>
          <w:sz w:val="19"/>
          <w:szCs w:val="19"/>
          <w:b w:val="1"/>
          <w:bCs w:val="1"/>
          <w:color w:val="auto"/>
        </w:rPr>
        <w:t>Section 3(f)</w:t>
      </w:r>
      <w:r>
        <w:rPr>
          <w:rFonts w:ascii="Arial" w:cs="Arial" w:eastAsia="Arial" w:hAnsi="Arial"/>
          <w:sz w:val="19"/>
          <w:szCs w:val="19"/>
          <w:color w:val="auto"/>
        </w:rPr>
        <w:t>, following the purchase of a portion of the Warrant Shares hereunder, the number of Warrant Shares available for purchase hereunder at any given time may be fewer than the amount stated on the face hereof.</w:t>
      </w:r>
    </w:p>
    <w:p>
      <w:pPr>
        <w:spacing w:after="0" w:line="160" w:lineRule="exact"/>
        <w:rPr>
          <w:rFonts w:ascii="Arial" w:cs="Arial" w:eastAsia="Arial" w:hAnsi="Arial"/>
          <w:sz w:val="19"/>
          <w:szCs w:val="19"/>
          <w:color w:val="auto"/>
        </w:rPr>
      </w:pPr>
    </w:p>
    <w:p>
      <w:pPr>
        <w:jc w:val="both"/>
        <w:ind w:firstLine="1505"/>
        <w:spacing w:after="0" w:line="279" w:lineRule="auto"/>
        <w:tabs>
          <w:tab w:leader="none" w:pos="2036" w:val="left"/>
        </w:tabs>
        <w:numPr>
          <w:ilvl w:val="1"/>
          <w:numId w:val="6"/>
        </w:numPr>
        <w:rPr>
          <w:rFonts w:ascii="Arial" w:cs="Arial" w:eastAsia="Arial" w:hAnsi="Arial"/>
          <w:sz w:val="19"/>
          <w:szCs w:val="19"/>
          <w:color w:val="auto"/>
        </w:rPr>
      </w:pPr>
      <w:r>
        <w:rPr>
          <w:rFonts w:ascii="Arial" w:cs="Arial" w:eastAsia="Arial" w:hAnsi="Arial"/>
          <w:sz w:val="19"/>
          <w:szCs w:val="19"/>
          <w:color w:val="auto"/>
        </w:rPr>
        <w:t xml:space="preserve">Notwithstanding the foregoing, to the extent that there are unexpired and unexercised Warrant Shares remaining under the Warrant Certificate, the Holder may request that the Company (and the Company shall), at the time of issuance of any Warrant Shares in accordance with </w:t>
      </w:r>
      <w:r>
        <w:rPr>
          <w:rFonts w:ascii="Arial" w:cs="Arial" w:eastAsia="Arial" w:hAnsi="Arial"/>
          <w:sz w:val="19"/>
          <w:szCs w:val="19"/>
          <w:b w:val="1"/>
          <w:bCs w:val="1"/>
          <w:color w:val="auto"/>
        </w:rPr>
        <w:t>Section 3(d)</w:t>
      </w:r>
      <w:r>
        <w:rPr>
          <w:rFonts w:ascii="Arial" w:cs="Arial" w:eastAsia="Arial" w:hAnsi="Arial"/>
          <w:sz w:val="19"/>
          <w:szCs w:val="19"/>
          <w:color w:val="auto"/>
        </w:rPr>
        <w:t xml:space="preserve"> and the surrender of this Warrant Certificate, deliver to the Holder a new Warrant Certificate evidencing the rights of the Holder to subscribe for the unexpired and unexercised Warrant Shares called for by this Warrant Certificate. Unless otherwise agreed upon by the Holder in its sole discretion, such new Warrant Certificate shall in all other respects be identical to this Warrant Certificate.</w:t>
      </w:r>
    </w:p>
    <w:p>
      <w:pPr>
        <w:spacing w:after="0" w:line="144" w:lineRule="exact"/>
        <w:rPr>
          <w:rFonts w:ascii="Arial" w:cs="Arial" w:eastAsia="Arial" w:hAnsi="Arial"/>
          <w:sz w:val="19"/>
          <w:szCs w:val="19"/>
          <w:color w:val="auto"/>
        </w:rPr>
      </w:pPr>
    </w:p>
    <w:p>
      <w:pPr>
        <w:ind w:firstLine="757"/>
        <w:spacing w:after="0" w:line="280" w:lineRule="auto"/>
        <w:tabs>
          <w:tab w:leader="none" w:pos="1018" w:val="left"/>
        </w:tabs>
        <w:numPr>
          <w:ilvl w:val="0"/>
          <w:numId w:val="6"/>
        </w:numPr>
        <w:rPr>
          <w:rFonts w:ascii="Arial" w:cs="Arial" w:eastAsia="Arial" w:hAnsi="Arial"/>
          <w:sz w:val="21"/>
          <w:szCs w:val="21"/>
          <w:color w:val="auto"/>
        </w:rPr>
      </w:pPr>
      <w:r>
        <w:rPr>
          <w:rFonts w:ascii="Arial" w:cs="Arial" w:eastAsia="Arial" w:hAnsi="Arial"/>
          <w:sz w:val="21"/>
          <w:szCs w:val="21"/>
          <w:b w:val="1"/>
          <w:bCs w:val="1"/>
          <w:color w:val="auto"/>
        </w:rPr>
        <w:t>Valid Issuance of Warrant Certificate and Warrant Shares; Payment of Taxes</w:t>
      </w:r>
      <w:r>
        <w:rPr>
          <w:rFonts w:ascii="Arial" w:cs="Arial" w:eastAsia="Arial" w:hAnsi="Arial"/>
          <w:sz w:val="21"/>
          <w:szCs w:val="21"/>
          <w:color w:val="auto"/>
        </w:rPr>
        <w:t>. With respect to the exercise of</w:t>
      </w:r>
      <w:r>
        <w:rPr>
          <w:rFonts w:ascii="Arial" w:cs="Arial" w:eastAsia="Arial" w:hAnsi="Arial"/>
          <w:sz w:val="21"/>
          <w:szCs w:val="21"/>
          <w:b w:val="1"/>
          <w:bCs w:val="1"/>
          <w:color w:val="auto"/>
        </w:rPr>
        <w:t xml:space="preserve"> </w:t>
      </w:r>
      <w:r>
        <w:rPr>
          <w:rFonts w:ascii="Arial" w:cs="Arial" w:eastAsia="Arial" w:hAnsi="Arial"/>
          <w:sz w:val="21"/>
          <w:szCs w:val="21"/>
          <w:color w:val="auto"/>
        </w:rPr>
        <w:t>this Warrant Certificate, the Company hereby represents, warrants, covenants and agrees as follows:</w:t>
      </w:r>
    </w:p>
    <w:p>
      <w:pPr>
        <w:spacing w:after="0" w:line="144" w:lineRule="exact"/>
        <w:rPr>
          <w:rFonts w:ascii="Arial" w:cs="Arial" w:eastAsia="Arial" w:hAnsi="Arial"/>
          <w:sz w:val="21"/>
          <w:szCs w:val="21"/>
          <w:color w:val="auto"/>
        </w:rPr>
      </w:pPr>
    </w:p>
    <w:p>
      <w:pPr>
        <w:ind w:right="20" w:firstLine="1505"/>
        <w:spacing w:after="0" w:line="250" w:lineRule="auto"/>
        <w:tabs>
          <w:tab w:leader="none" w:pos="2036" w:val="left"/>
        </w:tabs>
        <w:numPr>
          <w:ilvl w:val="1"/>
          <w:numId w:val="6"/>
        </w:numPr>
        <w:rPr>
          <w:rFonts w:ascii="Arial" w:cs="Arial" w:eastAsia="Arial" w:hAnsi="Arial"/>
          <w:sz w:val="22"/>
          <w:szCs w:val="22"/>
          <w:color w:val="auto"/>
        </w:rPr>
      </w:pPr>
      <w:r>
        <w:rPr>
          <w:rFonts w:ascii="Arial" w:cs="Arial" w:eastAsia="Arial" w:hAnsi="Arial"/>
          <w:sz w:val="22"/>
          <w:szCs w:val="22"/>
          <w:color w:val="auto"/>
        </w:rPr>
        <w:t>This Warrant Certificate is, and any Warrant Certificate issued in substitution for or replacement of this Warrant Certificate shall be, upon issuance, duly authorized.</w:t>
      </w:r>
    </w:p>
    <w:p>
      <w:pPr>
        <w:spacing w:after="0" w:line="174" w:lineRule="exact"/>
        <w:rPr>
          <w:rFonts w:ascii="Arial" w:cs="Arial" w:eastAsia="Arial" w:hAnsi="Arial"/>
          <w:sz w:val="22"/>
          <w:szCs w:val="22"/>
          <w:color w:val="auto"/>
        </w:rPr>
      </w:pPr>
    </w:p>
    <w:p>
      <w:pPr>
        <w:jc w:val="both"/>
        <w:ind w:firstLine="1505"/>
        <w:spacing w:after="0" w:line="279" w:lineRule="auto"/>
        <w:tabs>
          <w:tab w:leader="none" w:pos="2036" w:val="left"/>
        </w:tabs>
        <w:numPr>
          <w:ilvl w:val="1"/>
          <w:numId w:val="6"/>
        </w:numPr>
        <w:rPr>
          <w:rFonts w:ascii="Arial" w:cs="Arial" w:eastAsia="Arial" w:hAnsi="Arial"/>
          <w:sz w:val="19"/>
          <w:szCs w:val="19"/>
          <w:color w:val="auto"/>
        </w:rPr>
      </w:pPr>
      <w:r>
        <w:rPr>
          <w:rFonts w:ascii="Arial" w:cs="Arial" w:eastAsia="Arial" w:hAnsi="Arial"/>
          <w:sz w:val="19"/>
          <w:szCs w:val="19"/>
          <w:color w:val="auto"/>
        </w:rPr>
        <w:t>All Warrant Shares issuable upon the exercise of this Warrant Certificate (or any substitute or replacement Warrant Certificate) shall be, upon issuance, and the Company shall take all such actions as may be necessary or appropriate in order that such Warrant Shares are, validly issued, fully paid and non-assessable, issued without violation of any preemptive or similar rights of any shareholder of the Company and free and clear of all liens and charges (other than liens or charges created by the Holder, or created with regard to income taxes or other taxes payable by the Holder incurred in connection with the exercise of the Warrant or taxes in respect of any transfer made by the Holder occurring contemporaneously therewith).</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 w:name="page12"/>
    <w:bookmarkEnd w:id="11"/>
    <w:p>
      <w:pPr>
        <w:ind w:left="2040" w:hanging="535"/>
        <w:spacing w:after="0"/>
        <w:tabs>
          <w:tab w:leader="none" w:pos="2040" w:val="left"/>
        </w:tabs>
        <w:numPr>
          <w:ilvl w:val="1"/>
          <w:numId w:val="7"/>
        </w:numPr>
        <w:rPr>
          <w:rFonts w:ascii="Arial" w:cs="Arial" w:eastAsia="Arial" w:hAnsi="Arial"/>
          <w:sz w:val="19"/>
          <w:szCs w:val="19"/>
          <w:color w:val="auto"/>
        </w:rPr>
      </w:pPr>
      <w:r>
        <w:rPr>
          <w:rFonts w:ascii="Arial" w:cs="Arial" w:eastAsia="Arial" w:hAnsi="Arial"/>
          <w:sz w:val="19"/>
          <w:szCs w:val="19"/>
          <w:color w:val="auto"/>
        </w:rPr>
        <w:t xml:space="preserve">The Company shall take all such actions as may be necessary to (x) comply with </w:t>
      </w:r>
      <w:r>
        <w:rPr>
          <w:rFonts w:ascii="Arial" w:cs="Arial" w:eastAsia="Arial" w:hAnsi="Arial"/>
          <w:sz w:val="19"/>
          <w:szCs w:val="19"/>
          <w:b w:val="1"/>
          <w:bCs w:val="1"/>
          <w:color w:val="auto"/>
        </w:rPr>
        <w:t>Section 3(i)</w:t>
      </w:r>
      <w:r>
        <w:rPr>
          <w:rFonts w:ascii="Arial" w:cs="Arial" w:eastAsia="Arial" w:hAnsi="Arial"/>
          <w:sz w:val="19"/>
          <w:szCs w:val="19"/>
          <w:color w:val="auto"/>
        </w:rPr>
        <w:t xml:space="preserve"> below and</w:t>
      </w:r>
    </w:p>
    <w:p>
      <w:pPr>
        <w:spacing w:after="0" w:line="48" w:lineRule="exact"/>
        <w:rPr>
          <w:rFonts w:ascii="Arial" w:cs="Arial" w:eastAsia="Arial" w:hAnsi="Arial"/>
          <w:sz w:val="19"/>
          <w:szCs w:val="19"/>
          <w:color w:val="auto"/>
        </w:rPr>
      </w:pPr>
    </w:p>
    <w:p>
      <w:pPr>
        <w:ind w:firstLine="8"/>
        <w:spacing w:after="0" w:line="256" w:lineRule="auto"/>
        <w:tabs>
          <w:tab w:leader="none" w:pos="332" w:val="left"/>
        </w:tabs>
        <w:numPr>
          <w:ilvl w:val="0"/>
          <w:numId w:val="8"/>
        </w:numPr>
        <w:rPr>
          <w:rFonts w:ascii="Arial" w:cs="Arial" w:eastAsia="Arial" w:hAnsi="Arial"/>
          <w:sz w:val="21"/>
          <w:szCs w:val="21"/>
          <w:color w:val="auto"/>
        </w:rPr>
      </w:pPr>
      <w:r>
        <w:rPr>
          <w:rFonts w:ascii="Arial" w:cs="Arial" w:eastAsia="Arial" w:hAnsi="Arial"/>
          <w:sz w:val="21"/>
          <w:szCs w:val="21"/>
          <w:color w:val="auto"/>
        </w:rPr>
        <w:t>ensure that all such Warrant Shares are issued without violation by the Company of any Law or any requirements of any foreign or domestic securities exchange upon which Warrant Shares may be listed at the time of such exercise.</w:t>
      </w:r>
    </w:p>
    <w:p>
      <w:pPr>
        <w:spacing w:after="0" w:line="169" w:lineRule="exact"/>
        <w:rPr>
          <w:sz w:val="20"/>
          <w:szCs w:val="20"/>
          <w:color w:val="auto"/>
        </w:rPr>
      </w:pPr>
    </w:p>
    <w:p>
      <w:pPr>
        <w:jc w:val="both"/>
        <w:ind w:firstLine="1505"/>
        <w:spacing w:after="0" w:line="236" w:lineRule="auto"/>
        <w:tabs>
          <w:tab w:leader="none" w:pos="2036"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Company shall exclusively bear and pay all expenses in connection with, and all governmental charges, taxes, fees, levies, withholdings and all other such payments, that may be imposed on or with respect to, the issuance of this Warrant Certificate, and the issuance or delivery of Warrant Shares pursuant to the terms of this Warrant Certificate and the Holder shall not be affected by such payments, and the Company shall not be eligible to any indemnification for such payment from the Holder.</w:t>
      </w:r>
    </w:p>
    <w:p>
      <w:pPr>
        <w:spacing w:after="0" w:line="187" w:lineRule="exact"/>
        <w:rPr>
          <w:rFonts w:ascii="Arial" w:cs="Arial" w:eastAsia="Arial" w:hAnsi="Arial"/>
          <w:sz w:val="22"/>
          <w:szCs w:val="22"/>
          <w:color w:val="auto"/>
        </w:rPr>
      </w:pPr>
    </w:p>
    <w:p>
      <w:pPr>
        <w:ind w:firstLine="1505"/>
        <w:spacing w:after="0" w:line="250" w:lineRule="auto"/>
        <w:tabs>
          <w:tab w:leader="none" w:pos="2036"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Company is a corporation duly organized and validly existing under the Laws of the State of Delaware and has the capacity and corporate power and authority to enter into this Warrant Certificate.</w:t>
      </w:r>
    </w:p>
    <w:p>
      <w:pPr>
        <w:spacing w:after="0" w:line="174" w:lineRule="exact"/>
        <w:rPr>
          <w:rFonts w:ascii="Arial" w:cs="Arial" w:eastAsia="Arial" w:hAnsi="Arial"/>
          <w:sz w:val="22"/>
          <w:szCs w:val="22"/>
          <w:color w:val="auto"/>
        </w:rPr>
      </w:pPr>
    </w:p>
    <w:p>
      <w:pPr>
        <w:ind w:firstLine="1505"/>
        <w:spacing w:after="0" w:line="250" w:lineRule="auto"/>
        <w:tabs>
          <w:tab w:leader="none" w:pos="2036"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Company has taken all action required to be taken to authorize the execution, delivery and performance of this Warrant Certificate.</w:t>
      </w:r>
    </w:p>
    <w:p>
      <w:pPr>
        <w:spacing w:after="0" w:line="174" w:lineRule="exact"/>
        <w:rPr>
          <w:rFonts w:ascii="Arial" w:cs="Arial" w:eastAsia="Arial" w:hAnsi="Arial"/>
          <w:sz w:val="22"/>
          <w:szCs w:val="22"/>
          <w:color w:val="auto"/>
        </w:rPr>
      </w:pPr>
    </w:p>
    <w:p>
      <w:pPr>
        <w:ind w:left="2040" w:hanging="535"/>
        <w:spacing w:after="0"/>
        <w:tabs>
          <w:tab w:leader="none" w:pos="2040" w:val="left"/>
        </w:tabs>
        <w:numPr>
          <w:ilvl w:val="1"/>
          <w:numId w:val="9"/>
        </w:numPr>
        <w:rPr>
          <w:rFonts w:ascii="Arial" w:cs="Arial" w:eastAsia="Arial" w:hAnsi="Arial"/>
          <w:sz w:val="22"/>
          <w:szCs w:val="22"/>
          <w:color w:val="auto"/>
        </w:rPr>
      </w:pPr>
      <w:r>
        <w:rPr>
          <w:rFonts w:ascii="Arial" w:cs="Arial" w:eastAsia="Arial" w:hAnsi="Arial"/>
          <w:sz w:val="22"/>
          <w:szCs w:val="22"/>
          <w:color w:val="auto"/>
        </w:rPr>
        <w:t>This Warrant Certificate has been duly executed by the Company.</w:t>
      </w:r>
    </w:p>
    <w:p>
      <w:pPr>
        <w:spacing w:after="0" w:line="206" w:lineRule="exact"/>
        <w:rPr>
          <w:rFonts w:ascii="Arial" w:cs="Arial" w:eastAsia="Arial" w:hAnsi="Arial"/>
          <w:sz w:val="22"/>
          <w:szCs w:val="22"/>
          <w:color w:val="auto"/>
        </w:rPr>
      </w:pPr>
    </w:p>
    <w:p>
      <w:pPr>
        <w:jc w:val="both"/>
        <w:ind w:firstLine="1505"/>
        <w:spacing w:after="0" w:line="238" w:lineRule="auto"/>
        <w:tabs>
          <w:tab w:leader="none" w:pos="2036"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obligations of the Company under this Warrant Certificate are legal, valid and binding obligations, enforceable against the Company in accordance with the terms hereof, except to the extent that enforceability may be limited by bankruptcy, insolvency, reorganization, moratorium or similar laws affecting creditors’ rights generally and by general equitable principles.</w:t>
      </w:r>
    </w:p>
    <w:p>
      <w:pPr>
        <w:spacing w:after="0" w:line="178" w:lineRule="exact"/>
        <w:rPr>
          <w:rFonts w:ascii="Arial" w:cs="Arial" w:eastAsia="Arial" w:hAnsi="Arial"/>
          <w:sz w:val="22"/>
          <w:szCs w:val="22"/>
          <w:color w:val="auto"/>
        </w:rPr>
      </w:pPr>
    </w:p>
    <w:p>
      <w:pPr>
        <w:ind w:left="2040" w:hanging="535"/>
        <w:spacing w:after="0"/>
        <w:tabs>
          <w:tab w:leader="none" w:pos="2040" w:val="left"/>
        </w:tabs>
        <w:numPr>
          <w:ilvl w:val="1"/>
          <w:numId w:val="9"/>
        </w:numPr>
        <w:rPr>
          <w:rFonts w:ascii="Arial" w:cs="Arial" w:eastAsia="Arial" w:hAnsi="Arial"/>
          <w:sz w:val="19"/>
          <w:szCs w:val="19"/>
          <w:color w:val="auto"/>
        </w:rPr>
      </w:pPr>
      <w:r>
        <w:rPr>
          <w:rFonts w:ascii="Arial" w:cs="Arial" w:eastAsia="Arial" w:hAnsi="Arial"/>
          <w:sz w:val="19"/>
          <w:szCs w:val="19"/>
          <w:color w:val="auto"/>
        </w:rPr>
        <w:t xml:space="preserve">As of the Issue Date, the Company has complied with all obligations set forth in </w:t>
      </w:r>
      <w:r>
        <w:rPr>
          <w:rFonts w:ascii="Arial" w:cs="Arial" w:eastAsia="Arial" w:hAnsi="Arial"/>
          <w:sz w:val="19"/>
          <w:szCs w:val="19"/>
          <w:b w:val="1"/>
          <w:bCs w:val="1"/>
          <w:color w:val="auto"/>
        </w:rPr>
        <w:t>Section 3(i)</w:t>
      </w:r>
      <w:r>
        <w:rPr>
          <w:rFonts w:ascii="Arial" w:cs="Arial" w:eastAsia="Arial" w:hAnsi="Arial"/>
          <w:sz w:val="19"/>
          <w:szCs w:val="19"/>
          <w:color w:val="auto"/>
        </w:rPr>
        <w:t>, below.</w:t>
      </w:r>
    </w:p>
    <w:p>
      <w:pPr>
        <w:spacing w:after="0" w:line="240" w:lineRule="exact"/>
        <w:rPr>
          <w:rFonts w:ascii="Arial" w:cs="Arial" w:eastAsia="Arial" w:hAnsi="Arial"/>
          <w:sz w:val="19"/>
          <w:szCs w:val="19"/>
          <w:color w:val="auto"/>
        </w:rPr>
      </w:pPr>
    </w:p>
    <w:p>
      <w:pPr>
        <w:jc w:val="both"/>
        <w:ind w:firstLine="757"/>
        <w:spacing w:after="0" w:line="254" w:lineRule="auto"/>
        <w:tabs>
          <w:tab w:leader="none" w:pos="1018" w:val="left"/>
        </w:tabs>
        <w:numPr>
          <w:ilvl w:val="0"/>
          <w:numId w:val="10"/>
        </w:numPr>
        <w:rPr>
          <w:rFonts w:ascii="Arial" w:cs="Arial" w:eastAsia="Arial" w:hAnsi="Arial"/>
          <w:sz w:val="21"/>
          <w:szCs w:val="21"/>
          <w:color w:val="auto"/>
        </w:rPr>
      </w:pPr>
      <w:r>
        <w:rPr>
          <w:rFonts w:ascii="Arial" w:cs="Arial" w:eastAsia="Arial" w:hAnsi="Arial"/>
          <w:sz w:val="21"/>
          <w:szCs w:val="21"/>
          <w:b w:val="1"/>
          <w:bCs w:val="1"/>
          <w:color w:val="auto"/>
        </w:rPr>
        <w:t>Conditional Exercise</w:t>
      </w:r>
      <w:r>
        <w:rPr>
          <w:rFonts w:ascii="Arial" w:cs="Arial" w:eastAsia="Arial" w:hAnsi="Arial"/>
          <w:sz w:val="21"/>
          <w:szCs w:val="21"/>
          <w:color w:val="auto"/>
        </w:rPr>
        <w:t>. Notwithstanding any other provision hereof, if an exercise of all or any portion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Warrant Certificate is to be made in connection with a Sale of the Company, such exercise may, at the election of the Holder, be conditioned upon the consummation of such transaction, in which case such exercise shall not be deemed to be effective until immediately prior to the consummation of such transaction.</w:t>
      </w:r>
    </w:p>
    <w:p>
      <w:pPr>
        <w:spacing w:after="0" w:line="165" w:lineRule="exact"/>
        <w:rPr>
          <w:rFonts w:ascii="Arial" w:cs="Arial" w:eastAsia="Arial" w:hAnsi="Arial"/>
          <w:sz w:val="21"/>
          <w:szCs w:val="21"/>
          <w:color w:val="auto"/>
        </w:rPr>
      </w:pPr>
    </w:p>
    <w:p>
      <w:pPr>
        <w:jc w:val="both"/>
        <w:ind w:firstLine="757"/>
        <w:spacing w:after="0" w:line="247" w:lineRule="auto"/>
        <w:tabs>
          <w:tab w:leader="none" w:pos="1018" w:val="left"/>
        </w:tabs>
        <w:numPr>
          <w:ilvl w:val="0"/>
          <w:numId w:val="10"/>
        </w:numPr>
        <w:rPr>
          <w:rFonts w:ascii="Arial" w:cs="Arial" w:eastAsia="Arial" w:hAnsi="Arial"/>
          <w:sz w:val="21"/>
          <w:szCs w:val="21"/>
          <w:color w:val="auto"/>
        </w:rPr>
      </w:pPr>
      <w:r>
        <w:rPr>
          <w:rFonts w:ascii="Arial" w:cs="Arial" w:eastAsia="Arial" w:hAnsi="Arial"/>
          <w:sz w:val="21"/>
          <w:szCs w:val="21"/>
          <w:b w:val="1"/>
          <w:bCs w:val="1"/>
          <w:color w:val="auto"/>
        </w:rPr>
        <w:t>Reservation of Shares</w:t>
      </w:r>
      <w:r>
        <w:rPr>
          <w:rFonts w:ascii="Arial" w:cs="Arial" w:eastAsia="Arial" w:hAnsi="Arial"/>
          <w:sz w:val="21"/>
          <w:szCs w:val="21"/>
          <w:color w:val="auto"/>
        </w:rPr>
        <w:t>. The Company shall at all times during the Exercise Period reserve and keep available out of</w:t>
      </w:r>
      <w:r>
        <w:rPr>
          <w:rFonts w:ascii="Arial" w:cs="Arial" w:eastAsia="Arial" w:hAnsi="Arial"/>
          <w:sz w:val="21"/>
          <w:szCs w:val="21"/>
          <w:b w:val="1"/>
          <w:bCs w:val="1"/>
          <w:color w:val="auto"/>
        </w:rPr>
        <w:t xml:space="preserve"> </w:t>
      </w:r>
      <w:r>
        <w:rPr>
          <w:rFonts w:ascii="Arial" w:cs="Arial" w:eastAsia="Arial" w:hAnsi="Arial"/>
          <w:sz w:val="21"/>
          <w:szCs w:val="21"/>
          <w:color w:val="auto"/>
        </w:rPr>
        <w:t>its authorized but unissued Common Shares or (if applicable) other securities constituting Warrant Shares, solely for the purpose of issuance upon the exercise of this Warrant Certificate, the maximum number of Warrant Shares issuable upon the exercise of this Warrant Certificate. The Company shall not increase the par value of any Warrant Shares receivable upon the exercise of this Warrant Certificate above the Exercise Price then in effect, and shall take all such actions within its power as may be necessary or appropriate in order that the Company may validly and legally issue fully paid and nonassessable Warrant Shares upon the exercise of this Warrant Certificate.</w:t>
      </w:r>
    </w:p>
    <w:p>
      <w:pPr>
        <w:spacing w:after="0" w:line="177" w:lineRule="exact"/>
        <w:rPr>
          <w:rFonts w:ascii="Arial" w:cs="Arial" w:eastAsia="Arial" w:hAnsi="Arial"/>
          <w:sz w:val="21"/>
          <w:szCs w:val="21"/>
          <w:color w:val="auto"/>
        </w:rPr>
      </w:pPr>
    </w:p>
    <w:p>
      <w:pPr>
        <w:ind w:firstLine="757"/>
        <w:spacing w:after="0" w:line="256" w:lineRule="auto"/>
        <w:tabs>
          <w:tab w:leader="none" w:pos="1018" w:val="left"/>
        </w:tabs>
        <w:numPr>
          <w:ilvl w:val="0"/>
          <w:numId w:val="10"/>
        </w:numPr>
        <w:rPr>
          <w:rFonts w:ascii="Arial" w:cs="Arial" w:eastAsia="Arial" w:hAnsi="Arial"/>
          <w:sz w:val="22"/>
          <w:szCs w:val="22"/>
          <w:color w:val="auto"/>
        </w:rPr>
      </w:pPr>
      <w:r>
        <w:rPr>
          <w:rFonts w:ascii="Arial" w:cs="Arial" w:eastAsia="Arial" w:hAnsi="Arial"/>
          <w:sz w:val="22"/>
          <w:szCs w:val="22"/>
          <w:b w:val="1"/>
          <w:bCs w:val="1"/>
          <w:color w:val="auto"/>
        </w:rPr>
        <w:t>Registration</w:t>
      </w:r>
      <w:r>
        <w:rPr>
          <w:rFonts w:ascii="Arial" w:cs="Arial" w:eastAsia="Arial" w:hAnsi="Arial"/>
          <w:sz w:val="22"/>
          <w:szCs w:val="22"/>
          <w:color w:val="auto"/>
        </w:rPr>
        <w:t>. If all or any portion of this Warrant Certificate is exercised at a time when there is an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Registration Statement to cover the issuance or resale of the Warrant Shares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 w:name="page13"/>
    <w:bookmarkEnd w:id="12"/>
    <w:p>
      <w:pPr>
        <w:jc w:val="both"/>
        <w:spacing w:after="0" w:line="272" w:lineRule="auto"/>
        <w:rPr>
          <w:sz w:val="20"/>
          <w:szCs w:val="20"/>
          <w:color w:val="auto"/>
        </w:rPr>
      </w:pPr>
      <w:r>
        <w:rPr>
          <w:rFonts w:ascii="Arial" w:cs="Arial" w:eastAsia="Arial" w:hAnsi="Arial"/>
          <w:sz w:val="19"/>
          <w:szCs w:val="19"/>
          <w:color w:val="auto"/>
        </w:rPr>
        <w:t>or if the Warrant Certificate is exercised via cashless exercise, the Warrant Shares issued pursuant to any such exercise shall be issued free of all legends. If at any time following the date of issuance, a registration statement registering the sale or resale of the Warrant Shares is not effective or is not otherwise available for the sale or resale of the Warrant Shares, the Company shall immediately notify the Holder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the Holder to sell, any of the Warrant Shares in compliance with applicable federal and state securities laws). So long as this Warrant Certificate is outstanding, the Company will keep a registration statement registering the issuance or resale of the Warrant Shares effective and will timely file (or obtain extensions in respect thereof and file within the applicable grace period) all reports required to be filed by the Company after the date hereof pursuant to the Exchange Act for so long as the Company is subject to the reporting requirements of the Exchange Act; provided that, for avoidance of doubt, the forgoing covenant shall not require the Company to maintain registration following the Sale of the Company as a result of which the Warrants become exercisable pursuant to Section 3(c).</w:t>
      </w:r>
    </w:p>
    <w:p>
      <w:pPr>
        <w:spacing w:after="0" w:line="155" w:lineRule="exact"/>
        <w:rPr>
          <w:sz w:val="20"/>
          <w:szCs w:val="20"/>
          <w:color w:val="auto"/>
        </w:rPr>
      </w:pPr>
    </w:p>
    <w:p>
      <w:pPr>
        <w:jc w:val="both"/>
        <w:ind w:firstLine="757"/>
        <w:spacing w:after="0" w:line="268" w:lineRule="auto"/>
        <w:tabs>
          <w:tab w:leader="none" w:pos="1018" w:val="left"/>
        </w:tabs>
        <w:numPr>
          <w:ilvl w:val="1"/>
          <w:numId w:val="11"/>
        </w:numPr>
        <w:rPr>
          <w:rFonts w:ascii="Arial" w:cs="Arial" w:eastAsia="Arial" w:hAnsi="Arial"/>
          <w:sz w:val="19"/>
          <w:szCs w:val="19"/>
          <w:color w:val="auto"/>
        </w:rPr>
      </w:pPr>
      <w:r>
        <w:rPr>
          <w:rFonts w:ascii="Arial" w:cs="Arial" w:eastAsia="Arial" w:hAnsi="Arial"/>
          <w:sz w:val="19"/>
          <w:szCs w:val="19"/>
          <w:b w:val="1"/>
          <w:bCs w:val="1"/>
          <w:color w:val="auto"/>
        </w:rPr>
        <w:t>Ownership Cap</w:t>
      </w:r>
      <w:r>
        <w:rPr>
          <w:rFonts w:ascii="Arial" w:cs="Arial" w:eastAsia="Arial" w:hAnsi="Arial"/>
          <w:sz w:val="19"/>
          <w:szCs w:val="19"/>
          <w:color w:val="auto"/>
        </w:rPr>
        <w:t>. The Company shall not knowingly effect the exercise of this Warrant Certificate, and the Initial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Holder shall not have the right to exercise this Warrant Certificate to the extent that, after giving effect to such exercise, the Initial Holder (together with its Affiliates) would beneficially own in excess of 9.99% of the Common Shares of the Company (including any Common Shares represented by CDIs) immediately after giving effect to such exercise. For purposes of the foregoing sentence, the aggregate number of Common Shares (including any Common Shares represented by CDIs) owned by the Initial Holder and its Affiliates shall include the number of Warrant Shares issuable upon exercise of this Warrant Certificate with respect to which the determination of such aggregate number is being made, but shall exclude Common Shares (if any) that would be issuable upon (i) exercise of the remaining, unexercised portion of this Warrant Certificate beneficially owned by the Initial Holder and its Affiliates and (ii) exercise or conversion of the unexercised or unconverted portion of any other Capital Securities of the Company beneficially owned by the Initial Holder and its Affiliates (including, without limitation, any Convertible Securities) subject to a limitation on conversion or exercise analogous to the limitations contained herein. Except as set forth in the preceding sentence, for purposes of this </w:t>
      </w:r>
      <w:r>
        <w:rPr>
          <w:rFonts w:ascii="Arial" w:cs="Arial" w:eastAsia="Arial" w:hAnsi="Arial"/>
          <w:sz w:val="19"/>
          <w:szCs w:val="19"/>
          <w:b w:val="1"/>
          <w:bCs w:val="1"/>
          <w:color w:val="auto"/>
        </w:rPr>
        <w:t>Section 3(k)</w:t>
      </w:r>
      <w:r>
        <w:rPr>
          <w:rFonts w:ascii="Arial" w:cs="Arial" w:eastAsia="Arial" w:hAnsi="Arial"/>
          <w:sz w:val="19"/>
          <w:szCs w:val="19"/>
          <w:color w:val="auto"/>
        </w:rPr>
        <w:t>, beneficial ownership shall be calculated in accordance with Section 13(d) of the Exchange Act. For purposes of this Warrant Certificate, in determining the number of outstanding Common Shares, the Initial Holder of this Warrant Certificate may rely on the number of such outstanding Capital Securities as reflected in the most recent of (i) the Company’s Form 10-K, Form 10-Q or other public filing with the SEC, as the case may be, if available,</w:t>
      </w:r>
    </w:p>
    <w:p>
      <w:pPr>
        <w:spacing w:after="0" w:line="9" w:lineRule="exact"/>
        <w:rPr>
          <w:rFonts w:ascii="Arial" w:cs="Arial" w:eastAsia="Arial" w:hAnsi="Arial"/>
          <w:sz w:val="19"/>
          <w:szCs w:val="19"/>
          <w:color w:val="auto"/>
        </w:rPr>
      </w:pPr>
    </w:p>
    <w:p>
      <w:pPr>
        <w:jc w:val="both"/>
        <w:ind w:firstLine="8"/>
        <w:spacing w:after="0" w:line="287" w:lineRule="auto"/>
        <w:tabs>
          <w:tab w:leader="none" w:pos="337" w:val="left"/>
        </w:tabs>
        <w:numPr>
          <w:ilvl w:val="0"/>
          <w:numId w:val="12"/>
        </w:numPr>
        <w:rPr>
          <w:rFonts w:ascii="Arial" w:cs="Arial" w:eastAsia="Arial" w:hAnsi="Arial"/>
          <w:sz w:val="19"/>
          <w:szCs w:val="19"/>
          <w:color w:val="auto"/>
        </w:rPr>
      </w:pPr>
      <w:r>
        <w:rPr>
          <w:rFonts w:ascii="Arial" w:cs="Arial" w:eastAsia="Arial" w:hAnsi="Arial"/>
          <w:sz w:val="19"/>
          <w:szCs w:val="19"/>
          <w:color w:val="auto"/>
        </w:rPr>
        <w:t>a more recent public announcement by the Company, or (iii) any other notice by the Company or its transfer agent setting forth the number of outstanding Common Shares. Furthermore, upon the written request of the Company, the Initial Holder shall promptly confirm to the Company its then current beneficial ownership with respect to the Company’s Common Shares.</w:t>
      </w:r>
    </w:p>
    <w:p>
      <w:pPr>
        <w:spacing w:after="0" w:line="143" w:lineRule="exact"/>
        <w:rPr>
          <w:rFonts w:ascii="Arial" w:cs="Arial" w:eastAsia="Arial" w:hAnsi="Arial"/>
          <w:sz w:val="19"/>
          <w:szCs w:val="19"/>
          <w:color w:val="auto"/>
        </w:rPr>
      </w:pPr>
    </w:p>
    <w:p>
      <w:pPr>
        <w:jc w:val="both"/>
        <w:ind w:firstLine="757"/>
        <w:spacing w:after="0" w:line="238" w:lineRule="auto"/>
        <w:tabs>
          <w:tab w:leader="none" w:pos="1018" w:val="left"/>
        </w:tabs>
        <w:numPr>
          <w:ilvl w:val="1"/>
          <w:numId w:val="12"/>
        </w:numPr>
        <w:rPr>
          <w:rFonts w:ascii="Arial" w:cs="Arial" w:eastAsia="Arial" w:hAnsi="Arial"/>
          <w:sz w:val="22"/>
          <w:szCs w:val="22"/>
          <w:color w:val="auto"/>
        </w:rPr>
      </w:pPr>
      <w:r>
        <w:rPr>
          <w:rFonts w:ascii="Arial" w:cs="Arial" w:eastAsia="Arial" w:hAnsi="Arial"/>
          <w:sz w:val="22"/>
          <w:szCs w:val="22"/>
          <w:color w:val="auto"/>
        </w:rPr>
        <w:t xml:space="preserve">Except as expressly provided herein with respect to cash payments in lieu of the issuance of fractional shares, and without regard to any exchange of consideration in connection with an automatic Cashless Exercise pursuant to </w:t>
      </w:r>
      <w:r>
        <w:rPr>
          <w:rFonts w:ascii="Arial" w:cs="Arial" w:eastAsia="Arial" w:hAnsi="Arial"/>
          <w:sz w:val="22"/>
          <w:szCs w:val="22"/>
          <w:b w:val="1"/>
          <w:bCs w:val="1"/>
          <w:color w:val="auto"/>
        </w:rPr>
        <w:t>Section 3(c)</w:t>
      </w:r>
      <w:r>
        <w:rPr>
          <w:rFonts w:ascii="Arial" w:cs="Arial" w:eastAsia="Arial" w:hAnsi="Arial"/>
          <w:sz w:val="22"/>
          <w:szCs w:val="22"/>
          <w:color w:val="auto"/>
        </w:rPr>
        <w:t xml:space="preserve"> above or similar event, upon exercise of this Warrant Certificate the Holder shall not otherwise be entitled to receive cash or Warrant Shares that are registered under the Securities Act.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 w:name="page14"/>
    <w:bookmarkEnd w:id="13"/>
    <w:p>
      <w:pPr>
        <w:jc w:val="both"/>
        <w:ind w:firstLine="749"/>
        <w:spacing w:after="0" w:line="297" w:lineRule="auto"/>
        <w:rPr>
          <w:sz w:val="20"/>
          <w:szCs w:val="20"/>
          <w:color w:val="auto"/>
        </w:rPr>
      </w:pPr>
      <w:r>
        <w:rPr>
          <w:rFonts w:ascii="Arial" w:cs="Arial" w:eastAsia="Arial" w:hAnsi="Arial"/>
          <w:sz w:val="19"/>
          <w:szCs w:val="19"/>
          <w:color w:val="auto"/>
        </w:rPr>
        <w:t>(m)This Warrant Certificate is issued, and all Warrant Shares to be issued pursuant to this Warrant Certificate will be issued, so as to fall within the Company's placement capacity under ASX Listing Rule 7.1 and, based on the ASX Listing Rules as at the date of this Warrant Certificate, do not, or will not, require any security holder approval under the ASX Listing Rules.</w:t>
      </w:r>
    </w:p>
    <w:p>
      <w:pPr>
        <w:spacing w:after="0" w:line="12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color w:val="auto"/>
        </w:rPr>
        <w:t>Adjustment to Number of Warrant Shares, Exercise Price, etc</w:t>
      </w:r>
      <w:r>
        <w:rPr>
          <w:rFonts w:ascii="Arial" w:cs="Arial" w:eastAsia="Arial" w:hAnsi="Arial"/>
          <w:sz w:val="19"/>
          <w:szCs w:val="19"/>
          <w:color w:val="auto"/>
        </w:rPr>
        <w:t>.</w:t>
      </w:r>
    </w:p>
    <w:p>
      <w:pPr>
        <w:spacing w:after="0" w:line="212" w:lineRule="exact"/>
        <w:rPr>
          <w:sz w:val="20"/>
          <w:szCs w:val="20"/>
          <w:color w:val="auto"/>
        </w:rPr>
      </w:pPr>
    </w:p>
    <w:p>
      <w:pPr>
        <w:ind w:firstLine="8"/>
        <w:spacing w:after="0" w:line="250" w:lineRule="auto"/>
        <w:tabs>
          <w:tab w:leader="none" w:pos="317"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The number of Warrant Shares issuable upon exercise of this Warrant Certificate shall be subject to adjustment from time to time as provided in this </w:t>
      </w:r>
      <w:r>
        <w:rPr>
          <w:rFonts w:ascii="Arial" w:cs="Arial" w:eastAsia="Arial" w:hAnsi="Arial"/>
          <w:sz w:val="22"/>
          <w:szCs w:val="22"/>
          <w:b w:val="1"/>
          <w:bCs w:val="1"/>
          <w:color w:val="auto"/>
        </w:rPr>
        <w:t>Section 4</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jc w:val="both"/>
        <w:ind w:firstLine="757"/>
        <w:spacing w:after="0" w:line="273" w:lineRule="auto"/>
        <w:tabs>
          <w:tab w:leader="none" w:pos="1018" w:val="left"/>
        </w:tabs>
        <w:numPr>
          <w:ilvl w:val="1"/>
          <w:numId w:val="13"/>
        </w:numPr>
        <w:rPr>
          <w:rFonts w:ascii="Arial" w:cs="Arial" w:eastAsia="Arial" w:hAnsi="Arial"/>
          <w:sz w:val="19"/>
          <w:szCs w:val="19"/>
          <w:color w:val="auto"/>
        </w:rPr>
      </w:pPr>
      <w:r>
        <w:rPr>
          <w:rFonts w:ascii="Arial" w:cs="Arial" w:eastAsia="Arial" w:hAnsi="Arial"/>
          <w:sz w:val="19"/>
          <w:szCs w:val="19"/>
          <w:b w:val="1"/>
          <w:bCs w:val="1"/>
          <w:color w:val="auto"/>
        </w:rPr>
        <w:t>Adjustment to Number of Warrant Shares Upon Reorganizations, Reclassifications, etc</w:t>
      </w:r>
      <w:r>
        <w:rPr>
          <w:rFonts w:ascii="Arial" w:cs="Arial" w:eastAsia="Arial" w:hAnsi="Arial"/>
          <w:sz w:val="19"/>
          <w:szCs w:val="19"/>
          <w:color w:val="auto"/>
        </w:rPr>
        <w:t>. Subject to Section 25,</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of any changes in the outstanding Common Shares of the Company by reason of redemptions, recapitalizations, reclassifications, combinations or exchanges of shares, splits or reverse splits, separations, reorganizations, liquidations, substitutions, replacements or the like (any of the foregoing or combination thereof being a “</w:t>
      </w:r>
      <w:r>
        <w:rPr>
          <w:rFonts w:ascii="Arial" w:cs="Arial" w:eastAsia="Arial" w:hAnsi="Arial"/>
          <w:sz w:val="19"/>
          <w:szCs w:val="19"/>
          <w:b w:val="1"/>
          <w:bCs w:val="1"/>
          <w:i w:val="1"/>
          <w:iCs w:val="1"/>
          <w:color w:val="auto"/>
        </w:rPr>
        <w:t>Share Reorganization</w:t>
      </w:r>
      <w:r>
        <w:rPr>
          <w:rFonts w:ascii="Arial" w:cs="Arial" w:eastAsia="Arial" w:hAnsi="Arial"/>
          <w:sz w:val="19"/>
          <w:szCs w:val="19"/>
          <w:color w:val="auto"/>
        </w:rPr>
        <w:t>”), the number and class of Warrant Shares available upon exercise of this Warrant Certificate in the aggregate and the Exercise Price shall be correspondingly adjusted to give the Holder of this Warrant Certificate, on exercise for the same Aggregate Exercise Price, the total number, class, and kind of shares as the Holder would have owned had this Warrant Certificate been exercised prior to any such event and had the Holder continued to hold such Warrant Shares until after the event requiring adjustment. The form of this Warrant Certificate need not be changed because of any adjustment in the number of Warrant Shares subject to this Warrant Certificate. For the avoidance of doubt, if there is a Share Reorganization and Section 25 applies to such Share Reorganization, the only adjustments that will be made are the relevant adjustments set out in Section 25 and there will be no adjustments made under this Section 4(1)(a).</w:t>
      </w:r>
    </w:p>
    <w:p>
      <w:pPr>
        <w:spacing w:after="0" w:line="398" w:lineRule="exact"/>
        <w:rPr>
          <w:sz w:val="20"/>
          <w:szCs w:val="20"/>
          <w:color w:val="auto"/>
        </w:rPr>
      </w:pPr>
    </w:p>
    <w:p>
      <w:pPr>
        <w:jc w:val="both"/>
        <w:ind w:left="140" w:firstLine="749"/>
        <w:spacing w:after="0" w:line="276" w:lineRule="auto"/>
        <w:rPr>
          <w:sz w:val="20"/>
          <w:szCs w:val="20"/>
          <w:color w:val="auto"/>
        </w:rPr>
      </w:pPr>
      <w:r>
        <w:rPr>
          <w:rFonts w:ascii="Arial" w:cs="Arial" w:eastAsia="Arial" w:hAnsi="Arial"/>
          <w:sz w:val="19"/>
          <w:szCs w:val="19"/>
          <w:color w:val="auto"/>
        </w:rPr>
        <w:t>(b)</w:t>
      </w:r>
      <w:r>
        <w:rPr>
          <w:rFonts w:ascii="Arial" w:cs="Arial" w:eastAsia="Arial" w:hAnsi="Arial"/>
          <w:sz w:val="19"/>
          <w:szCs w:val="19"/>
          <w:b w:val="1"/>
          <w:bCs w:val="1"/>
          <w:color w:val="auto"/>
        </w:rPr>
        <w:t>Adjustment to Exercise Price Upon a Share Distribution</w:t>
      </w:r>
      <w:r>
        <w:rPr>
          <w:rFonts w:ascii="Arial" w:cs="Arial" w:eastAsia="Arial" w:hAnsi="Arial"/>
          <w:sz w:val="19"/>
          <w:szCs w:val="19"/>
          <w:color w:val="auto"/>
        </w:rPr>
        <w:t xml:space="preserve">. Subject to </w:t>
      </w:r>
      <w:r>
        <w:rPr>
          <w:rFonts w:ascii="Arial" w:cs="Arial" w:eastAsia="Arial" w:hAnsi="Arial"/>
          <w:sz w:val="19"/>
          <w:szCs w:val="19"/>
          <w:b w:val="1"/>
          <w:bCs w:val="1"/>
          <w:color w:val="auto"/>
        </w:rPr>
        <w:t>clause (iii)</w:t>
      </w:r>
      <w:r>
        <w:rPr>
          <w:rFonts w:ascii="Arial" w:cs="Arial" w:eastAsia="Arial" w:hAnsi="Arial"/>
          <w:sz w:val="19"/>
          <w:szCs w:val="19"/>
          <w:color w:val="auto"/>
        </w:rPr>
        <w:t xml:space="preserve"> below, if the Company consummates or effects any Share Distribution for a price per Common Share less than the Exercise Price then in effect, then, effective upon such Share Distribution, the Exercise Price shall be reduced to a price determined by multiplying the Exercise Price then in effect by a fraction, the numerator of which shall be the sum of (A) the number of Common Shares Deemed Outstanding immediately prior to such Share Distribution multiplied by the Exercise Price then in effect, plus (B) the consideration, if any, received by the Company upon such Share Distribution, and the denominator of which shall be the product of (1) the total number of Common Shares Deemed Outstanding immediately after such Share Distribution multiplied by (2) the Exercise Price then in effect. For purposes of this </w:t>
      </w:r>
      <w:r>
        <w:rPr>
          <w:rFonts w:ascii="Arial" w:cs="Arial" w:eastAsia="Arial" w:hAnsi="Arial"/>
          <w:sz w:val="19"/>
          <w:szCs w:val="19"/>
          <w:b w:val="1"/>
          <w:bCs w:val="1"/>
          <w:color w:val="auto"/>
        </w:rPr>
        <w:t>Section 4(1)(b)</w:t>
      </w:r>
      <w:r>
        <w:rPr>
          <w:rFonts w:ascii="Arial" w:cs="Arial" w:eastAsia="Arial" w:hAnsi="Arial"/>
          <w:sz w:val="19"/>
          <w:szCs w:val="19"/>
          <w:color w:val="auto"/>
        </w:rPr>
        <w:t>:</w:t>
      </w:r>
    </w:p>
    <w:p>
      <w:pPr>
        <w:spacing w:after="0" w:line="156" w:lineRule="exact"/>
        <w:rPr>
          <w:sz w:val="20"/>
          <w:szCs w:val="20"/>
          <w:color w:val="auto"/>
        </w:rPr>
      </w:pPr>
    </w:p>
    <w:p>
      <w:pPr>
        <w:jc w:val="both"/>
        <w:ind w:firstLine="1505"/>
        <w:spacing w:after="0" w:line="277" w:lineRule="auto"/>
        <w:tabs>
          <w:tab w:leader="none" w:pos="2036" w:val="left"/>
        </w:tabs>
        <w:numPr>
          <w:ilvl w:val="0"/>
          <w:numId w:val="14"/>
        </w:numPr>
        <w:rPr>
          <w:rFonts w:ascii="Arial" w:cs="Arial" w:eastAsia="Arial" w:hAnsi="Arial"/>
          <w:sz w:val="19"/>
          <w:szCs w:val="19"/>
          <w:color w:val="auto"/>
        </w:rPr>
      </w:pPr>
      <w:r>
        <w:rPr>
          <w:rFonts w:ascii="Arial" w:cs="Arial" w:eastAsia="Arial" w:hAnsi="Arial"/>
          <w:sz w:val="19"/>
          <w:szCs w:val="19"/>
          <w:color w:val="auto"/>
        </w:rPr>
        <w:t>In the event Options or Convertible Securities are included in any such Share Distribution, the price per Common Share deemed to have been issued or sold as a result of the sale or issuance of such Options or Convertible Securities, shall be equal to the price per Common Share for which Common Shares are issuable upon the exercise of such Options or upon conversion or exchange of such Convertible Securities, as the case may be (determined by dividing (x) the aggregate amount, if any, received or receivable by the Company as consideration for the issuance, sale, distribution or grant of such Options or Convertible Securities, plus the minimum aggregate amount of additional consideration payable to the Company, if any, upon the exercise of all such Options or the conversion or exchange of such Convertible Securities (as the case may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 w:name="page15"/>
    <w:bookmarkEnd w:id="14"/>
    <w:p>
      <w:pPr>
        <w:spacing w:after="0" w:line="250" w:lineRule="auto"/>
        <w:rPr>
          <w:sz w:val="20"/>
          <w:szCs w:val="20"/>
          <w:color w:val="auto"/>
        </w:rPr>
      </w:pPr>
      <w:r>
        <w:rPr>
          <w:rFonts w:ascii="Arial" w:cs="Arial" w:eastAsia="Arial" w:hAnsi="Arial"/>
          <w:sz w:val="22"/>
          <w:szCs w:val="22"/>
          <w:color w:val="auto"/>
        </w:rPr>
        <w:t>be), by (y) the total maximum number of Common Shares issuable upon the exercise of such Options or upon the conversion or exchange of all such Convertible Securities).</w:t>
      </w:r>
    </w:p>
    <w:p>
      <w:pPr>
        <w:spacing w:after="0" w:line="169" w:lineRule="exact"/>
        <w:rPr>
          <w:sz w:val="20"/>
          <w:szCs w:val="20"/>
          <w:color w:val="auto"/>
        </w:rPr>
      </w:pPr>
    </w:p>
    <w:p>
      <w:pPr>
        <w:ind w:left="2040" w:hanging="535"/>
        <w:spacing w:after="0"/>
        <w:tabs>
          <w:tab w:leader="none" w:pos="2040" w:val="left"/>
        </w:tabs>
        <w:numPr>
          <w:ilvl w:val="1"/>
          <w:numId w:val="15"/>
        </w:numPr>
        <w:rPr>
          <w:rFonts w:ascii="Arial" w:cs="Arial" w:eastAsia="Arial" w:hAnsi="Arial"/>
          <w:sz w:val="21"/>
          <w:szCs w:val="21"/>
          <w:color w:val="auto"/>
        </w:rPr>
      </w:pPr>
      <w:r>
        <w:rPr>
          <w:rFonts w:ascii="Arial" w:cs="Arial" w:eastAsia="Arial" w:hAnsi="Arial"/>
          <w:sz w:val="21"/>
          <w:szCs w:val="21"/>
          <w:color w:val="auto"/>
        </w:rPr>
        <w:t xml:space="preserve">The provisions of this </w:t>
      </w:r>
      <w:r>
        <w:rPr>
          <w:rFonts w:ascii="Arial" w:cs="Arial" w:eastAsia="Arial" w:hAnsi="Arial"/>
          <w:sz w:val="21"/>
          <w:szCs w:val="21"/>
          <w:b w:val="1"/>
          <w:bCs w:val="1"/>
          <w:color w:val="auto"/>
        </w:rPr>
        <w:t>Section 4(1)(b)</w:t>
      </w:r>
      <w:r>
        <w:rPr>
          <w:rFonts w:ascii="Arial" w:cs="Arial" w:eastAsia="Arial" w:hAnsi="Arial"/>
          <w:sz w:val="21"/>
          <w:szCs w:val="21"/>
          <w:color w:val="auto"/>
        </w:rPr>
        <w:t xml:space="preserve"> shall not in any event operate to increase the Exercise Price.</w:t>
      </w:r>
    </w:p>
    <w:p>
      <w:pPr>
        <w:spacing w:after="0" w:line="217" w:lineRule="exact"/>
        <w:rPr>
          <w:rFonts w:ascii="Arial" w:cs="Arial" w:eastAsia="Arial" w:hAnsi="Arial"/>
          <w:sz w:val="21"/>
          <w:szCs w:val="21"/>
          <w:color w:val="auto"/>
        </w:rPr>
      </w:pPr>
    </w:p>
    <w:p>
      <w:pPr>
        <w:ind w:left="2040" w:hanging="535"/>
        <w:spacing w:after="0"/>
        <w:tabs>
          <w:tab w:leader="none" w:pos="2040" w:val="left"/>
        </w:tabs>
        <w:numPr>
          <w:ilvl w:val="1"/>
          <w:numId w:val="15"/>
        </w:numPr>
        <w:rPr>
          <w:rFonts w:ascii="Arial" w:cs="Arial" w:eastAsia="Arial" w:hAnsi="Arial"/>
          <w:sz w:val="22"/>
          <w:szCs w:val="22"/>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Section 4(1)(b)</w:t>
      </w:r>
      <w:r>
        <w:rPr>
          <w:rFonts w:ascii="Arial" w:cs="Arial" w:eastAsia="Arial" w:hAnsi="Arial"/>
          <w:sz w:val="22"/>
          <w:szCs w:val="22"/>
          <w:color w:val="auto"/>
        </w:rPr>
        <w:t xml:space="preserve"> shall not apply to any of the following:</w:t>
      </w:r>
    </w:p>
    <w:p>
      <w:pPr>
        <w:spacing w:after="0" w:line="212" w:lineRule="exact"/>
        <w:rPr>
          <w:rFonts w:ascii="Arial" w:cs="Arial" w:eastAsia="Arial" w:hAnsi="Arial"/>
          <w:sz w:val="22"/>
          <w:szCs w:val="22"/>
          <w:color w:val="auto"/>
        </w:rPr>
      </w:pPr>
    </w:p>
    <w:p>
      <w:pPr>
        <w:jc w:val="both"/>
        <w:ind w:left="3000" w:hanging="746"/>
        <w:spacing w:after="0" w:line="238" w:lineRule="auto"/>
        <w:tabs>
          <w:tab w:leader="none" w:pos="3000" w:val="left"/>
        </w:tabs>
        <w:numPr>
          <w:ilvl w:val="2"/>
          <w:numId w:val="15"/>
        </w:numPr>
        <w:rPr>
          <w:rFonts w:ascii="Arial" w:cs="Arial" w:eastAsia="Arial" w:hAnsi="Arial"/>
          <w:sz w:val="22"/>
          <w:szCs w:val="22"/>
          <w:color w:val="auto"/>
        </w:rPr>
      </w:pPr>
      <w:r>
        <w:rPr>
          <w:rFonts w:ascii="Arial" w:cs="Arial" w:eastAsia="Arial" w:hAnsi="Arial"/>
          <w:sz w:val="22"/>
          <w:szCs w:val="22"/>
          <w:color w:val="auto"/>
        </w:rPr>
        <w:t xml:space="preserve">Any issuance, sale or other distribution of Common Shares, Options or Convertible Securities pursuant to (i) any Share Reorganization, which shall instead be governed by </w:t>
      </w:r>
      <w:r>
        <w:rPr>
          <w:rFonts w:ascii="Arial" w:cs="Arial" w:eastAsia="Arial" w:hAnsi="Arial"/>
          <w:sz w:val="22"/>
          <w:szCs w:val="22"/>
          <w:b w:val="1"/>
          <w:bCs w:val="1"/>
          <w:color w:val="auto"/>
        </w:rPr>
        <w:t>Section 4(1)(a)</w:t>
      </w:r>
      <w:r>
        <w:rPr>
          <w:rFonts w:ascii="Arial" w:cs="Arial" w:eastAsia="Arial" w:hAnsi="Arial"/>
          <w:sz w:val="22"/>
          <w:szCs w:val="22"/>
          <w:color w:val="auto"/>
        </w:rPr>
        <w:t xml:space="preserve"> above, or (ii) any dividend or distribution to holders of Common Shares, which shall instead by governed by </w:t>
      </w:r>
      <w:r>
        <w:rPr>
          <w:rFonts w:ascii="Arial" w:cs="Arial" w:eastAsia="Arial" w:hAnsi="Arial"/>
          <w:sz w:val="22"/>
          <w:szCs w:val="22"/>
          <w:b w:val="1"/>
          <w:bCs w:val="1"/>
          <w:color w:val="auto"/>
        </w:rPr>
        <w:t>Section 4(2)</w:t>
      </w:r>
      <w:r>
        <w:rPr>
          <w:rFonts w:ascii="Arial" w:cs="Arial" w:eastAsia="Arial" w:hAnsi="Arial"/>
          <w:sz w:val="22"/>
          <w:szCs w:val="22"/>
          <w:color w:val="auto"/>
        </w:rPr>
        <w:t xml:space="preserve"> below.</w:t>
      </w:r>
    </w:p>
    <w:p>
      <w:pPr>
        <w:spacing w:after="0" w:line="184" w:lineRule="exact"/>
        <w:rPr>
          <w:rFonts w:ascii="Arial" w:cs="Arial" w:eastAsia="Arial" w:hAnsi="Arial"/>
          <w:sz w:val="22"/>
          <w:szCs w:val="22"/>
          <w:color w:val="auto"/>
        </w:rPr>
      </w:pPr>
    </w:p>
    <w:p>
      <w:pPr>
        <w:ind w:left="3000" w:hanging="746"/>
        <w:spacing w:after="0" w:line="328" w:lineRule="auto"/>
        <w:tabs>
          <w:tab w:leader="none" w:pos="3000" w:val="left"/>
        </w:tabs>
        <w:numPr>
          <w:ilvl w:val="2"/>
          <w:numId w:val="15"/>
        </w:numPr>
        <w:rPr>
          <w:rFonts w:ascii="Arial" w:cs="Arial" w:eastAsia="Arial" w:hAnsi="Arial"/>
          <w:sz w:val="19"/>
          <w:szCs w:val="19"/>
          <w:color w:val="auto"/>
        </w:rPr>
      </w:pPr>
      <w:r>
        <w:rPr>
          <w:rFonts w:ascii="Arial" w:cs="Arial" w:eastAsia="Arial" w:hAnsi="Arial"/>
          <w:sz w:val="19"/>
          <w:szCs w:val="19"/>
          <w:color w:val="auto"/>
        </w:rPr>
        <w:t>The issuance of Common Shares upon exercise or conversion of any Options or Convertible Securities included in the Common Shares Deemed Outstanding as of the Issue Date.</w:t>
      </w:r>
    </w:p>
    <w:p>
      <w:pPr>
        <w:spacing w:after="0" w:line="104" w:lineRule="exact"/>
        <w:rPr>
          <w:rFonts w:ascii="Arial" w:cs="Arial" w:eastAsia="Arial" w:hAnsi="Arial"/>
          <w:sz w:val="19"/>
          <w:szCs w:val="19"/>
          <w:color w:val="auto"/>
        </w:rPr>
      </w:pPr>
    </w:p>
    <w:p>
      <w:pPr>
        <w:jc w:val="both"/>
        <w:ind w:left="3000" w:hanging="746"/>
        <w:spacing w:after="0" w:line="234" w:lineRule="auto"/>
        <w:tabs>
          <w:tab w:leader="none" w:pos="3000" w:val="left"/>
        </w:tabs>
        <w:numPr>
          <w:ilvl w:val="2"/>
          <w:numId w:val="15"/>
        </w:numPr>
        <w:rPr>
          <w:rFonts w:ascii="Arial" w:cs="Arial" w:eastAsia="Arial" w:hAnsi="Arial"/>
          <w:sz w:val="22"/>
          <w:szCs w:val="22"/>
          <w:color w:val="auto"/>
        </w:rPr>
      </w:pPr>
      <w:r>
        <w:rPr>
          <w:rFonts w:ascii="Arial" w:cs="Arial" w:eastAsia="Arial" w:hAnsi="Arial"/>
          <w:sz w:val="22"/>
          <w:szCs w:val="22"/>
          <w:color w:val="auto"/>
        </w:rPr>
        <w:t xml:space="preserve">The grant or issuance of Common Shares, Options or Convertible Securities to members of the Board, officers, employees, consultants or other service providers of the Company pursuant to any employee incentive plan, employee share purchase plan or similar equity-based benefit plans approved by the Company’s Board;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total number of securities issued under this sub-clause for a price per share less than the Exercise Price shall not constitute more than five percent (5%) of the total number of Common Shares Deemed Outstanding at any time.</w:t>
      </w:r>
    </w:p>
    <w:p>
      <w:pPr>
        <w:spacing w:after="0" w:line="190" w:lineRule="exact"/>
        <w:rPr>
          <w:rFonts w:ascii="Arial" w:cs="Arial" w:eastAsia="Arial" w:hAnsi="Arial"/>
          <w:sz w:val="22"/>
          <w:szCs w:val="22"/>
          <w:color w:val="auto"/>
        </w:rPr>
      </w:pPr>
    </w:p>
    <w:p>
      <w:pPr>
        <w:jc w:val="both"/>
        <w:ind w:left="3000" w:hanging="746"/>
        <w:spacing w:after="0" w:line="279" w:lineRule="auto"/>
        <w:tabs>
          <w:tab w:leader="none" w:pos="3000" w:val="left"/>
        </w:tabs>
        <w:numPr>
          <w:ilvl w:val="2"/>
          <w:numId w:val="15"/>
        </w:numPr>
        <w:rPr>
          <w:rFonts w:ascii="Arial" w:cs="Arial" w:eastAsia="Arial" w:hAnsi="Arial"/>
          <w:sz w:val="19"/>
          <w:szCs w:val="19"/>
          <w:color w:val="auto"/>
        </w:rPr>
      </w:pPr>
      <w:r>
        <w:rPr>
          <w:rFonts w:ascii="Arial" w:cs="Arial" w:eastAsia="Arial" w:hAnsi="Arial"/>
          <w:sz w:val="19"/>
          <w:szCs w:val="19"/>
          <w:color w:val="auto"/>
        </w:rPr>
        <w:t xml:space="preserve">The issuance or grant of Common Shares, Options or Convertible Securities in connection with Permitted Acquisitions by the Company, or in connection with other transactions or financings with material strategic partners, in each case approved by the Company’s Board; </w:t>
      </w:r>
      <w:r>
        <w:rPr>
          <w:rFonts w:ascii="Arial" w:cs="Arial" w:eastAsia="Arial" w:hAnsi="Arial"/>
          <w:sz w:val="19"/>
          <w:szCs w:val="19"/>
          <w:u w:val="single" w:color="auto"/>
          <w:color w:val="auto"/>
        </w:rPr>
        <w:t>provided</w:t>
      </w:r>
      <w:r>
        <w:rPr>
          <w:rFonts w:ascii="Arial" w:cs="Arial" w:eastAsia="Arial" w:hAnsi="Arial"/>
          <w:sz w:val="19"/>
          <w:szCs w:val="19"/>
          <w:color w:val="auto"/>
        </w:rPr>
        <w:t>, that the total number of securities issued or granted under this sub-clause for a price per share less than the Exercise Price shall not constitute more than five percent (5%) of the total number of Common Shares Deemed Outstanding at any time.</w:t>
      </w:r>
    </w:p>
    <w:p>
      <w:pPr>
        <w:spacing w:after="0" w:line="144" w:lineRule="exact"/>
        <w:rPr>
          <w:rFonts w:ascii="Arial" w:cs="Arial" w:eastAsia="Arial" w:hAnsi="Arial"/>
          <w:sz w:val="19"/>
          <w:szCs w:val="19"/>
          <w:color w:val="auto"/>
        </w:rPr>
      </w:pPr>
    </w:p>
    <w:p>
      <w:pPr>
        <w:ind w:left="1020" w:hanging="263"/>
        <w:spacing w:after="0"/>
        <w:tabs>
          <w:tab w:leader="none" w:pos="1020" w:val="left"/>
        </w:tabs>
        <w:numPr>
          <w:ilvl w:val="0"/>
          <w:numId w:val="16"/>
        </w:numPr>
        <w:rPr>
          <w:rFonts w:ascii="Arial" w:cs="Arial" w:eastAsia="Arial" w:hAnsi="Arial"/>
          <w:sz w:val="22"/>
          <w:szCs w:val="22"/>
          <w:color w:val="auto"/>
        </w:rPr>
      </w:pPr>
      <w:r>
        <w:rPr>
          <w:rFonts w:ascii="Arial" w:cs="Arial" w:eastAsia="Arial" w:hAnsi="Arial"/>
          <w:sz w:val="22"/>
          <w:szCs w:val="22"/>
          <w:b w:val="1"/>
          <w:bCs w:val="1"/>
          <w:color w:val="auto"/>
        </w:rPr>
        <w:t>[Reserved]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020" w:hanging="263"/>
        <w:spacing w:after="0"/>
        <w:tabs>
          <w:tab w:leader="none" w:pos="1020" w:val="left"/>
        </w:tabs>
        <w:numPr>
          <w:ilvl w:val="0"/>
          <w:numId w:val="16"/>
        </w:numPr>
        <w:rPr>
          <w:rFonts w:ascii="Arial" w:cs="Arial" w:eastAsia="Arial" w:hAnsi="Arial"/>
          <w:sz w:val="21"/>
          <w:szCs w:val="21"/>
          <w:color w:val="auto"/>
        </w:rPr>
      </w:pPr>
      <w:r>
        <w:rPr>
          <w:rFonts w:ascii="Arial" w:cs="Arial" w:eastAsia="Arial" w:hAnsi="Arial"/>
          <w:sz w:val="21"/>
          <w:szCs w:val="21"/>
          <w:b w:val="1"/>
          <w:bCs w:val="1"/>
          <w:color w:val="auto"/>
        </w:rPr>
        <w:t>Certificate as to Adjustment</w:t>
      </w:r>
      <w:r>
        <w:rPr>
          <w:rFonts w:ascii="Arial" w:cs="Arial" w:eastAsia="Arial" w:hAnsi="Arial"/>
          <w:sz w:val="21"/>
          <w:szCs w:val="21"/>
          <w:color w:val="auto"/>
        </w:rPr>
        <w:t>.</w:t>
      </w:r>
    </w:p>
    <w:p>
      <w:pPr>
        <w:spacing w:after="0" w:line="223" w:lineRule="exact"/>
        <w:rPr>
          <w:rFonts w:ascii="Arial" w:cs="Arial" w:eastAsia="Arial" w:hAnsi="Arial"/>
          <w:sz w:val="21"/>
          <w:szCs w:val="21"/>
          <w:color w:val="auto"/>
        </w:rPr>
      </w:pPr>
    </w:p>
    <w:p>
      <w:pPr>
        <w:jc w:val="both"/>
        <w:ind w:firstLine="1505"/>
        <w:spacing w:after="0" w:line="238" w:lineRule="auto"/>
        <w:tabs>
          <w:tab w:leader="none" w:pos="2310" w:val="left"/>
        </w:tabs>
        <w:numPr>
          <w:ilvl w:val="1"/>
          <w:numId w:val="16"/>
        </w:numPr>
        <w:rPr>
          <w:rFonts w:ascii="Arial" w:cs="Arial" w:eastAsia="Arial" w:hAnsi="Arial"/>
          <w:sz w:val="22"/>
          <w:szCs w:val="22"/>
          <w:color w:val="auto"/>
        </w:rPr>
      </w:pPr>
      <w:r>
        <w:rPr>
          <w:rFonts w:ascii="Arial" w:cs="Arial" w:eastAsia="Arial" w:hAnsi="Arial"/>
          <w:sz w:val="22"/>
          <w:szCs w:val="22"/>
          <w:color w:val="auto"/>
        </w:rPr>
        <w:t xml:space="preserve">As promptly as reasonably practicable following any change or adjustment of the type described above in this </w:t>
      </w:r>
      <w:r>
        <w:rPr>
          <w:rFonts w:ascii="Arial" w:cs="Arial" w:eastAsia="Arial" w:hAnsi="Arial"/>
          <w:sz w:val="22"/>
          <w:szCs w:val="22"/>
          <w:b w:val="1"/>
          <w:bCs w:val="1"/>
          <w:color w:val="auto"/>
        </w:rPr>
        <w:t>Section 4(1)</w:t>
      </w:r>
      <w:r>
        <w:rPr>
          <w:rFonts w:ascii="Arial" w:cs="Arial" w:eastAsia="Arial" w:hAnsi="Arial"/>
          <w:sz w:val="22"/>
          <w:szCs w:val="22"/>
          <w:color w:val="auto"/>
        </w:rPr>
        <w:t>, but in any event not later than ten (10) Business Days thereafter, the Company shall furnish to the Holder a certificate of an Authorized Officer setting forth in reasonable detail such adjustment and the facts upon which it is based and certifying the calculation thereof.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 w:name="page16"/>
    <w:bookmarkEnd w:id="15"/>
    <w:p>
      <w:pPr>
        <w:jc w:val="both"/>
        <w:ind w:firstLine="1505"/>
        <w:spacing w:after="0" w:line="238" w:lineRule="auto"/>
        <w:tabs>
          <w:tab w:leader="none" w:pos="2374" w:val="left"/>
        </w:tabs>
        <w:numPr>
          <w:ilvl w:val="1"/>
          <w:numId w:val="17"/>
        </w:numPr>
        <w:rPr>
          <w:rFonts w:ascii="Arial" w:cs="Arial" w:eastAsia="Arial" w:hAnsi="Arial"/>
          <w:sz w:val="22"/>
          <w:szCs w:val="22"/>
          <w:color w:val="auto"/>
        </w:rPr>
      </w:pPr>
      <w:r>
        <w:rPr>
          <w:rFonts w:ascii="Arial" w:cs="Arial" w:eastAsia="Arial" w:hAnsi="Arial"/>
          <w:sz w:val="22"/>
          <w:szCs w:val="22"/>
          <w:color w:val="auto"/>
        </w:rPr>
        <w:t>As promptly as reasonably practicable following the receipt by the Company of a written request by the Holder, but in any event not later than ten (10) Business Days thereafter, the Company shall furnish to the Holder a certificate of an Authorized Officer certifying the number of Warrant Shares or the amount, if any, of other shares, securities or assets then issuable upon exercise of the Warrant Certificate.</w:t>
      </w:r>
    </w:p>
    <w:p>
      <w:pPr>
        <w:spacing w:after="0" w:line="178" w:lineRule="exact"/>
        <w:rPr>
          <w:rFonts w:ascii="Arial" w:cs="Arial" w:eastAsia="Arial" w:hAnsi="Arial"/>
          <w:sz w:val="22"/>
          <w:szCs w:val="22"/>
          <w:color w:val="auto"/>
        </w:rPr>
      </w:pPr>
    </w:p>
    <w:p>
      <w:pPr>
        <w:jc w:val="both"/>
        <w:ind w:firstLine="757"/>
        <w:spacing w:after="0" w:line="260" w:lineRule="auto"/>
        <w:tabs>
          <w:tab w:leader="none" w:pos="1018" w:val="left"/>
        </w:tabs>
        <w:numPr>
          <w:ilvl w:val="0"/>
          <w:numId w:val="18"/>
        </w:numPr>
        <w:rPr>
          <w:rFonts w:ascii="Arial" w:cs="Arial" w:eastAsia="Arial" w:hAnsi="Arial"/>
          <w:sz w:val="21"/>
          <w:szCs w:val="21"/>
          <w:color w:val="auto"/>
        </w:rPr>
      </w:pPr>
      <w:r>
        <w:rPr>
          <w:rFonts w:ascii="Arial" w:cs="Arial" w:eastAsia="Arial" w:hAnsi="Arial"/>
          <w:sz w:val="21"/>
          <w:szCs w:val="21"/>
          <w:b w:val="1"/>
          <w:bCs w:val="1"/>
          <w:color w:val="auto"/>
        </w:rPr>
        <w:t>Notices</w:t>
      </w:r>
      <w:r>
        <w:rPr>
          <w:rFonts w:ascii="Arial" w:cs="Arial" w:eastAsia="Arial" w:hAnsi="Arial"/>
          <w:sz w:val="21"/>
          <w:szCs w:val="21"/>
          <w:color w:val="auto"/>
        </w:rPr>
        <w:t>. In the event that, at any time during the Exercise Period the Company shall take a record of the holders of</w:t>
      </w:r>
      <w:r>
        <w:rPr>
          <w:rFonts w:ascii="Arial" w:cs="Arial" w:eastAsia="Arial" w:hAnsi="Arial"/>
          <w:sz w:val="21"/>
          <w:szCs w:val="21"/>
          <w:b w:val="1"/>
          <w:bCs w:val="1"/>
          <w:color w:val="auto"/>
        </w:rPr>
        <w:t xml:space="preserve"> </w:t>
      </w:r>
      <w:r>
        <w:rPr>
          <w:rFonts w:ascii="Arial" w:cs="Arial" w:eastAsia="Arial" w:hAnsi="Arial"/>
          <w:sz w:val="21"/>
          <w:szCs w:val="21"/>
          <w:color w:val="auto"/>
        </w:rPr>
        <w:t>its outstanding shares (or other Capital Securities at the time issuable upon exercise of this Warrant Certificate) for the purpose of:</w:t>
      </w:r>
    </w:p>
    <w:p>
      <w:pPr>
        <w:spacing w:after="0" w:line="166" w:lineRule="exact"/>
        <w:rPr>
          <w:rFonts w:ascii="Arial" w:cs="Arial" w:eastAsia="Arial" w:hAnsi="Arial"/>
          <w:sz w:val="21"/>
          <w:szCs w:val="21"/>
          <w:color w:val="auto"/>
        </w:rPr>
      </w:pPr>
    </w:p>
    <w:p>
      <w:pPr>
        <w:ind w:right="20" w:firstLine="1505"/>
        <w:spacing w:after="0" w:line="274" w:lineRule="auto"/>
        <w:tabs>
          <w:tab w:leader="none" w:pos="2345" w:val="left"/>
        </w:tabs>
        <w:numPr>
          <w:ilvl w:val="1"/>
          <w:numId w:val="18"/>
        </w:numPr>
        <w:rPr>
          <w:rFonts w:ascii="Arial" w:cs="Arial" w:eastAsia="Arial" w:hAnsi="Arial"/>
          <w:sz w:val="21"/>
          <w:szCs w:val="21"/>
          <w:color w:val="auto"/>
        </w:rPr>
      </w:pPr>
      <w:r>
        <w:rPr>
          <w:rFonts w:ascii="Arial" w:cs="Arial" w:eastAsia="Arial" w:hAnsi="Arial"/>
          <w:sz w:val="21"/>
          <w:szCs w:val="21"/>
          <w:color w:val="auto"/>
        </w:rPr>
        <w:t>entitling or enabling such holders to receive any dividend or other distribution, to receive any right to subscribe for or purchase any shares of any class or any other securities, or to receive any other security;</w:t>
      </w:r>
    </w:p>
    <w:p>
      <w:pPr>
        <w:spacing w:after="0" w:line="151" w:lineRule="exact"/>
        <w:rPr>
          <w:sz w:val="20"/>
          <w:szCs w:val="20"/>
          <w:color w:val="auto"/>
        </w:rPr>
      </w:pPr>
    </w:p>
    <w:p>
      <w:pPr>
        <w:ind w:firstLine="1505"/>
        <w:spacing w:after="0" w:line="274" w:lineRule="auto"/>
        <w:tabs>
          <w:tab w:leader="none" w:pos="2259" w:val="left"/>
        </w:tabs>
        <w:numPr>
          <w:ilvl w:val="0"/>
          <w:numId w:val="19"/>
        </w:numPr>
        <w:rPr>
          <w:rFonts w:ascii="Arial" w:cs="Arial" w:eastAsia="Arial" w:hAnsi="Arial"/>
          <w:sz w:val="21"/>
          <w:szCs w:val="21"/>
          <w:color w:val="auto"/>
        </w:rPr>
      </w:pPr>
      <w:r>
        <w:rPr>
          <w:rFonts w:ascii="Arial" w:cs="Arial" w:eastAsia="Arial" w:hAnsi="Arial"/>
          <w:sz w:val="21"/>
          <w:szCs w:val="21"/>
          <w:color w:val="auto"/>
        </w:rPr>
        <w:t>(x) any capital reorganization of the Company, any reclassification of any outstanding securities, any consolidation or merger of the Company with or into another Person, or (y) a Sale of the Company; or</w:t>
      </w:r>
    </w:p>
    <w:p>
      <w:pPr>
        <w:spacing w:after="0" w:line="150" w:lineRule="exact"/>
        <w:rPr>
          <w:rFonts w:ascii="Arial" w:cs="Arial" w:eastAsia="Arial" w:hAnsi="Arial"/>
          <w:sz w:val="21"/>
          <w:szCs w:val="21"/>
          <w:color w:val="auto"/>
        </w:rPr>
      </w:pPr>
    </w:p>
    <w:p>
      <w:pPr>
        <w:ind w:left="2460" w:hanging="955"/>
        <w:spacing w:after="0"/>
        <w:tabs>
          <w:tab w:leader="none" w:pos="2460"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voluntary or involuntary dissolution, liquidation or winding-up bankruptcy or similar event</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involving the Company;</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then, and in each such case, the Company shall send or cause to be sent to the Holder at least ten (10) Business Days prior to the applicable record date or the applicable expected effective date, as the case may be, for the event, a written notice specifying, as the case may be, (A) the record date for such dividend, distribution or other right or action, and a description of such dividend, distribution or other right or action, or (B) the effective date on which such reorganization, reclassification, consolidation, merger, sale, dissolution, liquidation or winding-up is proposed to take place, and the date, if any is to be fixed, as of which the books of the Company shall close or a record shall be taken with respect to which the holders of record of its shares (or such other Capital Securities at the time issuable upon exercise of the Warrant Certificate) shall be entitled to exchange their shares (or such other Capital Securities), for securities or other property deliverable upon such reorganization, reclassification, consolidation, merger, sale, dissolution, liquidation or winding-up, and the amount per share and character of such exchange applicable to the Warrant Certificate and the Warrant Shares. The above notwithstanding, the Company shall not be required to provide the Holder with notice containing such information if the Company reasonably believes that it constitutes material non-public information, unless the Holder (i) confirms to the Company in writing that it consents to receive such information, and (ii) executes a customary market standstill or equivalent agreement pursuant to which the Holder will agree not to trade in the Company’s shares or other Capital Securities while in possession of such material non-public information or until such information is no longer material or non-public.</w:t>
      </w:r>
    </w:p>
    <w:p>
      <w:pPr>
        <w:spacing w:after="0" w:line="200" w:lineRule="exact"/>
        <w:rPr>
          <w:sz w:val="20"/>
          <w:szCs w:val="20"/>
          <w:color w:val="auto"/>
        </w:rPr>
      </w:pPr>
    </w:p>
    <w:p>
      <w:pPr>
        <w:spacing w:after="0" w:line="201" w:lineRule="exact"/>
        <w:rPr>
          <w:sz w:val="20"/>
          <w:szCs w:val="20"/>
          <w:color w:val="auto"/>
        </w:rPr>
      </w:pPr>
    </w:p>
    <w:p>
      <w:pPr>
        <w:jc w:val="both"/>
        <w:ind w:firstLine="8"/>
        <w:spacing w:after="0" w:line="251" w:lineRule="auto"/>
        <w:tabs>
          <w:tab w:leader="none" w:pos="306" w:val="left"/>
        </w:tabs>
        <w:numPr>
          <w:ilvl w:val="0"/>
          <w:numId w:val="20"/>
        </w:numPr>
        <w:rPr>
          <w:rFonts w:ascii="Arial" w:cs="Arial" w:eastAsia="Arial" w:hAnsi="Arial"/>
          <w:sz w:val="21"/>
          <w:szCs w:val="21"/>
          <w:color w:val="auto"/>
        </w:rPr>
      </w:pPr>
      <w:r>
        <w:rPr>
          <w:rFonts w:ascii="Arial" w:cs="Arial" w:eastAsia="Arial" w:hAnsi="Arial"/>
          <w:sz w:val="21"/>
          <w:szCs w:val="21"/>
          <w:b w:val="1"/>
          <w:bCs w:val="1"/>
          <w:color w:val="auto"/>
        </w:rPr>
        <w:t>Dividends, Distributions, etc</w:t>
      </w:r>
      <w:r>
        <w:rPr>
          <w:rFonts w:ascii="Arial" w:cs="Arial" w:eastAsia="Arial" w:hAnsi="Arial"/>
          <w:sz w:val="21"/>
          <w:szCs w:val="21"/>
          <w:color w:val="auto"/>
        </w:rPr>
        <w:t>. If the Company proposes to pay a dividend or distribution on its outstanding Common Shares,</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must (i) make an announcement with sufficient advance notice of such dividend or distribution such as will enable the Holder to determine whether to exercise this Warrant Certificate, and, if it so determines, to exercise this Warrant Certificate and become a holder of Warrant Shares on record and be entitled to participate in and receive such dividend or distribution in the same manner as holders of Common Shares; and (ii) despite Section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 w:name="page17"/>
    <w:bookmarkEnd w:id="16"/>
    <w:p>
      <w:pPr>
        <w:jc w:val="both"/>
        <w:spacing w:after="0" w:line="238" w:lineRule="auto"/>
        <w:rPr>
          <w:sz w:val="20"/>
          <w:szCs w:val="20"/>
          <w:color w:val="auto"/>
        </w:rPr>
      </w:pPr>
      <w:r>
        <w:rPr>
          <w:rFonts w:ascii="Arial" w:cs="Arial" w:eastAsia="Arial" w:hAnsi="Arial"/>
          <w:sz w:val="22"/>
          <w:szCs w:val="22"/>
          <w:color w:val="auto"/>
        </w:rPr>
        <w:t>3(d), take all steps necessary or desirable to give full effect to any exercise of this Warrant Certificate by the Holder and to deliver the Warrant Shares to the Holder within two (2) Business Days of receipt by the Company of the Exercise Certificate and Aggregate Exercise Price so as to ensure that the Holder becomes the holder of the Warrant Shares on record at or prior to the record date for such dividend or distribution.</w:t>
      </w:r>
    </w:p>
    <w:p>
      <w:pPr>
        <w:spacing w:after="0" w:line="179" w:lineRule="exact"/>
        <w:rPr>
          <w:sz w:val="20"/>
          <w:szCs w:val="20"/>
          <w:color w:val="auto"/>
        </w:rPr>
      </w:pPr>
    </w:p>
    <w:p>
      <w:pPr>
        <w:jc w:val="both"/>
        <w:spacing w:after="0" w:line="283" w:lineRule="auto"/>
        <w:rPr>
          <w:sz w:val="20"/>
          <w:szCs w:val="20"/>
          <w:color w:val="auto"/>
        </w:rPr>
      </w:pPr>
      <w:r>
        <w:rPr>
          <w:rFonts w:ascii="Arial" w:cs="Arial" w:eastAsia="Arial" w:hAnsi="Arial"/>
          <w:sz w:val="19"/>
          <w:szCs w:val="19"/>
          <w:b w:val="1"/>
          <w:bCs w:val="1"/>
          <w:color w:val="auto"/>
        </w:rPr>
        <w:t xml:space="preserve">Section 5. Warrant Register </w:t>
      </w:r>
      <w:r>
        <w:rPr>
          <w:rFonts w:ascii="Arial" w:cs="Arial" w:eastAsia="Arial" w:hAnsi="Arial"/>
          <w:sz w:val="19"/>
          <w:szCs w:val="19"/>
          <w:color w:val="auto"/>
        </w:rPr>
        <w:t>. The Company shall keep and properly maintain at its principal executive offices a register</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i w:val="1"/>
          <w:iCs w:val="1"/>
          <w:color w:val="auto"/>
        </w:rPr>
        <w:t>Warrant Register</w:t>
      </w:r>
      <w:r>
        <w:rPr>
          <w:rFonts w:ascii="Arial" w:cs="Arial" w:eastAsia="Arial" w:hAnsi="Arial"/>
          <w:sz w:val="19"/>
          <w:szCs w:val="19"/>
          <w:color w:val="auto"/>
        </w:rPr>
        <w:t>”) for the registration of this Warrant Certificate and any transfers thereof. The Company may deem and treat the Person in whose name this Warrant Certificate is registered on such register as the Holder thereof for all purposes, and the Company shall not be affected by any notice to the contrary, except any assignment, division, combination or other transfer of this Warrant Certificate effected in accordance with the provisions of this Warrant Certificate.</w:t>
      </w:r>
    </w:p>
    <w:p>
      <w:pPr>
        <w:spacing w:after="0" w:line="14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Section 6. Cleansing Notices</w:t>
      </w:r>
      <w:r>
        <w:rPr>
          <w:rFonts w:ascii="Arial" w:cs="Arial" w:eastAsia="Arial" w:hAnsi="Arial"/>
          <w:sz w:val="22"/>
          <w:szCs w:val="22"/>
          <w:color w:val="auto"/>
        </w:rPr>
        <w:t>. As soon as practicable after each issue of Warrant Shares pursuant to this Warrant Certificate,</w:t>
      </w:r>
      <w:r>
        <w:rPr>
          <w:rFonts w:ascii="Arial" w:cs="Arial" w:eastAsia="Arial" w:hAnsi="Arial"/>
          <w:sz w:val="22"/>
          <w:szCs w:val="22"/>
          <w:b w:val="1"/>
          <w:bCs w:val="1"/>
          <w:color w:val="auto"/>
        </w:rPr>
        <w:t xml:space="preserve"> </w:t>
      </w:r>
      <w:r>
        <w:rPr>
          <w:rFonts w:ascii="Arial" w:cs="Arial" w:eastAsia="Arial" w:hAnsi="Arial"/>
          <w:sz w:val="22"/>
          <w:szCs w:val="22"/>
          <w:color w:val="auto"/>
        </w:rPr>
        <w:t>and in any event within one Business Day after each issue date, the Company must lodge with ASX a cleansing notice pursuant to section 708A(5) of the Corporations Act (as modified by ASIC Class Order [CO 14/827]) which complies with section 708A(6) of the Corporations Act in respect of the Warrant Shares.</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Section 7. Transfer of Warrant Certificate</w:t>
      </w:r>
      <w:r>
        <w:rPr>
          <w:rFonts w:ascii="Arial" w:cs="Arial" w:eastAsia="Arial" w:hAnsi="Arial"/>
          <w:sz w:val="19"/>
          <w:szCs w:val="19"/>
          <w:color w:val="auto"/>
        </w:rPr>
        <w:t>. This Warrant Certificate and all rights hereunder are transferable, in whole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 part, by the Holder without charge to the Holder, upon surrender of this Warrant Certificate to the Company at its then principal executive offices with a properly completed and duly executed Assignment in the form attached hereto as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any such transfer is permitted by and is made in compliance with section 708 of the Corporations Act, to the extent</w:t>
      </w:r>
      <w:r>
        <w:rPr>
          <w:rFonts w:ascii="Arial" w:cs="Arial" w:eastAsia="Arial" w:hAnsi="Arial"/>
          <w:sz w:val="19"/>
          <w:szCs w:val="19"/>
          <w:i w:val="1"/>
          <w:iCs w:val="1"/>
          <w:color w:val="auto"/>
        </w:rPr>
        <w:t xml:space="preserve"> </w:t>
      </w:r>
      <w:r>
        <w:rPr>
          <w:rFonts w:ascii="Arial" w:cs="Arial" w:eastAsia="Arial" w:hAnsi="Arial"/>
          <w:sz w:val="19"/>
          <w:szCs w:val="19"/>
          <w:color w:val="auto"/>
        </w:rPr>
        <w:t>applicable. Upon such compliance, surrender and delivery, the Company shall execute and deliver a new Warrant Certificate or Warrant Certificates in the name of the assignee or assignees and in the denominations specified in such instrument of assignment, and shall issue to the assignor a new Warrant Certificate evidencing the portion of this Warrant Certificate, if any, not so assigned, and this Warrant Certificate shall promptly be cancelled.</w:t>
      </w:r>
    </w:p>
    <w:p>
      <w:pPr>
        <w:spacing w:after="0" w:line="15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b w:val="1"/>
          <w:bCs w:val="1"/>
          <w:color w:val="auto"/>
        </w:rPr>
        <w:t xml:space="preserve">Section 8. The Holder Not Deemed a Shareholder; Limitations on Liability </w:t>
      </w:r>
      <w:r>
        <w:rPr>
          <w:rFonts w:ascii="Arial" w:cs="Arial" w:eastAsia="Arial" w:hAnsi="Arial"/>
          <w:sz w:val="21"/>
          <w:szCs w:val="21"/>
          <w:color w:val="auto"/>
        </w:rPr>
        <w:t>. Except as otherwise specifically provided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herein (including in </w:t>
      </w:r>
      <w:r>
        <w:rPr>
          <w:rFonts w:ascii="Arial" w:cs="Arial" w:eastAsia="Arial" w:hAnsi="Arial"/>
          <w:sz w:val="21"/>
          <w:szCs w:val="21"/>
          <w:b w:val="1"/>
          <w:bCs w:val="1"/>
          <w:color w:val="auto"/>
        </w:rPr>
        <w:t>Section 4(2)</w:t>
      </w:r>
      <w:r>
        <w:rPr>
          <w:rFonts w:ascii="Arial" w:cs="Arial" w:eastAsia="Arial" w:hAnsi="Arial"/>
          <w:sz w:val="21"/>
          <w:szCs w:val="21"/>
          <w:color w:val="auto"/>
        </w:rPr>
        <w:t xml:space="preserve"> above), (i) prior to the Exercise Date, the Holder shall not be entitled to receive dividends, nor shall anything contained in this Warrant Certificate be construed to confer upon the Holder, as such, any of the rights of a shareholder of the Company or any right to receive dividends or subscription rights, and (ii) prior to the registration of the Holder in the share register of the Company with respect to the Warrant Shares to which the Holder is then entitled to receive upon the due exercise of this Warrant Certificate, the Holder shall not be entitled to vote, nor shall anything contained in this Warrant Certificate be construed to confer upon the Holder, as such, any right to vote, give or withhold consent to any corporate action (whether any reorganization, issue of shares, reclassification of shares, consolidation, merger, conveyance or otherwise) or receive notice of meetings. In addition, nothing contained in this Warrant Certificate shall be construed as imposing any liabilities on the Holder to purchase any securities (upon exercise of this Warrant Certificate or otherwise) or as a shareholder of the Company, whether such liabilities are asserted by the Company or by creditors of the Company. Notwithstanding this </w:t>
      </w:r>
      <w:r>
        <w:rPr>
          <w:rFonts w:ascii="Arial" w:cs="Arial" w:eastAsia="Arial" w:hAnsi="Arial"/>
          <w:sz w:val="21"/>
          <w:szCs w:val="21"/>
          <w:b w:val="1"/>
          <w:bCs w:val="1"/>
          <w:color w:val="auto"/>
        </w:rPr>
        <w:t>Section 8</w:t>
      </w:r>
      <w:r>
        <w:rPr>
          <w:rFonts w:ascii="Arial" w:cs="Arial" w:eastAsia="Arial" w:hAnsi="Arial"/>
          <w:sz w:val="21"/>
          <w:szCs w:val="21"/>
          <w:color w:val="auto"/>
        </w:rPr>
        <w:t>, the Company shall provide the Holder with copies of the same notices and other information given to all shareholders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Company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 w:name="page18"/>
    <w:bookmarkEnd w:id="17"/>
    <w:p>
      <w:pPr>
        <w:spacing w:after="0" w:line="250" w:lineRule="auto"/>
        <w:rPr>
          <w:sz w:val="20"/>
          <w:szCs w:val="20"/>
          <w:color w:val="auto"/>
        </w:rPr>
      </w:pPr>
      <w:r>
        <w:rPr>
          <w:rFonts w:ascii="Arial" w:cs="Arial" w:eastAsia="Arial" w:hAnsi="Arial"/>
          <w:sz w:val="22"/>
          <w:szCs w:val="22"/>
          <w:color w:val="auto"/>
        </w:rPr>
        <w:t>generally, contemporaneously with the giving thereof to such shareholders, unless such notice or information had been made publicly available on the SEC’s EDGAR system website.</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b w:val="1"/>
          <w:bCs w:val="1"/>
          <w:color w:val="auto"/>
        </w:rPr>
        <w:t>Replacement on Loss; Division and Combination</w:t>
      </w:r>
      <w:r>
        <w:rPr>
          <w:rFonts w:ascii="Arial" w:cs="Arial" w:eastAsia="Arial" w:hAnsi="Arial"/>
          <w:sz w:val="19"/>
          <w:szCs w:val="19"/>
          <w:color w:val="auto"/>
        </w:rPr>
        <w:t>.</w:t>
      </w:r>
    </w:p>
    <w:p>
      <w:pPr>
        <w:spacing w:after="0" w:line="206" w:lineRule="exact"/>
        <w:rPr>
          <w:sz w:val="20"/>
          <w:szCs w:val="20"/>
          <w:color w:val="auto"/>
        </w:rPr>
      </w:pPr>
    </w:p>
    <w:p>
      <w:pPr>
        <w:jc w:val="both"/>
        <w:ind w:firstLine="757"/>
        <w:spacing w:after="0" w:line="276" w:lineRule="auto"/>
        <w:tabs>
          <w:tab w:leader="none" w:pos="1018" w:val="left"/>
        </w:tabs>
        <w:numPr>
          <w:ilvl w:val="0"/>
          <w:numId w:val="21"/>
        </w:numPr>
        <w:rPr>
          <w:rFonts w:ascii="Arial" w:cs="Arial" w:eastAsia="Arial" w:hAnsi="Arial"/>
          <w:sz w:val="19"/>
          <w:szCs w:val="19"/>
          <w:color w:val="auto"/>
        </w:rPr>
      </w:pPr>
      <w:r>
        <w:rPr>
          <w:rFonts w:ascii="Arial" w:cs="Arial" w:eastAsia="Arial" w:hAnsi="Arial"/>
          <w:sz w:val="19"/>
          <w:szCs w:val="19"/>
          <w:b w:val="1"/>
          <w:bCs w:val="1"/>
          <w:color w:val="auto"/>
        </w:rPr>
        <w:t>Replacement of Warrant Certificate on Loss</w:t>
      </w:r>
      <w:r>
        <w:rPr>
          <w:rFonts w:ascii="Arial" w:cs="Arial" w:eastAsia="Arial" w:hAnsi="Arial"/>
          <w:sz w:val="19"/>
          <w:szCs w:val="19"/>
          <w:color w:val="auto"/>
        </w:rPr>
        <w:t>. Subject to any further requirements in relation to the cancellation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this Warrant Certificate pursuant to applicable Law, upon receipt of evidence reasonably satisfactory to the Company of the loss, theft, destruction or mutilation of this Warrant Certificate and upon delivery of an indemnity reasonably satisfactory to it (it being understood that a written indemnification agreement or affidavit of loss of the Holder shall be a sufficient indemnity) and, in case of mutilation, upon surrender of such Warrant Certificate for cancellation to the Company, the Company at its own expense shall execute and deliver to the Holder, in lieu hereof, a new Warrant Certificate of like tenor and exercisable for an equivalent number of Warrant Shares as this Warrant Certificate so lost, stolen, mutilated or destroyed;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mutilation, no indemnity shall be required if this Warrant Certificate in identifiable form is surrendered to the Company for cancellation.</w:t>
      </w:r>
    </w:p>
    <w:p>
      <w:pPr>
        <w:spacing w:after="0" w:line="149" w:lineRule="exact"/>
        <w:rPr>
          <w:rFonts w:ascii="Arial" w:cs="Arial" w:eastAsia="Arial" w:hAnsi="Arial"/>
          <w:sz w:val="19"/>
          <w:szCs w:val="19"/>
          <w:color w:val="auto"/>
        </w:rPr>
      </w:pPr>
    </w:p>
    <w:p>
      <w:pPr>
        <w:jc w:val="both"/>
        <w:ind w:firstLine="757"/>
        <w:spacing w:after="0" w:line="245" w:lineRule="auto"/>
        <w:tabs>
          <w:tab w:leader="none" w:pos="1018" w:val="left"/>
        </w:tabs>
        <w:numPr>
          <w:ilvl w:val="0"/>
          <w:numId w:val="21"/>
        </w:numPr>
        <w:rPr>
          <w:rFonts w:ascii="Arial" w:cs="Arial" w:eastAsia="Arial" w:hAnsi="Arial"/>
          <w:sz w:val="21"/>
          <w:szCs w:val="21"/>
          <w:color w:val="auto"/>
        </w:rPr>
      </w:pPr>
      <w:r>
        <w:rPr>
          <w:rFonts w:ascii="Arial" w:cs="Arial" w:eastAsia="Arial" w:hAnsi="Arial"/>
          <w:sz w:val="21"/>
          <w:szCs w:val="21"/>
          <w:b w:val="1"/>
          <w:bCs w:val="1"/>
          <w:color w:val="auto"/>
        </w:rPr>
        <w:t>Division and Combination of Warrant Certificate</w:t>
      </w:r>
      <w:r>
        <w:rPr>
          <w:rFonts w:ascii="Arial" w:cs="Arial" w:eastAsia="Arial" w:hAnsi="Arial"/>
          <w:sz w:val="21"/>
          <w:szCs w:val="21"/>
          <w:color w:val="auto"/>
        </w:rPr>
        <w:t>. Subject to compliance with the applicable provisions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Warrant Certificate as to any transfer or other assignment which may be involved in such division or combination, this Warrant Certificate may be divided or, following any such division of this Warrant Certificate, subsequently combined with other Warrant Certificates, upon the surrender of this Warrant Certificate or Warrant Certificates to the Company at its then principal executive offices, together with a written notice specifying the names and denominations in which new Warrant Certificates are to be issued, signed by each applicable Holder or its agents or attorneys. Subject to compliance with the applicable provisions of this Warrant Certificate as to any transfer or assignment which may be involved in such division or combination, the Company shall at its own expense execute and deliver a new Warrant Certificate or Warrant Certificates in exchange for this Warrant Certificate or Warrant Certificates so surrendered in accordance with such notice. Such new Warrant Certificate or Warrant Certificates shall be of like tenor to the surrendered Warrant Certificate or Warrant Certificates and shall be exercisable in the aggregate for an equivalent number of Warrant Shares as this Warrant Certificate or Warrant Certificates so surrendered in accordance with such notice.</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19"/>
          <w:szCs w:val="19"/>
          <w:b w:val="1"/>
          <w:bCs w:val="1"/>
          <w:color w:val="auto"/>
        </w:rPr>
        <w:t>Disputes; No Impairment, etc</w:t>
      </w:r>
      <w:r>
        <w:rPr>
          <w:rFonts w:ascii="Arial" w:cs="Arial" w:eastAsia="Arial" w:hAnsi="Arial"/>
          <w:sz w:val="19"/>
          <w:szCs w:val="19"/>
          <w:color w:val="auto"/>
        </w:rPr>
        <w:t>. The parties hereto agree as follows:</w:t>
      </w:r>
    </w:p>
    <w:p>
      <w:pPr>
        <w:spacing w:after="0" w:line="206" w:lineRule="exact"/>
        <w:rPr>
          <w:sz w:val="20"/>
          <w:szCs w:val="20"/>
          <w:color w:val="auto"/>
        </w:rPr>
      </w:pPr>
    </w:p>
    <w:p>
      <w:pPr>
        <w:jc w:val="both"/>
        <w:ind w:firstLine="757"/>
        <w:spacing w:after="0" w:line="245" w:lineRule="auto"/>
        <w:tabs>
          <w:tab w:leader="none" w:pos="1018" w:val="left"/>
        </w:tabs>
        <w:numPr>
          <w:ilvl w:val="0"/>
          <w:numId w:val="22"/>
        </w:numPr>
        <w:rPr>
          <w:rFonts w:ascii="Arial" w:cs="Arial" w:eastAsia="Arial" w:hAnsi="Arial"/>
          <w:sz w:val="21"/>
          <w:szCs w:val="21"/>
          <w:color w:val="auto"/>
        </w:rPr>
      </w:pPr>
      <w:r>
        <w:rPr>
          <w:rFonts w:ascii="Arial" w:cs="Arial" w:eastAsia="Arial" w:hAnsi="Arial"/>
          <w:sz w:val="21"/>
          <w:szCs w:val="21"/>
          <w:b w:val="1"/>
          <w:bCs w:val="1"/>
          <w:color w:val="auto"/>
        </w:rPr>
        <w:t>Disputes</w:t>
      </w:r>
      <w:r>
        <w:rPr>
          <w:rFonts w:ascii="Arial" w:cs="Arial" w:eastAsia="Arial" w:hAnsi="Arial"/>
          <w:sz w:val="21"/>
          <w:szCs w:val="21"/>
          <w:color w:val="auto"/>
        </w:rPr>
        <w:t>. In the event of any dispute which arises between the Holder and the Company (including the Board) with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respect to the calculation or determination of Fair Market Value, VWAP, the adjusted Exercise Price, the number of Warrant Shares, other Capital Securities, cash or other property issuable upon exercise of this Warrant Certificate, the amount or type of consideration due to the Holder in connection with any event, transaction or other matter described in </w:t>
      </w:r>
      <w:r>
        <w:rPr>
          <w:rFonts w:ascii="Arial" w:cs="Arial" w:eastAsia="Arial" w:hAnsi="Arial"/>
          <w:sz w:val="21"/>
          <w:szCs w:val="21"/>
          <w:b w:val="1"/>
          <w:bCs w:val="1"/>
          <w:color w:val="auto"/>
        </w:rPr>
        <w:t>Section 4</w:t>
      </w:r>
      <w:r>
        <w:rPr>
          <w:rFonts w:ascii="Arial" w:cs="Arial" w:eastAsia="Arial" w:hAnsi="Arial"/>
          <w:sz w:val="21"/>
          <w:szCs w:val="21"/>
          <w:color w:val="auto"/>
        </w:rPr>
        <w:t xml:space="preserve"> above or any other matter involving this Warrant Certificate or the Warrant Shares that is not resolved by the parties after good faith discussions and efforts to reach resolution, upon the request of the Holder the disputed issue(s) shall be submitted to a firm of independent investment bankers or public accountants of recognized national standing, which (i) shall be chosen by the Company and be reasonably satisfactory to the Holder and (ii) shall be completely independent of the Company (an “</w:t>
      </w:r>
      <w:r>
        <w:rPr>
          <w:rFonts w:ascii="Arial" w:cs="Arial" w:eastAsia="Arial" w:hAnsi="Arial"/>
          <w:sz w:val="21"/>
          <w:szCs w:val="21"/>
          <w:b w:val="1"/>
          <w:bCs w:val="1"/>
          <w:i w:val="1"/>
          <w:iCs w:val="1"/>
          <w:color w:val="auto"/>
        </w:rPr>
        <w:t>Independent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Advisor</w:t>
      </w:r>
      <w:r>
        <w:rPr>
          <w:rFonts w:ascii="Arial" w:cs="Arial" w:eastAsia="Arial" w:hAnsi="Arial"/>
          <w:sz w:val="21"/>
          <w:szCs w:val="21"/>
          <w:color w:val="auto"/>
        </w:rPr>
        <w:t>”), for determination, and such determination by the Independent Advisor shall be binding upon the Company and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Holder with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 w:name="page19"/>
    <w:bookmarkEnd w:id="18"/>
    <w:p>
      <w:pPr>
        <w:spacing w:after="0" w:line="250" w:lineRule="auto"/>
        <w:rPr>
          <w:sz w:val="20"/>
          <w:szCs w:val="20"/>
          <w:color w:val="auto"/>
        </w:rPr>
      </w:pPr>
      <w:r>
        <w:rPr>
          <w:rFonts w:ascii="Arial" w:cs="Arial" w:eastAsia="Arial" w:hAnsi="Arial"/>
          <w:sz w:val="22"/>
          <w:szCs w:val="22"/>
          <w:color w:val="auto"/>
        </w:rPr>
        <w:t>respect to this Warrant, any Warrant Shares issued in connection herewith or the matter in dispute, as the case may be, absent manifest error. Costs and expenses of the Independent Advisor shall be paid by the Company.</w:t>
      </w:r>
    </w:p>
    <w:p>
      <w:pPr>
        <w:spacing w:after="0" w:line="169" w:lineRule="exact"/>
        <w:rPr>
          <w:sz w:val="20"/>
          <w:szCs w:val="20"/>
          <w:color w:val="auto"/>
        </w:rPr>
      </w:pPr>
    </w:p>
    <w:p>
      <w:pPr>
        <w:jc w:val="both"/>
        <w:ind w:left="140" w:firstLine="749"/>
        <w:spacing w:after="0" w:line="280" w:lineRule="auto"/>
        <w:rPr>
          <w:sz w:val="20"/>
          <w:szCs w:val="20"/>
          <w:color w:val="auto"/>
        </w:rPr>
      </w:pPr>
      <w:r>
        <w:rPr>
          <w:rFonts w:ascii="Arial" w:cs="Arial" w:eastAsia="Arial" w:hAnsi="Arial"/>
          <w:sz w:val="19"/>
          <w:szCs w:val="19"/>
          <w:color w:val="auto"/>
        </w:rPr>
        <w:t>(b)</w:t>
      </w:r>
      <w:r>
        <w:rPr>
          <w:rFonts w:ascii="Arial" w:cs="Arial" w:eastAsia="Arial" w:hAnsi="Arial"/>
          <w:sz w:val="19"/>
          <w:szCs w:val="19"/>
          <w:b w:val="1"/>
          <w:bCs w:val="1"/>
          <w:color w:val="auto"/>
        </w:rPr>
        <w:t>No Avoidance.</w:t>
      </w:r>
      <w:r>
        <w:rPr>
          <w:rFonts w:ascii="Arial" w:cs="Arial" w:eastAsia="Arial" w:hAnsi="Arial"/>
          <w:sz w:val="19"/>
          <w:szCs w:val="19"/>
          <w:color w:val="auto"/>
        </w:rPr>
        <w:t xml:space="preserve"> The Company shall not, by way of amendment of any of its Charter or other Organic Documents or through any consolidation, merger, reorganization, transfer of assets, dissolution, issue or sale of securities or any other voluntary action, avoid or seek to avoid the observance or performance of any of the terms of this Warrant Certificate, but will at all times in good faith assist in the carrying out of all such terms and in the taking of all such action as may be necessary or appropriate in order to protect the rights of the Holder against impairment as if the Holder was a shareholder of the Company entitled to the benefit of fiduciary duties afforded to shareholders under Delaware law.</w:t>
      </w:r>
    </w:p>
    <w:p>
      <w:pPr>
        <w:spacing w:after="0" w:line="14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color w:val="auto"/>
        </w:rPr>
        <w:t>[Reserved</w:t>
      </w:r>
      <w:r>
        <w:rPr>
          <w:rFonts w:ascii="Arial" w:cs="Arial" w:eastAsia="Arial" w:hAnsi="Arial"/>
          <w:sz w:val="19"/>
          <w:szCs w:val="19"/>
          <w:color w:val="auto"/>
        </w:rPr>
        <w:t>].</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b w:val="1"/>
          <w:bCs w:val="1"/>
          <w:color w:val="auto"/>
        </w:rPr>
        <w:t>[Reserved]</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 xml:space="preserve">Section 13. Notices </w:t>
      </w:r>
      <w:r>
        <w:rPr>
          <w:rFonts w:ascii="Arial" w:cs="Arial" w:eastAsia="Arial" w:hAnsi="Arial"/>
          <w:sz w:val="19"/>
          <w:szCs w:val="19"/>
          <w:color w:val="auto"/>
        </w:rPr>
        <w:t>. All notices, requests, consents, claims, demands, waivers and other communications hereunder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 writing and shall be deemed to have been given: (i) when delivered by hand (with written confirmation of receipt); (ii) when received by the addressee if sent by a nationally recognized overnight courier (receipt requested); (iii) on the date sent by e-mail of a PDF document (with confirmation of transmission) if sent during normal business hours of the recipient, and on the next Business Day if sent after normal business hours of the recipient, in each case provided that sender did not receive an automated failed delivery notification; or (iv) on the third day after the date mailed, by certified or registered mail, return receipt requested, postage prepaid. Such communications must be sent to the respective parties at the addresses indicated below (or at such other address for a party as shall be specified in a notice given in accordance with this </w:t>
      </w:r>
      <w:r>
        <w:rPr>
          <w:rFonts w:ascii="Arial" w:cs="Arial" w:eastAsia="Arial" w:hAnsi="Arial"/>
          <w:sz w:val="19"/>
          <w:szCs w:val="19"/>
          <w:b w:val="1"/>
          <w:bCs w:val="1"/>
          <w:color w:val="auto"/>
        </w:rPr>
        <w:t>Section 13</w:t>
      </w:r>
      <w:r>
        <w:rPr>
          <w:rFonts w:ascii="Arial" w:cs="Arial" w:eastAsia="Arial" w:hAnsi="Arial"/>
          <w:sz w:val="19"/>
          <w:szCs w:val="19"/>
          <w:color w:val="auto"/>
        </w:rPr>
        <w:t>).</w:t>
      </w:r>
    </w:p>
    <w:p>
      <w:pPr>
        <w:spacing w:after="0" w:line="156" w:lineRule="exact"/>
        <w:rPr>
          <w:sz w:val="20"/>
          <w:szCs w:val="20"/>
          <w:color w:val="auto"/>
        </w:rPr>
      </w:pPr>
    </w:p>
    <w:p>
      <w:pPr>
        <w:spacing w:after="0"/>
        <w:tabs>
          <w:tab w:leader="none" w:pos="1880" w:val="left"/>
        </w:tabs>
        <w:rPr>
          <w:sz w:val="20"/>
          <w:szCs w:val="20"/>
          <w:color w:val="auto"/>
        </w:rPr>
      </w:pPr>
      <w:r>
        <w:rPr>
          <w:rFonts w:ascii="Arial" w:cs="Arial" w:eastAsia="Arial" w:hAnsi="Arial"/>
          <w:sz w:val="22"/>
          <w:szCs w:val="22"/>
          <w:color w:val="auto"/>
        </w:rPr>
        <w:t>If to the Company:</w:t>
      </w:r>
      <w:r>
        <w:rPr>
          <w:sz w:val="20"/>
          <w:szCs w:val="20"/>
          <w:color w:val="auto"/>
        </w:rPr>
        <w:tab/>
      </w:r>
      <w:r>
        <w:rPr>
          <w:rFonts w:ascii="Arial" w:cs="Arial" w:eastAsia="Arial" w:hAnsi="Arial"/>
          <w:sz w:val="19"/>
          <w:szCs w:val="19"/>
          <w:color w:val="auto"/>
        </w:rPr>
        <w:t>AVITA Medical, Inc.</w:t>
      </w:r>
    </w:p>
    <w:p>
      <w:pPr>
        <w:ind w:left="2260"/>
        <w:spacing w:after="0" w:line="238" w:lineRule="auto"/>
        <w:rPr>
          <w:sz w:val="20"/>
          <w:szCs w:val="20"/>
          <w:color w:val="auto"/>
        </w:rPr>
      </w:pPr>
      <w:r>
        <w:rPr>
          <w:rFonts w:ascii="Arial" w:cs="Arial" w:eastAsia="Arial" w:hAnsi="Arial"/>
          <w:sz w:val="22"/>
          <w:szCs w:val="22"/>
          <w:color w:val="auto"/>
        </w:rPr>
        <w:t>28159 Avenue Stanford Suite 220</w:t>
      </w:r>
    </w:p>
    <w:p>
      <w:pPr>
        <w:ind w:left="2260"/>
        <w:spacing w:after="0" w:line="230" w:lineRule="auto"/>
        <w:rPr>
          <w:sz w:val="20"/>
          <w:szCs w:val="20"/>
          <w:color w:val="auto"/>
        </w:rPr>
      </w:pPr>
      <w:r>
        <w:rPr>
          <w:rFonts w:ascii="Arial" w:cs="Arial" w:eastAsia="Arial" w:hAnsi="Arial"/>
          <w:sz w:val="22"/>
          <w:szCs w:val="22"/>
          <w:color w:val="auto"/>
        </w:rPr>
        <w:t>Valencia, CA 91355</w:t>
      </w:r>
    </w:p>
    <w:p>
      <w:pPr>
        <w:ind w:left="2260"/>
        <w:spacing w:after="0" w:line="231" w:lineRule="auto"/>
        <w:rPr>
          <w:sz w:val="20"/>
          <w:szCs w:val="20"/>
          <w:color w:val="auto"/>
        </w:rPr>
      </w:pPr>
      <w:r>
        <w:rPr>
          <w:rFonts w:ascii="Arial" w:cs="Arial" w:eastAsia="Arial" w:hAnsi="Arial"/>
          <w:sz w:val="22"/>
          <w:szCs w:val="22"/>
          <w:color w:val="auto"/>
        </w:rPr>
        <w:t>Attn: General Counsel</w:t>
      </w:r>
    </w:p>
    <w:p>
      <w:pPr>
        <w:ind w:left="2260"/>
        <w:spacing w:after="0"/>
        <w:rPr>
          <w:sz w:val="20"/>
          <w:szCs w:val="20"/>
          <w:color w:val="auto"/>
        </w:rPr>
      </w:pPr>
      <w:r>
        <w:rPr>
          <w:rFonts w:ascii="Arial" w:cs="Arial" w:eastAsia="Arial" w:hAnsi="Arial"/>
          <w:sz w:val="22"/>
          <w:szCs w:val="22"/>
          <w:color w:val="auto"/>
        </w:rPr>
        <w:t>Email: dshiroma@avitamedical.com</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with a copy to (which shall not qualify as notice to any party hereto):</w:t>
      </w:r>
    </w:p>
    <w:p>
      <w:pPr>
        <w:spacing w:after="0" w:line="233"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K&amp;L Gates LLP</w:t>
      </w:r>
    </w:p>
    <w:p>
      <w:pPr>
        <w:ind w:left="2260"/>
        <w:spacing w:after="0" w:line="238" w:lineRule="auto"/>
        <w:rPr>
          <w:sz w:val="20"/>
          <w:szCs w:val="20"/>
          <w:color w:val="auto"/>
        </w:rPr>
      </w:pPr>
      <w:r>
        <w:rPr>
          <w:rFonts w:ascii="Arial" w:cs="Arial" w:eastAsia="Arial" w:hAnsi="Arial"/>
          <w:sz w:val="22"/>
          <w:szCs w:val="22"/>
          <w:color w:val="auto"/>
        </w:rPr>
        <w:t>925 Fourth Avenue, Suite 2900</w:t>
      </w:r>
    </w:p>
    <w:p>
      <w:pPr>
        <w:ind w:left="2260"/>
        <w:spacing w:after="0" w:line="230" w:lineRule="auto"/>
        <w:rPr>
          <w:sz w:val="20"/>
          <w:szCs w:val="20"/>
          <w:color w:val="auto"/>
        </w:rPr>
      </w:pPr>
      <w:r>
        <w:rPr>
          <w:rFonts w:ascii="Arial" w:cs="Arial" w:eastAsia="Arial" w:hAnsi="Arial"/>
          <w:sz w:val="22"/>
          <w:szCs w:val="22"/>
          <w:color w:val="auto"/>
        </w:rPr>
        <w:t>Seattle, Washington 98104</w:t>
      </w:r>
    </w:p>
    <w:p>
      <w:pPr>
        <w:ind w:left="2260"/>
        <w:spacing w:after="0" w:line="231" w:lineRule="auto"/>
        <w:rPr>
          <w:sz w:val="20"/>
          <w:szCs w:val="20"/>
          <w:color w:val="auto"/>
        </w:rPr>
      </w:pPr>
      <w:r>
        <w:rPr>
          <w:rFonts w:ascii="Arial" w:cs="Arial" w:eastAsia="Arial" w:hAnsi="Arial"/>
          <w:sz w:val="22"/>
          <w:szCs w:val="22"/>
          <w:color w:val="auto"/>
        </w:rPr>
        <w:t>Attn: Chris Cunningham; Coleman Wombwell</w:t>
      </w:r>
    </w:p>
    <w:p>
      <w:pPr>
        <w:ind w:left="2260"/>
        <w:spacing w:after="0"/>
        <w:rPr>
          <w:sz w:val="20"/>
          <w:szCs w:val="20"/>
          <w:color w:val="auto"/>
        </w:rPr>
      </w:pPr>
      <w:r>
        <w:rPr>
          <w:rFonts w:ascii="Arial" w:cs="Arial" w:eastAsia="Arial" w:hAnsi="Arial"/>
          <w:sz w:val="22"/>
          <w:szCs w:val="22"/>
          <w:color w:val="auto"/>
        </w:rPr>
        <w:t>Email: chris.cunningham@klgates.com; coleman.wombwell@klgates.com</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color w:val="auto"/>
        </w:rPr>
        <w:t>If to the Holder:</w:t>
      </w:r>
    </w:p>
    <w:p>
      <w:pPr>
        <w:spacing w:after="0" w:line="233"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OrbiMed Royalty &amp; Credit Opportunities IV, LP</w:t>
      </w:r>
    </w:p>
    <w:p>
      <w:pPr>
        <w:spacing w:after="0" w:line="8"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c/o OrbiMed Advisors LLC</w:t>
      </w:r>
    </w:p>
    <w:p>
      <w:pPr>
        <w:ind w:left="2260"/>
        <w:spacing w:after="0" w:line="184" w:lineRule="auto"/>
        <w:rPr>
          <w:sz w:val="20"/>
          <w:szCs w:val="20"/>
          <w:color w:val="auto"/>
        </w:rPr>
      </w:pPr>
      <w:r>
        <w:rPr>
          <w:rFonts w:ascii="Arial" w:cs="Arial" w:eastAsia="Arial" w:hAnsi="Arial"/>
          <w:sz w:val="22"/>
          <w:szCs w:val="22"/>
          <w:color w:val="auto"/>
        </w:rPr>
        <w:t>601 Lexington Avenue, 54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2260"/>
        <w:spacing w:after="0" w:line="230" w:lineRule="auto"/>
        <w:rPr>
          <w:sz w:val="20"/>
          <w:szCs w:val="20"/>
          <w:color w:val="auto"/>
        </w:rPr>
      </w:pPr>
      <w:r>
        <w:rPr>
          <w:rFonts w:ascii="Arial" w:cs="Arial" w:eastAsia="Arial" w:hAnsi="Arial"/>
          <w:sz w:val="22"/>
          <w:szCs w:val="22"/>
          <w:color w:val="auto"/>
        </w:rPr>
        <w:t>New York, NY 10022</w:t>
      </w:r>
    </w:p>
    <w:p>
      <w:pPr>
        <w:ind w:left="2260"/>
        <w:spacing w:after="0" w:line="231" w:lineRule="auto"/>
        <w:rPr>
          <w:sz w:val="20"/>
          <w:szCs w:val="20"/>
          <w:color w:val="auto"/>
        </w:rPr>
      </w:pPr>
      <w:r>
        <w:rPr>
          <w:rFonts w:ascii="Arial" w:cs="Arial" w:eastAsia="Arial" w:hAnsi="Arial"/>
          <w:sz w:val="22"/>
          <w:szCs w:val="22"/>
          <w:color w:val="auto"/>
        </w:rPr>
        <w:t>Attention: Lars Enstrom; Matthew Rizzo; OrbiMed Credit Report</w:t>
      </w:r>
    </w:p>
    <w:p>
      <w:pPr>
        <w:ind w:left="2260"/>
        <w:spacing w:after="0"/>
        <w:rPr>
          <w:sz w:val="20"/>
          <w:szCs w:val="20"/>
          <w:color w:val="auto"/>
        </w:rPr>
      </w:pPr>
      <w:r>
        <w:rPr>
          <w:rFonts w:ascii="Arial" w:cs="Arial" w:eastAsia="Arial" w:hAnsi="Arial"/>
          <w:sz w:val="22"/>
          <w:szCs w:val="22"/>
          <w:color w:val="auto"/>
        </w:rPr>
        <w:t>Email: EnstromL@OrbiMed.com; RizzoM@OrbiMed.com; ROSCreditops@orbimed.com</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with a copy to (which shall not qualify as notice to any party hereto):</w:t>
      </w:r>
    </w:p>
    <w:p>
      <w:pPr>
        <w:spacing w:after="0" w:line="233"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Covington &amp; Burling LLP</w:t>
      </w:r>
    </w:p>
    <w:p>
      <w:pPr>
        <w:ind w:left="2260"/>
        <w:spacing w:after="0" w:line="238" w:lineRule="auto"/>
        <w:rPr>
          <w:sz w:val="20"/>
          <w:szCs w:val="20"/>
          <w:color w:val="auto"/>
        </w:rPr>
      </w:pPr>
      <w:r>
        <w:rPr>
          <w:rFonts w:ascii="Arial" w:cs="Arial" w:eastAsia="Arial" w:hAnsi="Arial"/>
          <w:sz w:val="22"/>
          <w:szCs w:val="22"/>
          <w:color w:val="auto"/>
        </w:rPr>
        <w:t>The New York Times Building</w:t>
      </w:r>
    </w:p>
    <w:p>
      <w:pPr>
        <w:ind w:left="2260"/>
        <w:spacing w:after="0" w:line="230" w:lineRule="auto"/>
        <w:rPr>
          <w:sz w:val="20"/>
          <w:szCs w:val="20"/>
          <w:color w:val="auto"/>
        </w:rPr>
      </w:pPr>
      <w:r>
        <w:rPr>
          <w:rFonts w:ascii="Arial" w:cs="Arial" w:eastAsia="Arial" w:hAnsi="Arial"/>
          <w:sz w:val="22"/>
          <w:szCs w:val="22"/>
          <w:color w:val="auto"/>
        </w:rPr>
        <w:t>620 Eighth Avenue</w:t>
      </w:r>
    </w:p>
    <w:p>
      <w:pPr>
        <w:ind w:left="2260"/>
        <w:spacing w:after="0" w:line="231" w:lineRule="auto"/>
        <w:rPr>
          <w:sz w:val="20"/>
          <w:szCs w:val="20"/>
          <w:color w:val="auto"/>
        </w:rPr>
      </w:pPr>
      <w:r>
        <w:rPr>
          <w:rFonts w:ascii="Arial" w:cs="Arial" w:eastAsia="Arial" w:hAnsi="Arial"/>
          <w:sz w:val="22"/>
          <w:szCs w:val="22"/>
          <w:color w:val="auto"/>
        </w:rPr>
        <w:t>New York, NY 10018</w:t>
      </w:r>
    </w:p>
    <w:p>
      <w:pPr>
        <w:ind w:left="2260"/>
        <w:spacing w:after="0" w:line="230" w:lineRule="auto"/>
        <w:rPr>
          <w:sz w:val="20"/>
          <w:szCs w:val="20"/>
          <w:color w:val="auto"/>
        </w:rPr>
      </w:pPr>
      <w:r>
        <w:rPr>
          <w:rFonts w:ascii="Arial" w:cs="Arial" w:eastAsia="Arial" w:hAnsi="Arial"/>
          <w:sz w:val="22"/>
          <w:szCs w:val="22"/>
          <w:color w:val="auto"/>
        </w:rPr>
        <w:t>Attention: Peter Schwartz</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Email: pschwartz@cov.com</w:t>
      </w:r>
    </w:p>
    <w:p>
      <w:pPr>
        <w:spacing w:after="0" w:line="209"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b w:val="1"/>
          <w:bCs w:val="1"/>
          <w:color w:val="auto"/>
        </w:rPr>
        <w:t xml:space="preserve">Section 14. Cumulative Remedies </w:t>
      </w:r>
      <w:r>
        <w:rPr>
          <w:rFonts w:ascii="Arial" w:cs="Arial" w:eastAsia="Arial" w:hAnsi="Arial"/>
          <w:sz w:val="22"/>
          <w:szCs w:val="22"/>
          <w:color w:val="auto"/>
        </w:rPr>
        <w:t>. Except to the extent expressly provided in</w:t>
      </w:r>
      <w:r>
        <w:rPr>
          <w:rFonts w:ascii="Arial" w:cs="Arial" w:eastAsia="Arial" w:hAnsi="Arial"/>
          <w:sz w:val="22"/>
          <w:szCs w:val="22"/>
          <w:b w:val="1"/>
          <w:bCs w:val="1"/>
          <w:color w:val="auto"/>
        </w:rPr>
        <w:t xml:space="preserve"> Section 7 </w:t>
      </w:r>
      <w:r>
        <w:rPr>
          <w:rFonts w:ascii="Arial" w:cs="Arial" w:eastAsia="Arial" w:hAnsi="Arial"/>
          <w:sz w:val="22"/>
          <w:szCs w:val="22"/>
          <w:color w:val="auto"/>
        </w:rPr>
        <w:t>to the contrary, the rights and</w:t>
      </w:r>
      <w:r>
        <w:rPr>
          <w:rFonts w:ascii="Arial" w:cs="Arial" w:eastAsia="Arial" w:hAnsi="Arial"/>
          <w:sz w:val="22"/>
          <w:szCs w:val="22"/>
          <w:b w:val="1"/>
          <w:bCs w:val="1"/>
          <w:color w:val="auto"/>
        </w:rPr>
        <w:t xml:space="preserve"> </w:t>
      </w:r>
      <w:r>
        <w:rPr>
          <w:rFonts w:ascii="Arial" w:cs="Arial" w:eastAsia="Arial" w:hAnsi="Arial"/>
          <w:sz w:val="22"/>
          <w:szCs w:val="22"/>
          <w:color w:val="auto"/>
        </w:rPr>
        <w:t>remedies provided in this Warrant Certificate are cumulative and are not exclusive of, and are in addition to and not in substitution for, any other rights or remedies available at Law, in equity or otherwise.</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Section 15. Entire Agreement. </w:t>
      </w:r>
      <w:r>
        <w:rPr>
          <w:rFonts w:ascii="Arial" w:cs="Arial" w:eastAsia="Arial" w:hAnsi="Arial"/>
          <w:sz w:val="22"/>
          <w:szCs w:val="22"/>
          <w:color w:val="auto"/>
        </w:rPr>
        <w:t>This Warrant Certificate constitutes the sole and entire agreement of the parties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Warrant Certificate with respect to the subject matter contained herein and supersedes all prior and contemporaneous understandings and agreements, both written and oral, with respect to such subject matter.</w:t>
      </w:r>
    </w:p>
    <w:p>
      <w:pPr>
        <w:spacing w:after="0" w:line="177" w:lineRule="exact"/>
        <w:rPr>
          <w:sz w:val="20"/>
          <w:szCs w:val="20"/>
          <w:color w:val="auto"/>
        </w:rPr>
      </w:pPr>
    </w:p>
    <w:p>
      <w:pPr>
        <w:jc w:val="both"/>
        <w:spacing w:after="0" w:line="300" w:lineRule="auto"/>
        <w:rPr>
          <w:sz w:val="20"/>
          <w:szCs w:val="20"/>
          <w:color w:val="auto"/>
        </w:rPr>
      </w:pPr>
      <w:r>
        <w:rPr>
          <w:rFonts w:ascii="Arial" w:cs="Arial" w:eastAsia="Arial" w:hAnsi="Arial"/>
          <w:sz w:val="19"/>
          <w:szCs w:val="19"/>
          <w:b w:val="1"/>
          <w:bCs w:val="1"/>
          <w:color w:val="auto"/>
        </w:rPr>
        <w:t xml:space="preserve">Section 16. Successor and Assigns. </w:t>
      </w:r>
      <w:r>
        <w:rPr>
          <w:rFonts w:ascii="Arial" w:cs="Arial" w:eastAsia="Arial" w:hAnsi="Arial"/>
          <w:sz w:val="19"/>
          <w:szCs w:val="19"/>
          <w:color w:val="auto"/>
        </w:rPr>
        <w:t>This Warrant Certificate and the rights evidenced hereby shall be binding upon and shall</w:t>
      </w:r>
      <w:r>
        <w:rPr>
          <w:rFonts w:ascii="Arial" w:cs="Arial" w:eastAsia="Arial" w:hAnsi="Arial"/>
          <w:sz w:val="19"/>
          <w:szCs w:val="19"/>
          <w:b w:val="1"/>
          <w:bCs w:val="1"/>
          <w:color w:val="auto"/>
        </w:rPr>
        <w:t xml:space="preserve"> </w:t>
      </w:r>
      <w:r>
        <w:rPr>
          <w:rFonts w:ascii="Arial" w:cs="Arial" w:eastAsia="Arial" w:hAnsi="Arial"/>
          <w:sz w:val="19"/>
          <w:szCs w:val="19"/>
          <w:color w:val="auto"/>
        </w:rPr>
        <w:t>inure to the benefit of the parties hereto and the successors of the Company and the successors and permitted assigns of the Holder. Such successor or permitted assign of the Holder shall be deemed to be the “Holder” for all purposes hereunder.</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Section 17. No Third-Party Beneficiaries </w:t>
      </w:r>
      <w:r>
        <w:rPr>
          <w:rFonts w:ascii="Arial" w:cs="Arial" w:eastAsia="Arial" w:hAnsi="Arial"/>
          <w:sz w:val="22"/>
          <w:szCs w:val="22"/>
          <w:color w:val="auto"/>
        </w:rPr>
        <w:t>. This Warrant Certificate is for the sole benefit of the Company and the Holder</w:t>
      </w:r>
      <w:r>
        <w:rPr>
          <w:rFonts w:ascii="Arial" w:cs="Arial" w:eastAsia="Arial" w:hAnsi="Arial"/>
          <w:sz w:val="22"/>
          <w:szCs w:val="22"/>
          <w:b w:val="1"/>
          <w:bCs w:val="1"/>
          <w:color w:val="auto"/>
        </w:rPr>
        <w:t xml:space="preserve"> </w:t>
      </w:r>
      <w:r>
        <w:rPr>
          <w:rFonts w:ascii="Arial" w:cs="Arial" w:eastAsia="Arial" w:hAnsi="Arial"/>
          <w:sz w:val="22"/>
          <w:szCs w:val="22"/>
          <w:color w:val="auto"/>
        </w:rPr>
        <w:t>and their respective successors and, in the case of the Holder, permitted assigns, and nothing herein, express or implied, is intended to or shall confer upon any other Person any legal or equitable right, benefit or remedy of any nature whatsoever, under or by reason of this Warrant Certificate.</w:t>
      </w:r>
    </w:p>
    <w:p>
      <w:pPr>
        <w:spacing w:after="0" w:line="180"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Section 18. Headings</w:t>
      </w:r>
      <w:r>
        <w:rPr>
          <w:rFonts w:ascii="Arial" w:cs="Arial" w:eastAsia="Arial" w:hAnsi="Arial"/>
          <w:sz w:val="22"/>
          <w:szCs w:val="22"/>
          <w:color w:val="auto"/>
        </w:rPr>
        <w:t>. The headings in this Warrant Certificate are for reference only and shall not affect the interpretation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Warrant Certificate.</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Amendment and Modification; Waiver.</w:t>
      </w:r>
    </w:p>
    <w:p>
      <w:pPr>
        <w:spacing w:after="0" w:line="206" w:lineRule="exact"/>
        <w:rPr>
          <w:sz w:val="20"/>
          <w:szCs w:val="20"/>
          <w:color w:val="auto"/>
        </w:rPr>
      </w:pPr>
    </w:p>
    <w:p>
      <w:pPr>
        <w:ind w:right="40"/>
        <w:spacing w:after="0" w:line="256" w:lineRule="auto"/>
        <w:rPr>
          <w:sz w:val="20"/>
          <w:szCs w:val="20"/>
          <w:color w:val="auto"/>
        </w:rPr>
      </w:pPr>
      <w:r>
        <w:rPr>
          <w:rFonts w:ascii="Arial" w:cs="Arial" w:eastAsia="Arial" w:hAnsi="Arial"/>
          <w:sz w:val="22"/>
          <w:szCs w:val="22"/>
          <w:b w:val="1"/>
          <w:bCs w:val="1"/>
          <w:color w:val="auto"/>
        </w:rPr>
        <w:t xml:space="preserve">Section 19. </w:t>
      </w:r>
      <w:r>
        <w:rPr>
          <w:rFonts w:ascii="Arial" w:cs="Arial" w:eastAsia="Arial" w:hAnsi="Arial"/>
          <w:sz w:val="22"/>
          <w:szCs w:val="22"/>
          <w:color w:val="auto"/>
        </w:rPr>
        <w:t>This Warrant Certificate may only be amended, modified or supplemented by an agreement in writing signed by</w:t>
      </w:r>
      <w:r>
        <w:rPr>
          <w:rFonts w:ascii="Arial" w:cs="Arial" w:eastAsia="Arial" w:hAnsi="Arial"/>
          <w:sz w:val="22"/>
          <w:szCs w:val="22"/>
          <w:b w:val="1"/>
          <w:bCs w:val="1"/>
          <w:color w:val="auto"/>
        </w:rPr>
        <w:t xml:space="preserve"> </w:t>
      </w:r>
      <w:r>
        <w:rPr>
          <w:rFonts w:ascii="Arial" w:cs="Arial" w:eastAsia="Arial" w:hAnsi="Arial"/>
          <w:sz w:val="22"/>
          <w:szCs w:val="22"/>
          <w:color w:val="auto"/>
        </w:rPr>
        <w:t>each party hereto provided that, until such time as the Company is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 w:name="page21"/>
    <w:bookmarkEnd w:id="20"/>
    <w:p>
      <w:pPr>
        <w:jc w:val="both"/>
        <w:spacing w:after="0" w:line="246" w:lineRule="auto"/>
        <w:rPr>
          <w:sz w:val="20"/>
          <w:szCs w:val="20"/>
          <w:color w:val="auto"/>
        </w:rPr>
      </w:pPr>
      <w:r>
        <w:rPr>
          <w:rFonts w:ascii="Arial" w:cs="Arial" w:eastAsia="Arial" w:hAnsi="Arial"/>
          <w:sz w:val="21"/>
          <w:szCs w:val="21"/>
          <w:color w:val="auto"/>
        </w:rPr>
        <w:t>removed from the Official List of the ASX, any proposed amendment, modification, supplement, waiver or termination must not contravene the ASX Listing Rules. No waiver by the Company or the Holder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Certificate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Section 20. Severability </w:t>
      </w:r>
      <w:r>
        <w:rPr>
          <w:rFonts w:ascii="Arial" w:cs="Arial" w:eastAsia="Arial" w:hAnsi="Arial"/>
          <w:sz w:val="22"/>
          <w:szCs w:val="22"/>
          <w:color w:val="auto"/>
        </w:rPr>
        <w:t>. If any term or provision of this Warrant Certificate is invalid, illegal or unenforceable in any</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such invalidity, illegality or unenforceability shall not affect any other term or provision of this Warrant Certificate or invalidate or render unenforceable such term or provision in any other jurisdiction.</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 xml:space="preserve">Section 21. Governing Law. </w:t>
      </w:r>
      <w:r>
        <w:rPr>
          <w:rFonts w:ascii="Arial" w:cs="Arial" w:eastAsia="Arial" w:hAnsi="Arial"/>
          <w:sz w:val="22"/>
          <w:szCs w:val="22"/>
          <w:color w:val="auto"/>
        </w:rPr>
        <w:t>This Warrant Certificate shall be governed by and construed in accordance with the internal</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the State of New York without effect to any choice or conflict of Law provision or rule (of the State of New York other than Section 5-1401 of the General Obligations Law of the State of New York or of any other jurisdiction) that would cause the application of Laws of any jurisdiction other than those of the State of New York. The parties expressly acknowledge and agree, however, that until such time as the Company is removed from the Official List of the ASX, the Company must comply with the ASX Listing Rules.</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22.</w:t>
      </w:r>
      <w:r>
        <w:rPr>
          <w:sz w:val="20"/>
          <w:szCs w:val="20"/>
          <w:color w:val="auto"/>
        </w:rPr>
        <w:tab/>
      </w:r>
      <w:r>
        <w:rPr>
          <w:rFonts w:ascii="Arial" w:cs="Arial" w:eastAsia="Arial" w:hAnsi="Arial"/>
          <w:sz w:val="19"/>
          <w:szCs w:val="19"/>
          <w:b w:val="1"/>
          <w:bCs w:val="1"/>
          <w:color w:val="auto"/>
        </w:rPr>
        <w:t>Submission to Jurisdiction.</w:t>
      </w:r>
    </w:p>
    <w:p>
      <w:pPr>
        <w:spacing w:after="0" w:line="212" w:lineRule="exact"/>
        <w:rPr>
          <w:sz w:val="20"/>
          <w:szCs w:val="20"/>
          <w:color w:val="auto"/>
        </w:rPr>
      </w:pPr>
    </w:p>
    <w:p>
      <w:pPr>
        <w:jc w:val="both"/>
        <w:ind w:firstLine="757"/>
        <w:spacing w:after="0" w:line="246" w:lineRule="auto"/>
        <w:tabs>
          <w:tab w:leader="none" w:pos="1018" w:val="left"/>
        </w:tabs>
        <w:numPr>
          <w:ilvl w:val="0"/>
          <w:numId w:val="23"/>
        </w:numPr>
        <w:rPr>
          <w:rFonts w:ascii="Arial" w:cs="Arial" w:eastAsia="Arial" w:hAnsi="Arial"/>
          <w:sz w:val="21"/>
          <w:szCs w:val="21"/>
          <w:color w:val="auto"/>
        </w:rPr>
      </w:pPr>
      <w:r>
        <w:rPr>
          <w:rFonts w:ascii="Arial" w:cs="Arial" w:eastAsia="Arial" w:hAnsi="Arial"/>
          <w:sz w:val="21"/>
          <w:szCs w:val="21"/>
          <w:color w:val="auto"/>
        </w:rPr>
        <w:t xml:space="preserve">Any legal suit, action or proceeding arising out of or based on this Warrant Certificate or the transactions contemplated hereby may be instituted in the federal courts of the United States or the courts of the State of New York, in each case located in the city and county of New York. Each party irrevocably submits to the exclusive jurisdiction of such courts in any such suit, action or proceeding. Service of process, summons, notice or other document by certified or registered mail to such party’s address set forth in </w:t>
      </w:r>
      <w:r>
        <w:rPr>
          <w:rFonts w:ascii="Arial" w:cs="Arial" w:eastAsia="Arial" w:hAnsi="Arial"/>
          <w:sz w:val="21"/>
          <w:szCs w:val="21"/>
          <w:b w:val="1"/>
          <w:bCs w:val="1"/>
          <w:color w:val="auto"/>
        </w:rPr>
        <w:t>Section 13</w:t>
      </w:r>
      <w:r>
        <w:rPr>
          <w:rFonts w:ascii="Arial" w:cs="Arial" w:eastAsia="Arial" w:hAnsi="Arial"/>
          <w:sz w:val="21"/>
          <w:szCs w:val="21"/>
          <w:color w:val="auto"/>
        </w:rPr>
        <w:t xml:space="preserve"> shall be effective service of process for any suit, action or other proceeding, and the parties irrevocably and unconditionally waive any objection to the laying of venue of any suit, action or other proceeding in such courts and irrevocably waive and agree not to plead or claim in any such court that any such suit, action or proceeding has been brought in an inconvenient forum.</w:t>
      </w:r>
    </w:p>
    <w:p>
      <w:pPr>
        <w:spacing w:after="0" w:line="180" w:lineRule="exact"/>
        <w:rPr>
          <w:sz w:val="20"/>
          <w:szCs w:val="20"/>
          <w:color w:val="auto"/>
        </w:rPr>
      </w:pPr>
    </w:p>
    <w:p>
      <w:pPr>
        <w:jc w:val="both"/>
        <w:ind w:left="140" w:firstLine="749"/>
        <w:spacing w:after="0" w:line="246" w:lineRule="auto"/>
        <w:rPr>
          <w:sz w:val="20"/>
          <w:szCs w:val="20"/>
          <w:color w:val="auto"/>
        </w:rPr>
      </w:pPr>
      <w:r>
        <w:rPr>
          <w:rFonts w:ascii="Arial" w:cs="Arial" w:eastAsia="Arial" w:hAnsi="Arial"/>
          <w:sz w:val="21"/>
          <w:szCs w:val="21"/>
          <w:color w:val="auto"/>
        </w:rPr>
        <w:t>(b)</w:t>
      </w:r>
      <w:r>
        <w:rPr>
          <w:rFonts w:ascii="Arial" w:cs="Arial" w:eastAsia="Arial" w:hAnsi="Arial"/>
          <w:sz w:val="21"/>
          <w:szCs w:val="21"/>
          <w:u w:val="single" w:color="auto"/>
          <w:color w:val="auto"/>
        </w:rPr>
        <w:t>Waiver of Trial by Jury</w:t>
      </w:r>
      <w:r>
        <w:rPr>
          <w:rFonts w:ascii="Arial" w:cs="Arial" w:eastAsia="Arial" w:hAnsi="Arial"/>
          <w:sz w:val="21"/>
          <w:szCs w:val="21"/>
          <w:color w:val="auto"/>
        </w:rPr>
        <w:t>. EACH PARTY ACKNOWLEDGES AND AGREES THAT ANY CONTROVERSY WHICH MAY ARISE UNDER THIS WARRANT CERTIFICATE IS LIKELY TO INVOLVE COMPLICATED AND DIFFICULT ISSUES, AND THEREFORE EACH SUCH PERSON HEREBY IRREVOCABLY AND UNCONDITIONALLY WAIVES ANY RIGHT SUCH PERSON MAY HAVE TO A TRIAL BY JURY WITH RESPECT TO ANY LITIGATION DIRECTLY OR INDIRECTLY ARISING OUT OF OR RELATING TO THIS WARRANT CERTIFICATE. EACH PARTY CERTIFIES AND ACKNOWLEDGES THAT (i) NO REPRESENTATIVE, AGENT OR ATTORNEY OF THE OTHER PERSON HAS REPRESENTED, EXPRESSLY OR OTHERWISE, THAT SUCH OTHER PERSON WOULD NOT, IN THE EVENT OF LITIGATION, SEEK TO ENFORCE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 w:name="page22"/>
    <w:bookmarkEnd w:id="21"/>
    <w:p>
      <w:pPr>
        <w:jc w:val="both"/>
        <w:ind w:left="140"/>
        <w:spacing w:after="0" w:line="252" w:lineRule="auto"/>
        <w:rPr>
          <w:sz w:val="20"/>
          <w:szCs w:val="20"/>
          <w:color w:val="auto"/>
        </w:rPr>
      </w:pPr>
      <w:r>
        <w:rPr>
          <w:rFonts w:ascii="Arial" w:cs="Arial" w:eastAsia="Arial" w:hAnsi="Arial"/>
          <w:sz w:val="21"/>
          <w:szCs w:val="21"/>
          <w:color w:val="auto"/>
        </w:rPr>
        <w:t>THE FOREGOING WAIVER, (ii) SUCH PERSON UNDERSTANDS AND HAS CONSIDERED THE IMPLICATIONS OF THIS WAIVER, (iii) SUCH PERSON MAKES THIS WAIVER VOLUNTARILY, AND (iv) SUCH PERSON HAS BEEN INDUCED TO ENTER INTO THIS WARRANT CERTIFICATE AND EACH ANCILLARY AGREEMENT BY, AMONG OTHER THINGS, THE MUTUAL WAIVERS AND CERTIFICATIONS IN THIS SECTION.</w:t>
      </w:r>
    </w:p>
    <w:p>
      <w:pPr>
        <w:spacing w:after="0" w:line="168"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Section 23. Counterparts </w:t>
      </w:r>
      <w:r>
        <w:rPr>
          <w:rFonts w:ascii="Arial" w:cs="Arial" w:eastAsia="Arial" w:hAnsi="Arial"/>
          <w:sz w:val="22"/>
          <w:szCs w:val="22"/>
          <w:color w:val="auto"/>
        </w:rPr>
        <w:t>. This Warrant Certificate may be executed in counterparts, each of which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but all of which together shall be deemed to be one and the same agreement. A signed copy of this Warrant Certificate delivered by facsimile, e-mail or other means of electronic transmission shall be deemed to have the same legal effect as delivery of an original signed copy of this Warrant Certificate.</w:t>
      </w:r>
    </w:p>
    <w:p>
      <w:pPr>
        <w:spacing w:after="0" w:line="180" w:lineRule="exact"/>
        <w:rPr>
          <w:sz w:val="20"/>
          <w:szCs w:val="20"/>
          <w:color w:val="auto"/>
        </w:rPr>
      </w:pPr>
    </w:p>
    <w:p>
      <w:pPr>
        <w:jc w:val="both"/>
        <w:spacing w:after="0" w:line="334" w:lineRule="auto"/>
        <w:rPr>
          <w:sz w:val="20"/>
          <w:szCs w:val="20"/>
          <w:color w:val="auto"/>
        </w:rPr>
      </w:pPr>
      <w:r>
        <w:rPr>
          <w:rFonts w:ascii="Arial" w:cs="Arial" w:eastAsia="Arial" w:hAnsi="Arial"/>
          <w:sz w:val="19"/>
          <w:szCs w:val="19"/>
          <w:b w:val="1"/>
          <w:bCs w:val="1"/>
          <w:color w:val="auto"/>
        </w:rPr>
        <w:t xml:space="preserve">Section 24. No Strict Construction. </w:t>
      </w:r>
      <w:r>
        <w:rPr>
          <w:rFonts w:ascii="Arial" w:cs="Arial" w:eastAsia="Arial" w:hAnsi="Arial"/>
          <w:sz w:val="19"/>
          <w:szCs w:val="19"/>
          <w:color w:val="auto"/>
        </w:rPr>
        <w:t>This Warrant Certificate shall be construed without regard to any presumption or rule</w:t>
      </w:r>
      <w:r>
        <w:rPr>
          <w:rFonts w:ascii="Arial" w:cs="Arial" w:eastAsia="Arial" w:hAnsi="Arial"/>
          <w:sz w:val="19"/>
          <w:szCs w:val="19"/>
          <w:b w:val="1"/>
          <w:bCs w:val="1"/>
          <w:color w:val="auto"/>
        </w:rPr>
        <w:t xml:space="preserve"> </w:t>
      </w:r>
      <w:r>
        <w:rPr>
          <w:rFonts w:ascii="Arial" w:cs="Arial" w:eastAsia="Arial" w:hAnsi="Arial"/>
          <w:sz w:val="19"/>
          <w:szCs w:val="19"/>
          <w:color w:val="auto"/>
        </w:rPr>
        <w:t>requiring construction or interpretation against the party drafting an instrument or causing any instrument to be drafted.</w:t>
      </w:r>
    </w:p>
    <w:p>
      <w:pPr>
        <w:spacing w:after="0" w:line="94" w:lineRule="exact"/>
        <w:rPr>
          <w:sz w:val="20"/>
          <w:szCs w:val="20"/>
          <w:color w:val="auto"/>
        </w:rPr>
      </w:pPr>
    </w:p>
    <w:p>
      <w:pPr>
        <w:jc w:val="both"/>
        <w:spacing w:after="0" w:line="334" w:lineRule="auto"/>
        <w:rPr>
          <w:sz w:val="20"/>
          <w:szCs w:val="20"/>
          <w:color w:val="auto"/>
        </w:rPr>
      </w:pPr>
      <w:r>
        <w:rPr>
          <w:rFonts w:ascii="Arial" w:cs="Arial" w:eastAsia="Arial" w:hAnsi="Arial"/>
          <w:sz w:val="19"/>
          <w:szCs w:val="19"/>
          <w:b w:val="1"/>
          <w:bCs w:val="1"/>
          <w:color w:val="auto"/>
        </w:rPr>
        <w:t xml:space="preserve">Section 25. ASX Listing Rules. </w:t>
      </w:r>
      <w:r>
        <w:rPr>
          <w:rFonts w:ascii="Arial" w:cs="Arial" w:eastAsia="Arial" w:hAnsi="Arial"/>
          <w:sz w:val="19"/>
          <w:szCs w:val="19"/>
          <w:color w:val="auto"/>
        </w:rPr>
        <w:t>Until such time as the Company is removed from the Official List of the ASX, the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additional provisions will apply to this Warrant Certificate notwithstanding any other provision of this Warrant Certificate:</w:t>
      </w:r>
    </w:p>
    <w:p>
      <w:pPr>
        <w:spacing w:after="0" w:line="94" w:lineRule="exact"/>
        <w:rPr>
          <w:sz w:val="20"/>
          <w:szCs w:val="20"/>
          <w:color w:val="auto"/>
        </w:rPr>
      </w:pPr>
    </w:p>
    <w:p>
      <w:pPr>
        <w:ind w:left="380" w:firstLine="376"/>
        <w:spacing w:after="0" w:line="280" w:lineRule="auto"/>
        <w:tabs>
          <w:tab w:leader="none" w:pos="1024" w:val="left"/>
        </w:tabs>
        <w:numPr>
          <w:ilvl w:val="0"/>
          <w:numId w:val="24"/>
        </w:numPr>
        <w:rPr>
          <w:rFonts w:ascii="Arial" w:cs="Arial" w:eastAsia="Arial" w:hAnsi="Arial"/>
          <w:sz w:val="21"/>
          <w:szCs w:val="21"/>
          <w:color w:val="auto"/>
        </w:rPr>
      </w:pPr>
      <w:r>
        <w:rPr>
          <w:rFonts w:ascii="Arial" w:cs="Arial" w:eastAsia="Arial" w:hAnsi="Arial"/>
          <w:sz w:val="21"/>
          <w:szCs w:val="21"/>
          <w:b w:val="1"/>
          <w:bCs w:val="1"/>
          <w:color w:val="auto"/>
        </w:rPr>
        <w:t xml:space="preserve">Voting Rights. </w:t>
      </w:r>
      <w:r>
        <w:rPr>
          <w:rFonts w:ascii="Arial" w:cs="Arial" w:eastAsia="Arial" w:hAnsi="Arial"/>
          <w:sz w:val="21"/>
          <w:szCs w:val="21"/>
          <w:color w:val="auto"/>
        </w:rPr>
        <w:t>This Warrant Certificate does not carry any voting rights at stockholder meetings of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unless and until the Warrant Certificate is exercised.</w:t>
      </w:r>
    </w:p>
    <w:p>
      <w:pPr>
        <w:spacing w:after="0" w:line="138" w:lineRule="exact"/>
        <w:rPr>
          <w:rFonts w:ascii="Arial" w:cs="Arial" w:eastAsia="Arial" w:hAnsi="Arial"/>
          <w:sz w:val="21"/>
          <w:szCs w:val="21"/>
          <w:color w:val="auto"/>
        </w:rPr>
      </w:pPr>
    </w:p>
    <w:p>
      <w:pPr>
        <w:jc w:val="both"/>
        <w:ind w:left="380" w:firstLine="376"/>
        <w:spacing w:after="0" w:line="260" w:lineRule="auto"/>
        <w:tabs>
          <w:tab w:leader="none" w:pos="1024" w:val="left"/>
        </w:tabs>
        <w:numPr>
          <w:ilvl w:val="0"/>
          <w:numId w:val="24"/>
        </w:numPr>
        <w:rPr>
          <w:rFonts w:ascii="Arial" w:cs="Arial" w:eastAsia="Arial" w:hAnsi="Arial"/>
          <w:sz w:val="21"/>
          <w:szCs w:val="21"/>
          <w:color w:val="auto"/>
        </w:rPr>
      </w:pPr>
      <w:r>
        <w:rPr>
          <w:rFonts w:ascii="Arial" w:cs="Arial" w:eastAsia="Arial" w:hAnsi="Arial"/>
          <w:sz w:val="21"/>
          <w:szCs w:val="21"/>
          <w:b w:val="1"/>
          <w:bCs w:val="1"/>
          <w:color w:val="auto"/>
        </w:rPr>
        <w:t xml:space="preserve">Participation Rights. </w:t>
      </w:r>
      <w:r>
        <w:rPr>
          <w:rFonts w:ascii="Arial" w:cs="Arial" w:eastAsia="Arial" w:hAnsi="Arial"/>
          <w:sz w:val="21"/>
          <w:szCs w:val="21"/>
          <w:color w:val="auto"/>
        </w:rPr>
        <w:t>There are no participating rights or entitlements inherent in the Warrant Certificate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Holder is not by virtue of holding the Warrant Certificate entitled to participate in any new issue of capital that may be offered to stockholders (except upon exercise of the Warrant Certificate).</w:t>
      </w:r>
    </w:p>
    <w:p>
      <w:pPr>
        <w:spacing w:after="0" w:line="160" w:lineRule="exact"/>
        <w:rPr>
          <w:rFonts w:ascii="Arial" w:cs="Arial" w:eastAsia="Arial" w:hAnsi="Arial"/>
          <w:sz w:val="21"/>
          <w:szCs w:val="21"/>
          <w:color w:val="auto"/>
        </w:rPr>
      </w:pPr>
    </w:p>
    <w:p>
      <w:pPr>
        <w:jc w:val="both"/>
        <w:ind w:left="380" w:firstLine="376"/>
        <w:spacing w:after="0" w:line="243" w:lineRule="auto"/>
        <w:tabs>
          <w:tab w:leader="none" w:pos="1024" w:val="left"/>
        </w:tabs>
        <w:numPr>
          <w:ilvl w:val="0"/>
          <w:numId w:val="24"/>
        </w:numPr>
        <w:rPr>
          <w:rFonts w:ascii="Arial" w:cs="Arial" w:eastAsia="Arial" w:hAnsi="Arial"/>
          <w:sz w:val="22"/>
          <w:szCs w:val="22"/>
          <w:color w:val="auto"/>
        </w:rPr>
      </w:pPr>
      <w:r>
        <w:rPr>
          <w:rFonts w:ascii="Arial" w:cs="Arial" w:eastAsia="Arial" w:hAnsi="Arial"/>
          <w:sz w:val="22"/>
          <w:szCs w:val="22"/>
          <w:b w:val="1"/>
          <w:bCs w:val="1"/>
          <w:color w:val="auto"/>
        </w:rPr>
        <w:t xml:space="preserve">Reorganizations. </w:t>
      </w:r>
      <w:r>
        <w:rPr>
          <w:rFonts w:ascii="Arial" w:cs="Arial" w:eastAsia="Arial" w:hAnsi="Arial"/>
          <w:sz w:val="22"/>
          <w:szCs w:val="22"/>
          <w:color w:val="auto"/>
        </w:rPr>
        <w:t>The rights of the Holder will be changed to the extent necessary to comply with the ASX Listing</w:t>
      </w:r>
      <w:r>
        <w:rPr>
          <w:rFonts w:ascii="Arial" w:cs="Arial" w:eastAsia="Arial" w:hAnsi="Arial"/>
          <w:sz w:val="22"/>
          <w:szCs w:val="22"/>
          <w:b w:val="1"/>
          <w:bCs w:val="1"/>
          <w:color w:val="auto"/>
        </w:rPr>
        <w:t xml:space="preserve"> </w:t>
      </w:r>
      <w:r>
        <w:rPr>
          <w:rFonts w:ascii="Arial" w:cs="Arial" w:eastAsia="Arial" w:hAnsi="Arial"/>
          <w:sz w:val="22"/>
          <w:szCs w:val="22"/>
          <w:color w:val="auto"/>
        </w:rPr>
        <w:t>Rules applying to a reorganization (including a reconstruction, consolidation, subdivision or reduction or return of capital) of the Company’s capital at the time of the reorganization.</w:t>
      </w:r>
    </w:p>
    <w:p>
      <w:pPr>
        <w:spacing w:after="0" w:line="176" w:lineRule="exact"/>
        <w:rPr>
          <w:rFonts w:ascii="Arial" w:cs="Arial" w:eastAsia="Arial" w:hAnsi="Arial"/>
          <w:sz w:val="22"/>
          <w:szCs w:val="22"/>
          <w:color w:val="auto"/>
        </w:rPr>
      </w:pPr>
    </w:p>
    <w:p>
      <w:pPr>
        <w:jc w:val="both"/>
        <w:ind w:left="380" w:firstLine="376"/>
        <w:spacing w:after="0" w:line="300" w:lineRule="auto"/>
        <w:tabs>
          <w:tab w:leader="none" w:pos="1024" w:val="left"/>
        </w:tabs>
        <w:numPr>
          <w:ilvl w:val="0"/>
          <w:numId w:val="24"/>
        </w:numPr>
        <w:rPr>
          <w:rFonts w:ascii="Arial" w:cs="Arial" w:eastAsia="Arial" w:hAnsi="Arial"/>
          <w:sz w:val="19"/>
          <w:szCs w:val="19"/>
          <w:color w:val="auto"/>
        </w:rPr>
      </w:pPr>
      <w:r>
        <w:rPr>
          <w:rFonts w:ascii="Arial" w:cs="Arial" w:eastAsia="Arial" w:hAnsi="Arial"/>
          <w:sz w:val="19"/>
          <w:szCs w:val="19"/>
          <w:b w:val="1"/>
          <w:bCs w:val="1"/>
          <w:color w:val="auto"/>
        </w:rPr>
        <w:t>Bonus Issues</w:t>
      </w:r>
      <w:r>
        <w:rPr>
          <w:rFonts w:ascii="Arial" w:cs="Arial" w:eastAsia="Arial" w:hAnsi="Arial"/>
          <w:sz w:val="19"/>
          <w:szCs w:val="19"/>
          <w:color w:val="auto"/>
        </w:rPr>
        <w:t>. If there is a bonus issue to the holders of Common Shares during the Exercise Period, the number of</w:t>
      </w:r>
      <w:r>
        <w:rPr>
          <w:rFonts w:ascii="Arial" w:cs="Arial" w:eastAsia="Arial" w:hAnsi="Arial"/>
          <w:sz w:val="19"/>
          <w:szCs w:val="19"/>
          <w:b w:val="1"/>
          <w:bCs w:val="1"/>
          <w:color w:val="auto"/>
        </w:rPr>
        <w:t xml:space="preserve"> </w:t>
      </w:r>
      <w:r>
        <w:rPr>
          <w:rFonts w:ascii="Arial" w:cs="Arial" w:eastAsia="Arial" w:hAnsi="Arial"/>
          <w:sz w:val="19"/>
          <w:szCs w:val="19"/>
          <w:color w:val="auto"/>
        </w:rPr>
        <w:t>Warrant Shares over which the Warrant Certificate is exercisable will be increased by the number of Common Shares which the Holder would have received if it had exercised the Warrant Certificate before the record date for the bonus issue.</w:t>
      </w:r>
    </w:p>
    <w:p>
      <w:pPr>
        <w:spacing w:after="0" w:line="125" w:lineRule="exact"/>
        <w:rPr>
          <w:rFonts w:ascii="Arial" w:cs="Arial" w:eastAsia="Arial" w:hAnsi="Arial"/>
          <w:sz w:val="19"/>
          <w:szCs w:val="19"/>
          <w:color w:val="auto"/>
        </w:rPr>
      </w:pPr>
    </w:p>
    <w:p>
      <w:pPr>
        <w:jc w:val="both"/>
        <w:ind w:left="380" w:firstLine="376"/>
        <w:spacing w:after="0" w:line="260" w:lineRule="auto"/>
        <w:tabs>
          <w:tab w:leader="none" w:pos="1024" w:val="left"/>
        </w:tabs>
        <w:numPr>
          <w:ilvl w:val="0"/>
          <w:numId w:val="24"/>
        </w:numPr>
        <w:rPr>
          <w:rFonts w:ascii="Arial" w:cs="Arial" w:eastAsia="Arial" w:hAnsi="Arial"/>
          <w:sz w:val="21"/>
          <w:szCs w:val="21"/>
          <w:color w:val="auto"/>
        </w:rPr>
      </w:pPr>
      <w:r>
        <w:rPr>
          <w:rFonts w:ascii="Arial" w:cs="Arial" w:eastAsia="Arial" w:hAnsi="Arial"/>
          <w:sz w:val="21"/>
          <w:szCs w:val="21"/>
          <w:b w:val="1"/>
          <w:bCs w:val="1"/>
          <w:color w:val="auto"/>
        </w:rPr>
        <w:t>Pro Rata Issue</w:t>
      </w:r>
      <w:r>
        <w:rPr>
          <w:rFonts w:ascii="Arial" w:cs="Arial" w:eastAsia="Arial" w:hAnsi="Arial"/>
          <w:sz w:val="21"/>
          <w:szCs w:val="21"/>
          <w:color w:val="auto"/>
        </w:rPr>
        <w:t>. If there is a pro rata issue (except a bonus issue) of Common Shares to holders of Common Shares</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Exercise Period, the Exercise Price will be reduced in accordance with the formula set out in ASX Listing Rule 6.22.2.</w:t>
      </w:r>
    </w:p>
    <w:p>
      <w:pPr>
        <w:spacing w:after="0" w:line="160" w:lineRule="exact"/>
        <w:rPr>
          <w:rFonts w:ascii="Arial" w:cs="Arial" w:eastAsia="Arial" w:hAnsi="Arial"/>
          <w:sz w:val="21"/>
          <w:szCs w:val="21"/>
          <w:color w:val="auto"/>
        </w:rPr>
      </w:pPr>
    </w:p>
    <w:p>
      <w:pPr>
        <w:ind w:left="1400" w:hanging="644"/>
        <w:spacing w:after="0"/>
        <w:tabs>
          <w:tab w:leader="none" w:pos="1400" w:val="left"/>
        </w:tabs>
        <w:numPr>
          <w:ilvl w:val="0"/>
          <w:numId w:val="24"/>
        </w:numPr>
        <w:rPr>
          <w:rFonts w:ascii="Arial" w:cs="Arial" w:eastAsia="Arial" w:hAnsi="Arial"/>
          <w:sz w:val="22"/>
          <w:szCs w:val="22"/>
          <w:color w:val="auto"/>
        </w:rPr>
      </w:pPr>
      <w:r>
        <w:rPr>
          <w:rFonts w:ascii="Arial" w:cs="Arial" w:eastAsia="Arial" w:hAnsi="Arial"/>
          <w:sz w:val="22"/>
          <w:szCs w:val="22"/>
          <w:b w:val="1"/>
          <w:bCs w:val="1"/>
          <w:color w:val="auto"/>
        </w:rPr>
        <w:t>Not Quoted</w:t>
      </w:r>
      <w:r>
        <w:rPr>
          <w:rFonts w:ascii="Arial" w:cs="Arial" w:eastAsia="Arial" w:hAnsi="Arial"/>
          <w:sz w:val="22"/>
          <w:szCs w:val="22"/>
          <w:color w:val="auto"/>
        </w:rPr>
        <w:t>. The Warrant Certificate will not be quoted on ASX or on any other securities exchange.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2" w:name="page23"/>
    <w:bookmarkEnd w:id="22"/>
    <w:p>
      <w:pPr>
        <w:ind w:right="20" w:firstLine="376"/>
        <w:spacing w:after="0" w:line="280" w:lineRule="auto"/>
        <w:tabs>
          <w:tab w:leader="none" w:pos="644" w:val="left"/>
        </w:tabs>
        <w:numPr>
          <w:ilvl w:val="0"/>
          <w:numId w:val="25"/>
        </w:numPr>
        <w:rPr>
          <w:rFonts w:ascii="Arial" w:cs="Arial" w:eastAsia="Arial" w:hAnsi="Arial"/>
          <w:sz w:val="21"/>
          <w:szCs w:val="21"/>
          <w:color w:val="auto"/>
        </w:rPr>
      </w:pPr>
      <w:r>
        <w:rPr>
          <w:rFonts w:ascii="Arial" w:cs="Arial" w:eastAsia="Arial" w:hAnsi="Arial"/>
          <w:sz w:val="21"/>
          <w:szCs w:val="21"/>
          <w:b w:val="1"/>
          <w:bCs w:val="1"/>
          <w:color w:val="auto"/>
        </w:rPr>
        <w:t>Equal Ranking</w:t>
      </w:r>
      <w:r>
        <w:rPr>
          <w:rFonts w:ascii="Arial" w:cs="Arial" w:eastAsia="Arial" w:hAnsi="Arial"/>
          <w:sz w:val="21"/>
          <w:szCs w:val="21"/>
          <w:color w:val="auto"/>
        </w:rPr>
        <w:t>. The Warrant Shares issued pursuant to an exercise of the Warrant Certificate will rank, from the</w:t>
      </w:r>
      <w:r>
        <w:rPr>
          <w:rFonts w:ascii="Arial" w:cs="Arial" w:eastAsia="Arial" w:hAnsi="Arial"/>
          <w:sz w:val="21"/>
          <w:szCs w:val="21"/>
          <w:b w:val="1"/>
          <w:bCs w:val="1"/>
          <w:color w:val="auto"/>
        </w:rPr>
        <w:t xml:space="preserve"> </w:t>
      </w:r>
      <w:r>
        <w:rPr>
          <w:rFonts w:ascii="Arial" w:cs="Arial" w:eastAsia="Arial" w:hAnsi="Arial"/>
          <w:sz w:val="21"/>
          <w:szCs w:val="21"/>
          <w:color w:val="auto"/>
        </w:rPr>
        <w:t>date of issue, equally with the existing Common Shares of the Company in all respects.</w:t>
      </w:r>
    </w:p>
    <w:p>
      <w:pPr>
        <w:spacing w:after="0" w:line="138" w:lineRule="exact"/>
        <w:rPr>
          <w:rFonts w:ascii="Arial" w:cs="Arial" w:eastAsia="Arial" w:hAnsi="Arial"/>
          <w:sz w:val="21"/>
          <w:szCs w:val="21"/>
          <w:color w:val="auto"/>
        </w:rPr>
      </w:pPr>
    </w:p>
    <w:p>
      <w:pPr>
        <w:ind w:firstLine="376"/>
        <w:spacing w:after="0" w:line="334" w:lineRule="auto"/>
        <w:tabs>
          <w:tab w:leader="none" w:pos="644" w:val="left"/>
        </w:tabs>
        <w:numPr>
          <w:ilvl w:val="0"/>
          <w:numId w:val="25"/>
        </w:numPr>
        <w:rPr>
          <w:rFonts w:ascii="Arial" w:cs="Arial" w:eastAsia="Arial" w:hAnsi="Arial"/>
          <w:sz w:val="19"/>
          <w:szCs w:val="19"/>
          <w:color w:val="auto"/>
        </w:rPr>
      </w:pPr>
      <w:r>
        <w:rPr>
          <w:rFonts w:ascii="Arial" w:cs="Arial" w:eastAsia="Arial" w:hAnsi="Arial"/>
          <w:sz w:val="19"/>
          <w:szCs w:val="19"/>
          <w:b w:val="1"/>
          <w:bCs w:val="1"/>
          <w:color w:val="auto"/>
        </w:rPr>
        <w:t xml:space="preserve">Changes. </w:t>
      </w:r>
      <w:r>
        <w:rPr>
          <w:rFonts w:ascii="Arial" w:cs="Arial" w:eastAsia="Arial" w:hAnsi="Arial"/>
          <w:sz w:val="19"/>
          <w:szCs w:val="19"/>
          <w:color w:val="auto"/>
        </w:rPr>
        <w:t>Other than as permitted by the ASX Listing Rules, this Warrant Certificate does not confer the right to a</w:t>
      </w:r>
      <w:r>
        <w:rPr>
          <w:rFonts w:ascii="Arial" w:cs="Arial" w:eastAsia="Arial" w:hAnsi="Arial"/>
          <w:sz w:val="19"/>
          <w:szCs w:val="19"/>
          <w:b w:val="1"/>
          <w:bCs w:val="1"/>
          <w:color w:val="auto"/>
        </w:rPr>
        <w:t xml:space="preserve"> </w:t>
      </w:r>
      <w:r>
        <w:rPr>
          <w:rFonts w:ascii="Arial" w:cs="Arial" w:eastAsia="Arial" w:hAnsi="Arial"/>
          <w:sz w:val="19"/>
          <w:szCs w:val="19"/>
          <w:color w:val="auto"/>
        </w:rPr>
        <w:t>change in the Exercise Price or a change in the underlying securities over which this Warrant Certificate can be exercised.</w:t>
      </w:r>
    </w:p>
    <w:p>
      <w:pPr>
        <w:spacing w:after="0" w:line="200" w:lineRule="exact"/>
        <w:rPr>
          <w:sz w:val="20"/>
          <w:szCs w:val="20"/>
          <w:color w:val="auto"/>
        </w:rPr>
      </w:pPr>
    </w:p>
    <w:p>
      <w:pPr>
        <w:spacing w:after="0" w:line="359"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[SIGNATURE PAGE FOLLOWS]</w:t>
      </w:r>
    </w:p>
    <w:p>
      <w:pPr>
        <w:spacing w:after="0" w:line="8"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328" w:right="339" w:bottom="1440" w:gutter="0" w:footer="0" w:header="0"/>
        </w:sectPr>
      </w:pPr>
    </w:p>
    <w:bookmarkStart w:id="23" w:name="page24"/>
    <w:bookmarkEnd w:id="23"/>
    <w:p>
      <w:pPr>
        <w:spacing w:after="0"/>
        <w:rPr>
          <w:sz w:val="20"/>
          <w:szCs w:val="20"/>
          <w:color w:val="auto"/>
        </w:rPr>
      </w:pPr>
      <w:r>
        <w:rPr>
          <w:rFonts w:ascii="Arial" w:cs="Arial" w:eastAsia="Arial" w:hAnsi="Arial"/>
          <w:sz w:val="19"/>
          <w:szCs w:val="19"/>
          <w:color w:val="auto"/>
        </w:rPr>
        <w:t>IN WITNESS WHEREOF, the Company has duly executed this Warrant Certificate on the Issue Date.</w:t>
      </w:r>
    </w:p>
    <w:p>
      <w:pPr>
        <w:spacing w:after="0" w:line="235"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AVITA MEDICAL, INC.</w:t>
      </w:r>
    </w:p>
    <w:p>
      <w:pPr>
        <w:spacing w:after="0" w:line="233"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22"/>
          <w:szCs w:val="22"/>
          <w:b w:val="1"/>
          <w:bCs w:val="1"/>
          <w:color w:val="auto"/>
        </w:rPr>
        <w:t>By:</w:t>
      </w:r>
      <w:r>
        <w:rPr>
          <w:sz w:val="20"/>
          <w:szCs w:val="20"/>
          <w:color w:val="auto"/>
        </w:rPr>
        <w:tab/>
      </w:r>
      <w:r>
        <w:rPr>
          <w:rFonts w:ascii="Arial" w:cs="Arial" w:eastAsia="Arial" w:hAnsi="Arial"/>
          <w:sz w:val="22"/>
          <w:szCs w:val="22"/>
          <w:color w:val="auto"/>
        </w:rPr>
        <w:t>/s/ James Corbett</w:t>
      </w:r>
    </w:p>
    <w:p>
      <w:pPr>
        <w:spacing w:after="0" w:line="27"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22"/>
          <w:szCs w:val="22"/>
          <w:b w:val="1"/>
          <w:bCs w:val="1"/>
          <w:color w:val="auto"/>
        </w:rPr>
        <w:t>Name:</w:t>
      </w:r>
      <w:r>
        <w:rPr>
          <w:sz w:val="20"/>
          <w:szCs w:val="20"/>
          <w:color w:val="auto"/>
        </w:rPr>
        <w:tab/>
      </w:r>
      <w:r>
        <w:rPr>
          <w:rFonts w:ascii="Arial" w:cs="Arial" w:eastAsia="Arial" w:hAnsi="Arial"/>
          <w:sz w:val="22"/>
          <w:szCs w:val="22"/>
          <w:color w:val="auto"/>
        </w:rPr>
        <w:t>James Corbett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3096895</wp:posOffset>
            </wp:positionH>
            <wp:positionV relativeFrom="paragraph">
              <wp:posOffset>-157480</wp:posOffset>
            </wp:positionV>
            <wp:extent cx="35572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ind w:left="3880"/>
        <w:spacing w:after="0"/>
        <w:tabs>
          <w:tab w:leader="none" w:pos="4880" w:val="left"/>
        </w:tabs>
        <w:rPr>
          <w:sz w:val="20"/>
          <w:szCs w:val="20"/>
          <w:color w:val="auto"/>
        </w:rPr>
      </w:pPr>
      <w:r>
        <w:rPr>
          <w:rFonts w:ascii="Arial" w:cs="Arial" w:eastAsia="Arial" w:hAnsi="Arial"/>
          <w:sz w:val="22"/>
          <w:szCs w:val="22"/>
          <w:b w:val="1"/>
          <w:bCs w:val="1"/>
          <w:color w:val="auto"/>
        </w:rPr>
        <w:t>Title</w:t>
      </w:r>
      <w:r>
        <w:rPr>
          <w:sz w:val="20"/>
          <w:szCs w:val="20"/>
          <w:color w:val="auto"/>
        </w:rPr>
        <w:tab/>
      </w: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[Signature Page to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62865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604" w:right="1440" w:bottom="1440" w:gutter="0" w:footer="0" w:header="0"/>
        </w:sectPr>
      </w:pPr>
    </w:p>
    <w:bookmarkStart w:id="24" w:name="page25"/>
    <w:bookmarkEnd w:id="24"/>
    <w:p>
      <w:pPr>
        <w:spacing w:after="0"/>
        <w:rPr>
          <w:sz w:val="20"/>
          <w:szCs w:val="20"/>
          <w:color w:val="auto"/>
        </w:rPr>
      </w:pPr>
      <w:r>
        <w:rPr>
          <w:rFonts w:ascii="Arial" w:cs="Arial" w:eastAsia="Arial" w:hAnsi="Arial"/>
          <w:sz w:val="22"/>
          <w:szCs w:val="22"/>
          <w:color w:val="auto"/>
        </w:rPr>
        <w:t>Accepted and agreed,</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ORBIMED ROYALTY &amp; CREDIT OPPORTUNITIES IV, LP</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22"/>
          <w:szCs w:val="22"/>
          <w:color w:val="auto"/>
        </w:rPr>
        <w:t>By: OrbiMed ROF IV LLC, its general partner</w:t>
      </w:r>
    </w:p>
    <w:p>
      <w:pPr>
        <w:spacing w:after="0" w:line="206" w:lineRule="exact"/>
        <w:rPr>
          <w:sz w:val="20"/>
          <w:szCs w:val="20"/>
          <w:color w:val="auto"/>
        </w:rPr>
      </w:pPr>
    </w:p>
    <w:p>
      <w:pPr>
        <w:ind w:left="740"/>
        <w:spacing w:after="0"/>
        <w:rPr>
          <w:sz w:val="20"/>
          <w:szCs w:val="20"/>
          <w:color w:val="auto"/>
        </w:rPr>
      </w:pPr>
      <w:r>
        <w:rPr>
          <w:rFonts w:ascii="Arial" w:cs="Arial" w:eastAsia="Arial" w:hAnsi="Arial"/>
          <w:sz w:val="22"/>
          <w:szCs w:val="22"/>
          <w:color w:val="auto"/>
        </w:rPr>
        <w:t>By: OrbiMed Advisors LLC, its managing member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By: __</w:t>
      </w:r>
      <w:r>
        <w:rPr>
          <w:rFonts w:ascii="Arial" w:cs="Arial" w:eastAsia="Arial" w:hAnsi="Arial"/>
          <w:sz w:val="22"/>
          <w:szCs w:val="22"/>
          <w:u w:val="single" w:color="auto"/>
          <w:color w:val="auto"/>
        </w:rPr>
        <w:t>/s/ Matthew Rizzo</w:t>
      </w:r>
      <w:r>
        <w:rPr>
          <w:rFonts w:ascii="Arial" w:cs="Arial" w:eastAsia="Arial" w:hAnsi="Arial"/>
          <w:sz w:val="22"/>
          <w:szCs w:val="22"/>
          <w:color w:val="auto"/>
        </w:rPr>
        <w:t>________________________</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Name: Matthew Rizzo</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285" w:lineRule="exact"/>
        <w:rPr>
          <w:sz w:val="20"/>
          <w:szCs w:val="20"/>
          <w:color w:val="auto"/>
        </w:rPr>
      </w:pPr>
    </w:p>
    <w:p>
      <w:pPr>
        <w:jc w:val="right"/>
        <w:ind w:right="2819"/>
        <w:spacing w:after="0"/>
        <w:rPr>
          <w:sz w:val="20"/>
          <w:szCs w:val="20"/>
          <w:color w:val="auto"/>
        </w:rPr>
      </w:pPr>
      <w:r>
        <w:rPr>
          <w:rFonts w:ascii="Arial" w:cs="Arial" w:eastAsia="Arial" w:hAnsi="Arial"/>
          <w:sz w:val="22"/>
          <w:szCs w:val="22"/>
          <w:color w:val="auto"/>
        </w:rPr>
        <w:t>[Signature Page to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25" w:name="page26"/>
    <w:bookmarkEnd w:id="25"/>
    <w:p>
      <w:pPr>
        <w:jc w:val="right"/>
        <w:spacing w:after="0"/>
        <w:rPr>
          <w:sz w:val="20"/>
          <w:szCs w:val="20"/>
          <w:color w:val="auto"/>
        </w:rPr>
      </w:pPr>
      <w:r>
        <w:rPr>
          <w:rFonts w:ascii="Arial" w:cs="Arial" w:eastAsia="Arial" w:hAnsi="Arial"/>
          <w:sz w:val="22"/>
          <w:szCs w:val="22"/>
          <w:b w:val="1"/>
          <w:bCs w:val="1"/>
          <w:color w:val="auto"/>
        </w:rPr>
        <w:t>Exhibit A</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to Warrant Certificate</w:t>
      </w:r>
    </w:p>
    <w:p>
      <w:pPr>
        <w:jc w:val="center"/>
        <w:spacing w:after="0"/>
        <w:rPr>
          <w:sz w:val="20"/>
          <w:szCs w:val="20"/>
          <w:color w:val="auto"/>
        </w:rPr>
      </w:pPr>
      <w:r>
        <w:rPr>
          <w:rFonts w:ascii="Arial" w:cs="Arial" w:eastAsia="Arial" w:hAnsi="Arial"/>
          <w:sz w:val="22"/>
          <w:szCs w:val="22"/>
          <w:b w:val="1"/>
          <w:bCs w:val="1"/>
          <w:color w:val="auto"/>
        </w:rPr>
        <w:t>FORM OF EXERCISE CERTIFICATE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be signed only upon exercise of Warrant Certificate)</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2"/>
          <w:szCs w:val="22"/>
          <w:color w:val="auto"/>
        </w:rPr>
        <w:t>AVITA Medical, Inc.</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[Address]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Attention: [●]</w:t>
      </w:r>
    </w:p>
    <w:p>
      <w:pPr>
        <w:spacing w:after="0" w:line="200" w:lineRule="exact"/>
        <w:rPr>
          <w:sz w:val="20"/>
          <w:szCs w:val="20"/>
          <w:color w:val="auto"/>
        </w:rPr>
      </w:pPr>
    </w:p>
    <w:p>
      <w:pPr>
        <w:spacing w:after="0" w:line="27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The undersigned, as holder of a right to purchase Warrant Shares (as defined in the Warrant Certificate) of AVITA Medical,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pursuant to that certain Warrant Certificate of the Company, dated as of [●] (the “</w:t>
      </w:r>
      <w:r>
        <w:rPr>
          <w:rFonts w:ascii="Arial" w:cs="Arial" w:eastAsia="Arial" w:hAnsi="Arial"/>
          <w:sz w:val="19"/>
          <w:szCs w:val="19"/>
          <w:b w:val="1"/>
          <w:bCs w:val="1"/>
          <w:i w:val="1"/>
          <w:iCs w:val="1"/>
          <w:color w:val="auto"/>
        </w:rPr>
        <w:t>Warrant Certificate</w:t>
      </w:r>
      <w:r>
        <w:rPr>
          <w:rFonts w:ascii="Arial" w:cs="Arial" w:eastAsia="Arial" w:hAnsi="Arial"/>
          <w:sz w:val="19"/>
          <w:szCs w:val="19"/>
          <w:color w:val="auto"/>
        </w:rPr>
        <w:t>”), a copy of which is attached to this Exercise Certificate, hereby irrevocably elects to exercise the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purchase right represented by such Warrant Certificate for, and to purchase thereunder, [ ( )] Warrant Shares of the Company and herewith makes payment with this Exercise Certificate of the Aggregate Exercise Price therefor by the following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4885690</wp:posOffset>
            </wp:positionH>
            <wp:positionV relativeFrom="paragraph">
              <wp:posOffset>-338455</wp:posOffset>
            </wp:positionV>
            <wp:extent cx="911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11225" cy="825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740" w:type="dxa"/>
            <w:vAlign w:val="bottom"/>
            <w:gridSpan w:val="2"/>
          </w:tcPr>
          <w:p>
            <w:pPr>
              <w:ind w:left="760"/>
              <w:spacing w:after="0"/>
              <w:rPr>
                <w:sz w:val="20"/>
                <w:szCs w:val="20"/>
                <w:color w:val="auto"/>
              </w:rPr>
            </w:pPr>
            <w:r>
              <w:rPr>
                <w:rFonts w:ascii="Arial" w:cs="Arial" w:eastAsia="Arial" w:hAnsi="Arial"/>
                <w:sz w:val="22"/>
                <w:szCs w:val="22"/>
                <w:color w:val="auto"/>
                <w:w w:val="96"/>
              </w:rPr>
              <w:t>The undersigned hereby elects to make payment of the Aggregate Exercise Price of [</w:t>
            </w:r>
          </w:p>
        </w:tc>
        <w:tc>
          <w:tcPr>
            <w:tcW w:w="1320" w:type="dxa"/>
            <w:vAlign w:val="bottom"/>
            <w:gridSpan w:val="2"/>
          </w:tcPr>
          <w:p>
            <w:pPr>
              <w:spacing w:after="0"/>
              <w:rPr>
                <w:sz w:val="20"/>
                <w:szCs w:val="20"/>
                <w:color w:val="auto"/>
              </w:rPr>
            </w:pPr>
            <w:r>
              <w:rPr>
                <w:rFonts w:ascii="Arial" w:cs="Arial" w:eastAsia="Arial" w:hAnsi="Arial"/>
                <w:sz w:val="22"/>
                <w:szCs w:val="22"/>
                <w:color w:val="auto"/>
              </w:rPr>
              <w:t>Dollars ($</w:t>
            </w:r>
          </w:p>
        </w:tc>
        <w:tc>
          <w:tcPr>
            <w:tcW w:w="620" w:type="dxa"/>
            <w:vAlign w:val="bottom"/>
            <w:gridSpan w:val="2"/>
          </w:tcPr>
          <w:p>
            <w:pPr>
              <w:spacing w:after="0"/>
              <w:rPr>
                <w:sz w:val="20"/>
                <w:szCs w:val="20"/>
                <w:color w:val="auto"/>
              </w:rPr>
            </w:pPr>
            <w:r>
              <w:rPr>
                <w:rFonts w:ascii="Arial" w:cs="Arial" w:eastAsia="Arial" w:hAnsi="Arial"/>
                <w:sz w:val="22"/>
                <w:szCs w:val="22"/>
                <w:color w:val="auto"/>
              </w:rPr>
              <w:t>)] for (</w:t>
            </w:r>
          </w:p>
        </w:tc>
      </w:tr>
      <w:tr>
        <w:trPr>
          <w:trHeight w:val="273"/>
        </w:trPr>
        <w:tc>
          <w:tcPr>
            <w:tcW w:w="8280" w:type="dxa"/>
            <w:vAlign w:val="bottom"/>
          </w:tcPr>
          <w:p>
            <w:pPr>
              <w:spacing w:after="0"/>
              <w:rPr>
                <w:sz w:val="20"/>
                <w:szCs w:val="20"/>
                <w:color w:val="auto"/>
              </w:rPr>
            </w:pPr>
            <w:r>
              <w:rPr>
                <w:rFonts w:ascii="Arial" w:cs="Arial" w:eastAsia="Arial" w:hAnsi="Arial"/>
                <w:sz w:val="22"/>
                <w:szCs w:val="22"/>
                <w:color w:val="auto"/>
              </w:rPr>
              <w:t xml:space="preserve">) Common Shares using the method described in </w:t>
            </w:r>
            <w:r>
              <w:rPr>
                <w:rFonts w:ascii="Arial" w:cs="Arial" w:eastAsia="Arial" w:hAnsi="Arial"/>
                <w:sz w:val="22"/>
                <w:szCs w:val="22"/>
                <w:b w:val="1"/>
                <w:bCs w:val="1"/>
                <w:color w:val="auto"/>
              </w:rPr>
              <w:t>Section 3(b)(i)</w:t>
            </w:r>
            <w:r>
              <w:rPr>
                <w:rFonts w:ascii="Arial" w:cs="Arial" w:eastAsia="Arial" w:hAnsi="Arial"/>
                <w:sz w:val="22"/>
                <w:szCs w:val="22"/>
                <w:color w:val="auto"/>
              </w:rPr>
              <w:t>.</w:t>
            </w:r>
          </w:p>
        </w:tc>
        <w:tc>
          <w:tcPr>
            <w:tcW w:w="460" w:type="dxa"/>
            <w:vAlign w:val="bottom"/>
            <w:tcBorders>
              <w:top w:val="single" w:sz="8" w:color="auto"/>
            </w:tcBorders>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08"/>
        </w:trPr>
        <w:tc>
          <w:tcPr>
            <w:tcW w:w="8740" w:type="dxa"/>
            <w:vAlign w:val="bottom"/>
            <w:gridSpan w:val="2"/>
          </w:tcPr>
          <w:p>
            <w:pPr>
              <w:ind w:left="760"/>
              <w:spacing w:after="0"/>
              <w:rPr>
                <w:sz w:val="20"/>
                <w:szCs w:val="20"/>
                <w:color w:val="auto"/>
              </w:rPr>
            </w:pPr>
            <w:r>
              <w:rPr>
                <w:rFonts w:ascii="Arial" w:cs="Arial" w:eastAsia="Arial" w:hAnsi="Arial"/>
                <w:sz w:val="22"/>
                <w:szCs w:val="22"/>
                <w:color w:val="auto"/>
                <w:w w:val="96"/>
              </w:rPr>
              <w:t>The undersigned hereby elects to make payment of the Aggregate Exercise Price of [</w:t>
            </w:r>
          </w:p>
        </w:tc>
        <w:tc>
          <w:tcPr>
            <w:tcW w:w="1320" w:type="dxa"/>
            <w:vAlign w:val="bottom"/>
            <w:gridSpan w:val="2"/>
          </w:tcPr>
          <w:p>
            <w:pPr>
              <w:spacing w:after="0"/>
              <w:rPr>
                <w:sz w:val="20"/>
                <w:szCs w:val="20"/>
                <w:color w:val="auto"/>
              </w:rPr>
            </w:pPr>
            <w:r>
              <w:rPr>
                <w:rFonts w:ascii="Arial" w:cs="Arial" w:eastAsia="Arial" w:hAnsi="Arial"/>
                <w:sz w:val="22"/>
                <w:szCs w:val="22"/>
                <w:color w:val="auto"/>
              </w:rPr>
              <w:t>Dollars ($</w:t>
            </w:r>
          </w:p>
        </w:tc>
        <w:tc>
          <w:tcPr>
            <w:tcW w:w="620" w:type="dxa"/>
            <w:vAlign w:val="bottom"/>
            <w:gridSpan w:val="2"/>
          </w:tcPr>
          <w:p>
            <w:pPr>
              <w:spacing w:after="0"/>
              <w:rPr>
                <w:sz w:val="20"/>
                <w:szCs w:val="20"/>
                <w:color w:val="auto"/>
              </w:rPr>
            </w:pPr>
            <w:r>
              <w:rPr>
                <w:rFonts w:ascii="Arial" w:cs="Arial" w:eastAsia="Arial" w:hAnsi="Arial"/>
                <w:sz w:val="22"/>
                <w:szCs w:val="22"/>
                <w:color w:val="auto"/>
              </w:rPr>
              <w:t>)] for (</w:t>
            </w:r>
          </w:p>
        </w:tc>
      </w:tr>
      <w:tr>
        <w:trPr>
          <w:trHeight w:val="274"/>
        </w:trPr>
        <w:tc>
          <w:tcPr>
            <w:tcW w:w="8280" w:type="dxa"/>
            <w:vAlign w:val="bottom"/>
          </w:tcPr>
          <w:p>
            <w:pPr>
              <w:spacing w:after="0"/>
              <w:rPr>
                <w:sz w:val="20"/>
                <w:szCs w:val="20"/>
                <w:color w:val="auto"/>
              </w:rPr>
            </w:pPr>
            <w:r>
              <w:rPr>
                <w:rFonts w:ascii="Arial" w:cs="Arial" w:eastAsia="Arial" w:hAnsi="Arial"/>
                <w:sz w:val="22"/>
                <w:szCs w:val="22"/>
                <w:color w:val="auto"/>
              </w:rPr>
              <w:t xml:space="preserve">) Common Shares using the method described in </w:t>
            </w:r>
            <w:r>
              <w:rPr>
                <w:rFonts w:ascii="Arial" w:cs="Arial" w:eastAsia="Arial" w:hAnsi="Arial"/>
                <w:sz w:val="22"/>
                <w:szCs w:val="22"/>
                <w:b w:val="1"/>
                <w:bCs w:val="1"/>
                <w:color w:val="auto"/>
              </w:rPr>
              <w:t>Section 3(b)(ii)</w:t>
            </w:r>
            <w:r>
              <w:rPr>
                <w:rFonts w:ascii="Arial" w:cs="Arial" w:eastAsia="Arial" w:hAnsi="Arial"/>
                <w:sz w:val="22"/>
                <w:szCs w:val="22"/>
                <w:color w:val="auto"/>
              </w:rPr>
              <w:t>.</w:t>
            </w:r>
          </w:p>
        </w:tc>
        <w:tc>
          <w:tcPr>
            <w:tcW w:w="460" w:type="dxa"/>
            <w:vAlign w:val="bottom"/>
            <w:tcBorders>
              <w:top w:val="single" w:sz="8" w:color="auto"/>
            </w:tcBorders>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08"/>
        </w:trPr>
        <w:tc>
          <w:tcPr>
            <w:tcW w:w="8740" w:type="dxa"/>
            <w:vAlign w:val="bottom"/>
            <w:gridSpan w:val="2"/>
          </w:tcPr>
          <w:p>
            <w:pPr>
              <w:ind w:left="760"/>
              <w:spacing w:after="0"/>
              <w:rPr>
                <w:sz w:val="20"/>
                <w:szCs w:val="20"/>
                <w:color w:val="auto"/>
              </w:rPr>
            </w:pPr>
            <w:r>
              <w:rPr>
                <w:rFonts w:ascii="Arial" w:cs="Arial" w:eastAsia="Arial" w:hAnsi="Arial"/>
                <w:sz w:val="22"/>
                <w:szCs w:val="22"/>
                <w:color w:val="auto"/>
                <w:w w:val="96"/>
              </w:rPr>
              <w:t>The undersigned hereby elects to make payment of the Aggregate Exercise Price of [</w:t>
            </w:r>
          </w:p>
        </w:tc>
        <w:tc>
          <w:tcPr>
            <w:tcW w:w="1320" w:type="dxa"/>
            <w:vAlign w:val="bottom"/>
            <w:gridSpan w:val="2"/>
          </w:tcPr>
          <w:p>
            <w:pPr>
              <w:spacing w:after="0"/>
              <w:rPr>
                <w:sz w:val="20"/>
                <w:szCs w:val="20"/>
                <w:color w:val="auto"/>
              </w:rPr>
            </w:pPr>
            <w:r>
              <w:rPr>
                <w:rFonts w:ascii="Arial" w:cs="Arial" w:eastAsia="Arial" w:hAnsi="Arial"/>
                <w:sz w:val="22"/>
                <w:szCs w:val="22"/>
                <w:color w:val="auto"/>
              </w:rPr>
              <w:t>Dollars ($</w:t>
            </w:r>
          </w:p>
        </w:tc>
        <w:tc>
          <w:tcPr>
            <w:tcW w:w="620" w:type="dxa"/>
            <w:vAlign w:val="bottom"/>
            <w:gridSpan w:val="2"/>
          </w:tcPr>
          <w:p>
            <w:pPr>
              <w:spacing w:after="0"/>
              <w:rPr>
                <w:sz w:val="20"/>
                <w:szCs w:val="20"/>
                <w:color w:val="auto"/>
              </w:rPr>
            </w:pPr>
            <w:r>
              <w:rPr>
                <w:rFonts w:ascii="Arial" w:cs="Arial" w:eastAsia="Arial" w:hAnsi="Arial"/>
                <w:sz w:val="22"/>
                <w:szCs w:val="22"/>
                <w:color w:val="auto"/>
              </w:rPr>
              <w:t>)] for (</w:t>
            </w:r>
          </w:p>
        </w:tc>
      </w:tr>
      <w:tr>
        <w:trPr>
          <w:trHeight w:val="273"/>
        </w:trPr>
        <w:tc>
          <w:tcPr>
            <w:tcW w:w="8280" w:type="dxa"/>
            <w:vAlign w:val="bottom"/>
          </w:tcPr>
          <w:p>
            <w:pPr>
              <w:spacing w:after="0"/>
              <w:rPr>
                <w:sz w:val="20"/>
                <w:szCs w:val="20"/>
                <w:color w:val="auto"/>
              </w:rPr>
            </w:pPr>
            <w:r>
              <w:rPr>
                <w:rFonts w:ascii="Arial" w:cs="Arial" w:eastAsia="Arial" w:hAnsi="Arial"/>
                <w:sz w:val="22"/>
                <w:szCs w:val="22"/>
                <w:color w:val="auto"/>
              </w:rPr>
              <w:t xml:space="preserve">) Common Shares using the method described in </w:t>
            </w:r>
            <w:r>
              <w:rPr>
                <w:rFonts w:ascii="Arial" w:cs="Arial" w:eastAsia="Arial" w:hAnsi="Arial"/>
                <w:sz w:val="22"/>
                <w:szCs w:val="22"/>
                <w:b w:val="1"/>
                <w:bCs w:val="1"/>
                <w:color w:val="auto"/>
              </w:rPr>
              <w:t>Section 3(b)(iii)</w:t>
            </w:r>
            <w:r>
              <w:rPr>
                <w:rFonts w:ascii="Arial" w:cs="Arial" w:eastAsia="Arial" w:hAnsi="Arial"/>
                <w:sz w:val="22"/>
                <w:szCs w:val="22"/>
                <w:color w:val="auto"/>
              </w:rPr>
              <w:t>.</w:t>
            </w:r>
          </w:p>
        </w:tc>
        <w:tc>
          <w:tcPr>
            <w:tcW w:w="460" w:type="dxa"/>
            <w:vAlign w:val="bottom"/>
            <w:tcBorders>
              <w:top w:val="single" w:sz="8" w:color="auto"/>
            </w:tcBorders>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r>
    </w:tbl>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Unless otherwise defined herein, capitalized terms have the meanings provided in the Warrant Certificate.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DATED:__________</w:t>
      </w:r>
    </w:p>
    <w:p>
      <w:pPr>
        <w:spacing w:after="0" w:line="233"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[HOLDER]</w:t>
      </w:r>
    </w:p>
    <w:p>
      <w:pPr>
        <w:spacing w:after="0" w:line="233"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-17780</wp:posOffset>
            </wp:positionV>
            <wp:extent cx="1211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ind w:left="4500"/>
        <w:spacing w:after="0" w:line="238" w:lineRule="auto"/>
        <w:rPr>
          <w:sz w:val="20"/>
          <w:szCs w:val="20"/>
          <w:color w:val="auto"/>
        </w:rPr>
      </w:pPr>
      <w:r>
        <w:rPr>
          <w:rFonts w:ascii="Arial" w:cs="Arial" w:eastAsia="Arial" w:hAnsi="Arial"/>
          <w:sz w:val="22"/>
          <w:szCs w:val="22"/>
          <w:color w:val="auto"/>
        </w:rPr>
        <w:t>Name:</w:t>
      </w:r>
    </w:p>
    <w:p>
      <w:pPr>
        <w:ind w:left="45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22"/>
          <w:szCs w:val="22"/>
          <w:b w:val="1"/>
          <w:bCs w:val="1"/>
          <w:color w:val="auto"/>
        </w:rPr>
        <w:t>Exhibit B</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to Warrant Certificate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ASSIGNMENT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 OF ASSIGNMENT]</w:t>
      </w:r>
    </w:p>
    <w:p>
      <w:pPr>
        <w:spacing w:after="0" w:line="233"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color w:val="auto"/>
        </w:rPr>
        <w:t>THE UNDERSIGNED, [NAME OF HOLDER], is the holder (in such capacity,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of a warrant certificate issued by AVITA Medical, Inc., a Delaware corporation (the “</w:t>
      </w:r>
      <w:r>
        <w:rPr>
          <w:rFonts w:ascii="Arial" w:cs="Arial" w:eastAsia="Arial" w:hAnsi="Arial"/>
          <w:sz w:val="19"/>
          <w:szCs w:val="19"/>
          <w:b w:val="1"/>
          <w:bCs w:val="1"/>
          <w:i w:val="1"/>
          <w:iCs w:val="1"/>
          <w:color w:val="auto"/>
        </w:rPr>
        <w:t>Warrant Certificate</w:t>
      </w:r>
      <w:r>
        <w:rPr>
          <w:rFonts w:ascii="Arial" w:cs="Arial" w:eastAsia="Arial" w:hAnsi="Arial"/>
          <w:sz w:val="19"/>
          <w:szCs w:val="19"/>
          <w:color w:val="auto"/>
        </w:rPr>
        <w:t>” and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respectively), entitling</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Holder to purchase up to [ ] Warrant Shares (as defined in the Warrant Certificate). Unless otherwise defined, capitalized terms used herein have the meanings ascribed thereto in the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-184785</wp:posOffset>
            </wp:positionV>
            <wp:extent cx="3086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FOR VALUE RECEIVED, the Holder hereby sells, assigns and transfers to [NAME OF ASSIGNEE] (the “</w:t>
      </w:r>
      <w:r>
        <w:rPr>
          <w:rFonts w:ascii="Arial" w:cs="Arial" w:eastAsia="Arial" w:hAnsi="Arial"/>
          <w:sz w:val="19"/>
          <w:szCs w:val="19"/>
          <w:b w:val="1"/>
          <w:bCs w:val="1"/>
          <w:i w:val="1"/>
          <w:iCs w:val="1"/>
          <w:color w:val="auto"/>
        </w:rPr>
        <w:t>Assignee</w:t>
      </w:r>
      <w:r>
        <w:rPr>
          <w:rFonts w:ascii="Arial" w:cs="Arial" w:eastAsia="Arial" w:hAnsi="Arial"/>
          <w:sz w:val="19"/>
          <w:szCs w:val="19"/>
          <w:color w:val="auto"/>
        </w:rPr>
        <w:t>”)</w:t>
      </w:r>
    </w:p>
    <w:p>
      <w:pPr>
        <w:spacing w:after="0" w:line="43"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 xml:space="preserve">the right to acquire [all Warrant Shares entitled to be purchased upon exercise of the Warrant Certificate] [ of the Warrant Shares entitled to be purchased upon exercise of the Warrant Certificate]. In furtherance of the foregoing assignment, the Holder hereby irrevocably instructs the Company to (i) memorialize such assignment on the Warrant Register as required pursuant to </w:t>
      </w:r>
      <w:r>
        <w:rPr>
          <w:rFonts w:ascii="Arial" w:cs="Arial" w:eastAsia="Arial" w:hAnsi="Arial"/>
          <w:sz w:val="22"/>
          <w:szCs w:val="22"/>
          <w:b w:val="1"/>
          <w:bCs w:val="1"/>
          <w:color w:val="auto"/>
        </w:rPr>
        <w:t>Section 5</w:t>
      </w:r>
      <w:r>
        <w:rPr>
          <w:rFonts w:ascii="Arial" w:cs="Arial" w:eastAsia="Arial" w:hAnsi="Arial"/>
          <w:sz w:val="22"/>
          <w:szCs w:val="22"/>
          <w:color w:val="auto"/>
        </w:rPr>
        <w:t xml:space="preserve"> of the Warrant Certificate, and (ii) pursuant to </w:t>
      </w:r>
      <w:r>
        <w:rPr>
          <w:rFonts w:ascii="Arial" w:cs="Arial" w:eastAsia="Arial" w:hAnsi="Arial"/>
          <w:sz w:val="22"/>
          <w:szCs w:val="22"/>
          <w:b w:val="1"/>
          <w:bCs w:val="1"/>
          <w:color w:val="auto"/>
        </w:rPr>
        <w:t>Section 7</w:t>
      </w:r>
      <w:r>
        <w:rPr>
          <w:rFonts w:ascii="Arial" w:cs="Arial" w:eastAsia="Arial" w:hAnsi="Arial"/>
          <w:sz w:val="22"/>
          <w:szCs w:val="22"/>
          <w:color w:val="auto"/>
        </w:rPr>
        <w:t xml:space="preserve"> of the Warrant Certificate, execute and deliver to the Assignee [and the Holder][a new Warrant Certificate][new Warrant Certificates] reflecting the foregoing assignment ([each] a “</w:t>
      </w:r>
      <w:r>
        <w:rPr>
          <w:rFonts w:ascii="Arial" w:cs="Arial" w:eastAsia="Arial" w:hAnsi="Arial"/>
          <w:sz w:val="22"/>
          <w:szCs w:val="22"/>
          <w:b w:val="1"/>
          <w:bCs w:val="1"/>
          <w:i w:val="1"/>
          <w:iCs w:val="1"/>
          <w:color w:val="auto"/>
        </w:rPr>
        <w:t>Substitute Warrant Certificate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6000115</wp:posOffset>
            </wp:positionH>
            <wp:positionV relativeFrom="paragraph">
              <wp:posOffset>-800100</wp:posOffset>
            </wp:positionV>
            <wp:extent cx="7632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169"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The Assignee acknowledges and agrees that its Substitute Warrant Certificate and the Warrant Shares to be issued upon exercise thereof are being acquired for investment and that the Assignee will not offer, sell or otherwise dispose of its Substitute Warrant Certificate or any Warrant Shares to be issued upon exercise or conversion thereof except under circumstances which will not result in a violation of the Securities Act or any applicable state securities laws or any applicable securities laws of any country and provided further that, to the extent the Corporations Act 2001 (Cth) has application to the relevant sale, assignment, transfer, grant or issue, the Assignee may not sell, assign or transfer the Substitute Warrant Certificate, or grant, issue or transfer interests in, or options over, the Substitute Warrant Certificate at any time within 12 months after the Issue Date except as permitted by section 708 of the Corporations Act 2001 (Cth). The Assignee represents and warrants for the benefit of the Company that the Assignee is an “accredited investor” within the meaning of Rule 501 of Regulation D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7" w:name="page28"/>
    <w:bookmarkEnd w:id="27"/>
    <w:p>
      <w:pPr>
        <w:ind w:left="760"/>
        <w:spacing w:after="0"/>
        <w:rPr>
          <w:sz w:val="20"/>
          <w:szCs w:val="20"/>
          <w:color w:val="auto"/>
        </w:rPr>
      </w:pPr>
      <w:r>
        <w:rPr>
          <w:rFonts w:ascii="Arial" w:cs="Arial" w:eastAsia="Arial" w:hAnsi="Arial"/>
          <w:sz w:val="19"/>
          <w:szCs w:val="19"/>
          <w:color w:val="auto"/>
        </w:rPr>
        <w:t>IN WITNESS WHEREOF, the parties hereto agree as set forth above as of the date first written above.</w:t>
      </w:r>
    </w:p>
    <w:p>
      <w:pPr>
        <w:spacing w:after="0" w:line="268"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[HOLDER]</w:t>
      </w:r>
    </w:p>
    <w:p>
      <w:pPr>
        <w:spacing w:after="0" w:line="200" w:lineRule="exact"/>
        <w:rPr>
          <w:sz w:val="20"/>
          <w:szCs w:val="20"/>
          <w:color w:val="auto"/>
        </w:rPr>
      </w:pPr>
    </w:p>
    <w:p>
      <w:pPr>
        <w:spacing w:after="0" w:line="276"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-17780</wp:posOffset>
            </wp:positionV>
            <wp:extent cx="9372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7260" cy="8255"/>
                    </a:xfrm>
                    <a:prstGeom prst="rect">
                      <a:avLst/>
                    </a:prstGeom>
                    <a:noFill/>
                  </pic:spPr>
                </pic:pic>
              </a:graphicData>
            </a:graphic>
          </wp:anchor>
        </w:drawing>
      </w:r>
    </w:p>
    <w:p>
      <w:pPr>
        <w:ind w:left="5340"/>
        <w:spacing w:after="0" w:line="238" w:lineRule="auto"/>
        <w:rPr>
          <w:sz w:val="20"/>
          <w:szCs w:val="20"/>
          <w:color w:val="auto"/>
        </w:rPr>
      </w:pPr>
      <w:r>
        <w:rPr>
          <w:rFonts w:ascii="Arial" w:cs="Arial" w:eastAsia="Arial" w:hAnsi="Arial"/>
          <w:sz w:val="22"/>
          <w:szCs w:val="22"/>
          <w:color w:val="auto"/>
        </w:rPr>
        <w:t>Name:</w:t>
      </w:r>
    </w:p>
    <w:p>
      <w:pPr>
        <w:ind w:left="534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OF ASSIGNEE]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-17780</wp:posOffset>
            </wp:positionV>
            <wp:extent cx="9372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7260"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Title:</w:t>
      </w:r>
    </w:p>
    <w:p>
      <w:pPr>
        <w:spacing w:after="0" w:line="18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04"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268730" cy="10883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268730" cy="10883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October 18, 2023</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AVITA M</w:t>
      </w:r>
      <w:r>
        <w:rPr>
          <w:rFonts w:ascii="Arial" w:cs="Arial" w:eastAsia="Arial" w:hAnsi="Arial"/>
          <w:sz w:val="13"/>
          <w:szCs w:val="13"/>
          <w:color w:val="auto"/>
        </w:rPr>
        <w:t>edical</w:t>
      </w:r>
      <w:r>
        <w:rPr>
          <w:rFonts w:ascii="Arial" w:cs="Arial" w:eastAsia="Arial" w:hAnsi="Arial"/>
          <w:sz w:val="20"/>
          <w:szCs w:val="20"/>
          <w:color w:val="auto"/>
        </w:rPr>
        <w:t>, I</w:t>
      </w:r>
      <w:r>
        <w:rPr>
          <w:rFonts w:ascii="Arial" w:cs="Arial" w:eastAsia="Arial" w:hAnsi="Arial"/>
          <w:sz w:val="13"/>
          <w:szCs w:val="13"/>
          <w:color w:val="auto"/>
        </w:rPr>
        <w:t>nc</w:t>
      </w:r>
      <w:r>
        <w:rPr>
          <w:rFonts w:ascii="Arial" w:cs="Arial" w:eastAsia="Arial" w:hAnsi="Arial"/>
          <w:sz w:val="20"/>
          <w:szCs w:val="20"/>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28159 Avenue Stanford, Suite 220</w:t>
      </w:r>
    </w:p>
    <w:p>
      <w:pPr>
        <w:spacing w:after="0"/>
        <w:rPr>
          <w:sz w:val="20"/>
          <w:szCs w:val="20"/>
          <w:color w:val="auto"/>
        </w:rPr>
      </w:pPr>
      <w:r>
        <w:rPr>
          <w:rFonts w:ascii="Arial" w:cs="Arial" w:eastAsia="Arial" w:hAnsi="Arial"/>
          <w:sz w:val="20"/>
          <w:szCs w:val="20"/>
          <w:color w:val="auto"/>
        </w:rPr>
        <w:t>Valencia, CA 91355</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color w:val="auto"/>
        </w:rPr>
        <w:t>We have acted as counsel to AVITA Medical,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in connection with the issuance and sale by the Company today of a warrant (the “</w:t>
      </w:r>
      <w:r>
        <w:rPr>
          <w:rFonts w:ascii="Arial" w:cs="Arial" w:eastAsia="Arial" w:hAnsi="Arial"/>
          <w:sz w:val="20"/>
          <w:szCs w:val="20"/>
          <w:u w:val="single" w:color="auto"/>
          <w:color w:val="auto"/>
        </w:rPr>
        <w:t>Warrant</w:t>
      </w:r>
      <w:r>
        <w:rPr>
          <w:rFonts w:ascii="Arial" w:cs="Arial" w:eastAsia="Arial" w:hAnsi="Arial"/>
          <w:sz w:val="20"/>
          <w:szCs w:val="20"/>
          <w:color w:val="auto"/>
        </w:rPr>
        <w:t>”) to purchase an aggregate of 409,661 shares of common stock, par value $0.0001 per share (“</w:t>
      </w:r>
      <w:r>
        <w:rPr>
          <w:rFonts w:ascii="Arial" w:cs="Arial" w:eastAsia="Arial" w:hAnsi="Arial"/>
          <w:sz w:val="20"/>
          <w:szCs w:val="20"/>
          <w:u w:val="single" w:color="auto"/>
          <w:color w:val="auto"/>
        </w:rPr>
        <w:t>Common Stock</w:t>
      </w:r>
      <w:r>
        <w:rPr>
          <w:rFonts w:ascii="Arial" w:cs="Arial" w:eastAsia="Arial" w:hAnsi="Arial"/>
          <w:sz w:val="20"/>
          <w:szCs w:val="20"/>
          <w:color w:val="auto"/>
        </w:rPr>
        <w:t>”), with an exercise price of $10.9847 per share (the “</w:t>
      </w:r>
      <w:r>
        <w:rPr>
          <w:rFonts w:ascii="Arial" w:cs="Arial" w:eastAsia="Arial" w:hAnsi="Arial"/>
          <w:sz w:val="20"/>
          <w:szCs w:val="20"/>
          <w:u w:val="single" w:color="auto"/>
          <w:color w:val="auto"/>
        </w:rPr>
        <w:t>Warrant Shares</w:t>
      </w:r>
      <w:r>
        <w:rPr>
          <w:rFonts w:ascii="Arial" w:cs="Arial" w:eastAsia="Arial" w:hAnsi="Arial"/>
          <w:sz w:val="20"/>
          <w:szCs w:val="20"/>
          <w:color w:val="auto"/>
        </w:rPr>
        <w:t>”, and together with the Warrant, the “</w:t>
      </w:r>
      <w:r>
        <w:rPr>
          <w:rFonts w:ascii="Arial" w:cs="Arial" w:eastAsia="Arial" w:hAnsi="Arial"/>
          <w:sz w:val="20"/>
          <w:szCs w:val="20"/>
          <w:u w:val="single" w:color="auto"/>
          <w:color w:val="auto"/>
        </w:rPr>
        <w:t>Securities</w:t>
      </w:r>
      <w:r>
        <w:rPr>
          <w:rFonts w:ascii="Arial" w:cs="Arial" w:eastAsia="Arial" w:hAnsi="Arial"/>
          <w:sz w:val="20"/>
          <w:szCs w:val="20"/>
          <w:color w:val="auto"/>
        </w:rPr>
        <w:t>”), which will be issued pursuant to the Credit Agreement, dated as of October 18, 2023, by and between the Company and the lenders and administrative agent party thereto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In accordance with the Securities Act of 1933, as amended (the “</w:t>
      </w:r>
      <w:r>
        <w:rPr>
          <w:rFonts w:ascii="Arial" w:cs="Arial" w:eastAsia="Arial" w:hAnsi="Arial"/>
          <w:sz w:val="20"/>
          <w:szCs w:val="20"/>
          <w:u w:val="single" w:color="auto"/>
          <w:color w:val="auto"/>
        </w:rPr>
        <w:t>Securities Act</w:t>
      </w:r>
      <w:r>
        <w:rPr>
          <w:rFonts w:ascii="Arial" w:cs="Arial" w:eastAsia="Arial" w:hAnsi="Arial"/>
          <w:sz w:val="20"/>
          <w:szCs w:val="20"/>
          <w:color w:val="auto"/>
        </w:rPr>
        <w:t>”), and the rules and regulations promulgated thereunder, the Company has prepared and filed with the Securities and Exchange Commission (the “</w:t>
      </w:r>
      <w:r>
        <w:rPr>
          <w:rFonts w:ascii="Arial" w:cs="Arial" w:eastAsia="Arial" w:hAnsi="Arial"/>
          <w:sz w:val="20"/>
          <w:szCs w:val="20"/>
          <w:u w:val="single" w:color="auto"/>
          <w:color w:val="auto"/>
        </w:rPr>
        <w:t>Commission</w:t>
      </w:r>
      <w:r>
        <w:rPr>
          <w:rFonts w:ascii="Arial" w:cs="Arial" w:eastAsia="Arial" w:hAnsi="Arial"/>
          <w:sz w:val="20"/>
          <w:szCs w:val="20"/>
          <w:color w:val="auto"/>
        </w:rPr>
        <w:t>”) (i) a Registration Statement on Form S-3 (Registration No. 333-271276) (the “</w:t>
      </w:r>
      <w:r>
        <w:rPr>
          <w:rFonts w:ascii="Arial" w:cs="Arial" w:eastAsia="Arial" w:hAnsi="Arial"/>
          <w:sz w:val="20"/>
          <w:szCs w:val="20"/>
          <w:u w:val="single" w:color="auto"/>
          <w:color w:val="auto"/>
        </w:rPr>
        <w:t>Registration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Statement</w:t>
      </w:r>
      <w:r>
        <w:rPr>
          <w:rFonts w:ascii="Arial" w:cs="Arial" w:eastAsia="Arial" w:hAnsi="Arial"/>
          <w:sz w:val="20"/>
          <w:szCs w:val="20"/>
          <w:color w:val="auto"/>
        </w:rPr>
        <w:t>”), which became effective April 25, 2023, and (ii) a prospectus supplement dated October 18, 2023 (the “</w:t>
      </w:r>
      <w:r>
        <w:rPr>
          <w:rFonts w:ascii="Arial" w:cs="Arial" w:eastAsia="Arial" w:hAnsi="Arial"/>
          <w:sz w:val="20"/>
          <w:szCs w:val="20"/>
          <w:u w:val="single" w:color="auto"/>
          <w:color w:val="auto"/>
        </w:rPr>
        <w:t>Prospectus</w:t>
      </w:r>
      <w:r>
        <w:rPr>
          <w:rFonts w:ascii="Arial" w:cs="Arial" w:eastAsia="Arial" w:hAnsi="Arial"/>
          <w:sz w:val="20"/>
          <w:szCs w:val="20"/>
          <w:color w:val="auto"/>
        </w:rPr>
        <w:t xml:space="preserve"> </w:t>
      </w:r>
      <w:r>
        <w:rPr>
          <w:rFonts w:ascii="Arial" w:cs="Arial" w:eastAsia="Arial" w:hAnsi="Arial"/>
          <w:sz w:val="20"/>
          <w:szCs w:val="20"/>
          <w:u w:val="single" w:color="auto"/>
          <w:color w:val="auto"/>
        </w:rPr>
        <w:t>Supplement</w:t>
      </w:r>
      <w:r>
        <w:rPr>
          <w:rFonts w:ascii="Arial" w:cs="Arial" w:eastAsia="Arial" w:hAnsi="Arial"/>
          <w:sz w:val="20"/>
          <w:szCs w:val="20"/>
          <w:color w:val="auto"/>
        </w:rPr>
        <w:t>”).</w:t>
      </w:r>
    </w:p>
    <w:p>
      <w:pPr>
        <w:spacing w:after="0" w:line="20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This opinion letter is being delivered in accordance with the requirements of Item 601(b)(5)(i) of Regulation S-K under the Securities Act.</w:t>
      </w:r>
    </w:p>
    <w:p>
      <w:pPr>
        <w:spacing w:after="0" w:line="190"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In connection with rendering the opinions set forth below, we have examined (i) the Registration Statement, including the exhibits filed therewith; (ii) the base prospectus dated April 25, 2023 included in the Registration Statement; (iii) the Prospectus Supplement; (iv) the Credit Agreement; (v) the form of Warrant; (vi) the Certificate of Incorporation of the Company, as amended; (vii) the Amended and Restated Bylaws of the Company; (viii) the records of corporate actions of the Company relating to the Registration Statement, the Prospectus Supplement, the Securities and matters in connection therewith (the “</w:t>
      </w:r>
      <w:r>
        <w:rPr>
          <w:rFonts w:ascii="Arial" w:cs="Arial" w:eastAsia="Arial" w:hAnsi="Arial"/>
          <w:sz w:val="20"/>
          <w:szCs w:val="20"/>
          <w:u w:val="single" w:color="auto"/>
          <w:color w:val="auto"/>
        </w:rPr>
        <w:t>Board Resolutions</w:t>
      </w:r>
      <w:r>
        <w:rPr>
          <w:rFonts w:ascii="Arial" w:cs="Arial" w:eastAsia="Arial" w:hAnsi="Arial"/>
          <w:sz w:val="20"/>
          <w:szCs w:val="20"/>
          <w:color w:val="auto"/>
        </w:rPr>
        <w:t>”); and (ix) the Company’s stock ledger. We have also examined and relied upon certificates of public officials, certificates of officers or other representatives of the Company and others, and such other documents, and have considered such matters of law as we have deemed necessary to render the opinions contained herein. With respect to certain facts, we have considered it appropriate to rely upon certificates or other comparable documents of public officials and officers or other appropriate representatives of the Company without investigation or analysis of any underlying data contained therein.</w:t>
      </w:r>
    </w:p>
    <w:p>
      <w:pPr>
        <w:spacing w:after="0" w:line="21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In rendering our opinions below, we also have assumed that: (a) the Company will have sufficient authorized and unissued shares of Common Stock at the time of each issuance of a Warrant Share as described in the Prospectus Supplement and pursuant to the Credit Agreement and the Board Resolutions; (b) the issuance of each Warrant Share will be duly noted in the Company’s stock ledger upon its issuance;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jc w:val="both"/>
        <w:spacing w:after="0" w:line="260" w:lineRule="auto"/>
        <w:rPr>
          <w:sz w:val="20"/>
          <w:szCs w:val="20"/>
          <w:color w:val="auto"/>
        </w:rPr>
      </w:pPr>
      <w:r>
        <w:rPr>
          <w:rFonts w:ascii="Arial" w:cs="Arial" w:eastAsia="Arial" w:hAnsi="Arial"/>
          <w:sz w:val="20"/>
          <w:szCs w:val="20"/>
          <w:color w:val="auto"/>
        </w:rPr>
        <w:t>and (c) the Company will receive consideration for each Warrant Share in an amount at least equal to the par value of such share of Common Stock and in the amount required by the Board Resolutions and the Warrant, as applicable.</w:t>
      </w:r>
    </w:p>
    <w:p>
      <w:pPr>
        <w:spacing w:after="0" w:line="19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Our opinions set forth below in the first sentence of numbered paragraph 1 and numbered paragraph 2 are limited to the Delaware General Corporation Law (the “</w:t>
      </w:r>
      <w:r>
        <w:rPr>
          <w:rFonts w:ascii="Arial" w:cs="Arial" w:eastAsia="Arial" w:hAnsi="Arial"/>
          <w:sz w:val="20"/>
          <w:szCs w:val="20"/>
          <w:u w:val="single" w:color="auto"/>
          <w:color w:val="auto"/>
        </w:rPr>
        <w:t>DGCL</w:t>
      </w:r>
      <w:r>
        <w:rPr>
          <w:rFonts w:ascii="Arial" w:cs="Arial" w:eastAsia="Arial" w:hAnsi="Arial"/>
          <w:sz w:val="20"/>
          <w:szCs w:val="20"/>
          <w:color w:val="auto"/>
        </w:rPr>
        <w:t>”) and reported judicial decisions interpreting the DGCL. Our opinion set forth below in the second sentence of numbered paragraph 1 is limited to the laws of the State of New York.</w:t>
      </w:r>
    </w:p>
    <w:p>
      <w:pPr>
        <w:spacing w:after="0" w:line="199" w:lineRule="exact"/>
        <w:rPr>
          <w:sz w:val="20"/>
          <w:szCs w:val="20"/>
          <w:color w:val="auto"/>
        </w:rPr>
      </w:pPr>
    </w:p>
    <w:p>
      <w:pPr>
        <w:jc w:val="both"/>
        <w:ind w:firstLine="757"/>
        <w:spacing w:after="0" w:line="282" w:lineRule="auto"/>
        <w:tabs>
          <w:tab w:leader="none" w:pos="125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Warrant has been duly authorized for issuance by the Company. The Warrant, when issued, delivered and paid for as described in the Prospectus Supplement and pursuant to the Credit Agreement and the Board Resolutions, will constitute a valid and binding obligation of the Company enforceable against the Company in accordance with its terms, subject to the effects of bankruptcy, insolvency, fraudulent transfer, reorganization, receivership, moratorium and other laws affecting the rights and remedies of creditors generally.</w:t>
      </w:r>
    </w:p>
    <w:p>
      <w:pPr>
        <w:spacing w:after="0" w:line="174" w:lineRule="exact"/>
        <w:rPr>
          <w:rFonts w:ascii="Arial" w:cs="Arial" w:eastAsia="Arial" w:hAnsi="Arial"/>
          <w:sz w:val="18"/>
          <w:szCs w:val="18"/>
          <w:color w:val="auto"/>
        </w:rPr>
      </w:pPr>
    </w:p>
    <w:p>
      <w:pPr>
        <w:jc w:val="both"/>
        <w:ind w:firstLine="757"/>
        <w:spacing w:after="0" w:line="291" w:lineRule="auto"/>
        <w:tabs>
          <w:tab w:leader="none" w:pos="11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Warrant Shares have been duly authorized for issuance by the Company and, when issued and delivered by the Company against payment therefor as described in the Prospectus Supplement and the Board Resolutions, upon exercise of the Warrant in accordance with the terms therein and the terms of the Credit Agreement, will be validly issued, fully-paid and non-assessable.</w:t>
      </w:r>
    </w:p>
    <w:p>
      <w:pPr>
        <w:spacing w:after="0" w:line="16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We hereby consent to the filing of this opinion letter with the Commission as Exhibit 5.1 to the Company’s Current Report on Form 8-K and to the reference to this firm under the heading “Legal Matters” in the Prospectus Supplement. In giving our consent, we do not hereby admit that we are in the category of persons whose consent is required under Section 7 of the Securities Act or the rules and regulations thereunder.</w:t>
      </w:r>
    </w:p>
    <w:p>
      <w:pPr>
        <w:spacing w:after="0" w:line="205"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Yours truly,</w:t>
      </w:r>
    </w:p>
    <w:p>
      <w:pPr>
        <w:spacing w:after="0" w:line="229"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/s/ K&amp;L Gates LLP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b w:val="1"/>
          <w:bCs w:val="1"/>
          <w:color w:val="auto"/>
        </w:rPr>
        <w:t>Exhibit 10.1</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CREDIT AGREEMENT</w:t>
      </w:r>
    </w:p>
    <w:p>
      <w:pPr>
        <w:spacing w:after="0" w:line="200" w:lineRule="exact"/>
        <w:rPr>
          <w:sz w:val="20"/>
          <w:szCs w:val="20"/>
          <w:color w:val="auto"/>
        </w:rPr>
      </w:pPr>
    </w:p>
    <w:p>
      <w:pPr>
        <w:spacing w:after="0" w:line="249"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dated as of October 18, 2023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and among</w:t>
      </w:r>
    </w:p>
    <w:p>
      <w:pPr>
        <w:spacing w:after="0" w:line="200" w:lineRule="exact"/>
        <w:rPr>
          <w:sz w:val="20"/>
          <w:szCs w:val="20"/>
          <w:color w:val="auto"/>
        </w:rPr>
      </w:pPr>
    </w:p>
    <w:p>
      <w:pPr>
        <w:spacing w:after="0" w:line="249"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AVITA MEDICAL, INC.,</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the Borrower,</w:t>
      </w:r>
    </w:p>
    <w:p>
      <w:pPr>
        <w:spacing w:after="0" w:line="200" w:lineRule="exact"/>
        <w:rPr>
          <w:sz w:val="20"/>
          <w:szCs w:val="20"/>
          <w:color w:val="auto"/>
        </w:rPr>
      </w:pPr>
    </w:p>
    <w:p>
      <w:pPr>
        <w:spacing w:after="0" w:line="249"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ORCO IV LLC,</w:t>
      </w:r>
    </w:p>
    <w:p>
      <w:pPr>
        <w:spacing w:after="0" w:line="206"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as the Initial Lender,</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ORCO IV LLC,</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as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376555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53"/>
        </w:trPr>
        <w:tc>
          <w:tcPr>
            <w:tcW w:w="2120" w:type="dxa"/>
            <w:vAlign w:val="bottom"/>
          </w:tcPr>
          <w:p>
            <w:pPr>
              <w:spacing w:after="0"/>
              <w:rPr>
                <w:sz w:val="21"/>
                <w:szCs w:val="21"/>
                <w:color w:val="auto"/>
              </w:rPr>
            </w:pPr>
          </w:p>
        </w:tc>
        <w:tc>
          <w:tcPr>
            <w:tcW w:w="7180" w:type="dxa"/>
            <w:vAlign w:val="bottom"/>
            <w:gridSpan w:val="3"/>
          </w:tcPr>
          <w:p>
            <w:pPr>
              <w:jc w:val="center"/>
              <w:ind w:right="180"/>
              <w:spacing w:after="0"/>
              <w:rPr>
                <w:sz w:val="20"/>
                <w:szCs w:val="20"/>
                <w:color w:val="auto"/>
              </w:rPr>
            </w:pPr>
            <w:r>
              <w:rPr>
                <w:rFonts w:ascii="Arial" w:cs="Arial" w:eastAsia="Arial" w:hAnsi="Arial"/>
                <w:sz w:val="22"/>
                <w:szCs w:val="22"/>
                <w:color w:val="auto"/>
                <w:w w:val="94"/>
              </w:rPr>
              <w:t>TABLE OF CONTENTS</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439"/>
        </w:trPr>
        <w:tc>
          <w:tcPr>
            <w:tcW w:w="2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r>
      <w:tr>
        <w:trPr>
          <w:trHeight w:val="499"/>
        </w:trPr>
        <w:tc>
          <w:tcPr>
            <w:tcW w:w="2120" w:type="dxa"/>
            <w:vAlign w:val="bottom"/>
          </w:tcPr>
          <w:p>
            <w:pPr>
              <w:ind w:left="20"/>
              <w:spacing w:after="0"/>
              <w:rPr>
                <w:sz w:val="20"/>
                <w:szCs w:val="20"/>
                <w:color w:val="auto"/>
              </w:rPr>
            </w:pPr>
            <w:r>
              <w:rPr>
                <w:rFonts w:ascii="Arial" w:cs="Arial" w:eastAsia="Arial" w:hAnsi="Arial"/>
                <w:sz w:val="22"/>
                <w:szCs w:val="22"/>
                <w:color w:val="0000FF"/>
              </w:rPr>
              <w:t>ARTICLE I</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DEFINITIONS AND ACCOUNTING TERMS</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1</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1.1</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Defined Terms.</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1</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1.2</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Use of Defined Terms</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23</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1.3</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Cross-References</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23</w:t>
            </w:r>
          </w:p>
        </w:tc>
      </w:tr>
      <w:tr>
        <w:trPr>
          <w:trHeight w:val="274"/>
        </w:trPr>
        <w:tc>
          <w:tcPr>
            <w:tcW w:w="2120" w:type="dxa"/>
            <w:vAlign w:val="bottom"/>
          </w:tcPr>
          <w:p>
            <w:pPr>
              <w:ind w:left="340"/>
              <w:spacing w:after="0"/>
              <w:rPr>
                <w:sz w:val="20"/>
                <w:szCs w:val="20"/>
                <w:color w:val="auto"/>
              </w:rPr>
            </w:pPr>
            <w:r>
              <w:rPr>
                <w:rFonts w:ascii="Arial" w:cs="Arial" w:eastAsia="Arial" w:hAnsi="Arial"/>
                <w:sz w:val="22"/>
                <w:szCs w:val="22"/>
                <w:color w:val="0000FF"/>
              </w:rPr>
              <w:t>SECTION 1.4</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Accounting and Financial Determinations</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23</w:t>
            </w:r>
          </w:p>
        </w:tc>
      </w:tr>
      <w:tr>
        <w:trPr>
          <w:trHeight w:val="536"/>
        </w:trPr>
        <w:tc>
          <w:tcPr>
            <w:tcW w:w="2120" w:type="dxa"/>
            <w:vAlign w:val="bottom"/>
          </w:tcPr>
          <w:p>
            <w:pPr>
              <w:ind w:left="20"/>
              <w:spacing w:after="0"/>
              <w:rPr>
                <w:sz w:val="20"/>
                <w:szCs w:val="20"/>
                <w:color w:val="auto"/>
              </w:rPr>
            </w:pPr>
            <w:r>
              <w:rPr>
                <w:rFonts w:ascii="Arial" w:cs="Arial" w:eastAsia="Arial" w:hAnsi="Arial"/>
                <w:sz w:val="22"/>
                <w:szCs w:val="22"/>
                <w:color w:val="0000FF"/>
              </w:rPr>
              <w:t>ARTICLE II</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COMMITMENT AND BORROWING PROCEDURES</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23</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2.1</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Commitment</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2.2</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Borrowing Procedure</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2.3</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Funding</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24</w:t>
            </w:r>
          </w:p>
        </w:tc>
      </w:tr>
      <w:tr>
        <w:trPr>
          <w:trHeight w:val="274"/>
        </w:trPr>
        <w:tc>
          <w:tcPr>
            <w:tcW w:w="2120" w:type="dxa"/>
            <w:vAlign w:val="bottom"/>
          </w:tcPr>
          <w:p>
            <w:pPr>
              <w:ind w:left="340"/>
              <w:spacing w:after="0"/>
              <w:rPr>
                <w:sz w:val="20"/>
                <w:szCs w:val="20"/>
                <w:color w:val="auto"/>
              </w:rPr>
            </w:pPr>
            <w:r>
              <w:rPr>
                <w:rFonts w:ascii="Arial" w:cs="Arial" w:eastAsia="Arial" w:hAnsi="Arial"/>
                <w:sz w:val="22"/>
                <w:szCs w:val="22"/>
                <w:color w:val="0000FF"/>
              </w:rPr>
              <w:t>SECTION 2.4</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Reduction of the Commitment Amounts</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24</w:t>
            </w:r>
          </w:p>
        </w:tc>
      </w:tr>
      <w:tr>
        <w:trPr>
          <w:trHeight w:val="536"/>
        </w:trPr>
        <w:tc>
          <w:tcPr>
            <w:tcW w:w="2120" w:type="dxa"/>
            <w:vAlign w:val="bottom"/>
          </w:tcPr>
          <w:p>
            <w:pPr>
              <w:ind w:left="20"/>
              <w:spacing w:after="0"/>
              <w:rPr>
                <w:sz w:val="20"/>
                <w:szCs w:val="20"/>
                <w:color w:val="auto"/>
              </w:rPr>
            </w:pPr>
            <w:r>
              <w:rPr>
                <w:rFonts w:ascii="Arial" w:cs="Arial" w:eastAsia="Arial" w:hAnsi="Arial"/>
                <w:sz w:val="22"/>
                <w:szCs w:val="22"/>
                <w:color w:val="0000FF"/>
              </w:rPr>
              <w:t>ARTICLE III</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REPAYMENTS, PREPAYMENTS, INTEREST AND FEES</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25</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3.1</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Repayments and Prepayments; Application</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25</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3.2</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Amortization; Repayments and Prepayments</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25</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3.3</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Application</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26</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3.4</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Interest Rate</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26</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3.5</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Default Rate</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26</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3.6</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Payment Dates</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26</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3.7</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Repayment Premium</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27</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3.8</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Exit Fee</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27</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3.9</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Upfront Fee</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27</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3.10</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Undrawn Fee</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27</w:t>
            </w:r>
          </w:p>
        </w:tc>
      </w:tr>
      <w:tr>
        <w:trPr>
          <w:trHeight w:val="274"/>
        </w:trPr>
        <w:tc>
          <w:tcPr>
            <w:tcW w:w="2120" w:type="dxa"/>
            <w:vAlign w:val="bottom"/>
          </w:tcPr>
          <w:p>
            <w:pPr>
              <w:ind w:left="340"/>
              <w:spacing w:after="0"/>
              <w:rPr>
                <w:sz w:val="20"/>
                <w:szCs w:val="20"/>
                <w:color w:val="auto"/>
              </w:rPr>
            </w:pPr>
            <w:r>
              <w:rPr>
                <w:rFonts w:ascii="Arial" w:cs="Arial" w:eastAsia="Arial" w:hAnsi="Arial"/>
                <w:sz w:val="22"/>
                <w:szCs w:val="22"/>
                <w:color w:val="0000FF"/>
              </w:rPr>
              <w:t>SECTION 3.11</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Administration Fee</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27</w:t>
            </w:r>
          </w:p>
        </w:tc>
      </w:tr>
      <w:tr>
        <w:trPr>
          <w:trHeight w:val="536"/>
        </w:trPr>
        <w:tc>
          <w:tcPr>
            <w:tcW w:w="2120" w:type="dxa"/>
            <w:vAlign w:val="bottom"/>
          </w:tcPr>
          <w:p>
            <w:pPr>
              <w:ind w:left="20"/>
              <w:spacing w:after="0"/>
              <w:rPr>
                <w:sz w:val="20"/>
                <w:szCs w:val="20"/>
                <w:color w:val="auto"/>
              </w:rPr>
            </w:pPr>
            <w:r>
              <w:rPr>
                <w:rFonts w:ascii="Arial" w:cs="Arial" w:eastAsia="Arial" w:hAnsi="Arial"/>
                <w:sz w:val="22"/>
                <w:szCs w:val="22"/>
                <w:color w:val="0000FF"/>
              </w:rPr>
              <w:t>ARTICLE IV</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SOFR RATE AND OTHER PROVISIONS</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28</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4.1</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Increased Costs, Etc</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28</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4.2</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Increased Capital Costs</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28</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4.3</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Taxes</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29</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4.4</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Payments, Computations; Proceeds of Collateral, Etc</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30</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4.5</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Setoff</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32</w:t>
            </w:r>
          </w:p>
        </w:tc>
      </w:tr>
      <w:tr>
        <w:trPr>
          <w:trHeight w:val="274"/>
        </w:trPr>
        <w:tc>
          <w:tcPr>
            <w:tcW w:w="2120" w:type="dxa"/>
            <w:vAlign w:val="bottom"/>
          </w:tcPr>
          <w:p>
            <w:pPr>
              <w:ind w:left="340"/>
              <w:spacing w:after="0"/>
              <w:rPr>
                <w:sz w:val="20"/>
                <w:szCs w:val="20"/>
                <w:color w:val="auto"/>
              </w:rPr>
            </w:pPr>
            <w:r>
              <w:rPr>
                <w:rFonts w:ascii="Arial" w:cs="Arial" w:eastAsia="Arial" w:hAnsi="Arial"/>
                <w:sz w:val="22"/>
                <w:szCs w:val="22"/>
                <w:color w:val="0000FF"/>
              </w:rPr>
              <w:t>SECTION 4.6</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SOFR Rate Not Determinable</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32</w:t>
            </w:r>
          </w:p>
        </w:tc>
      </w:tr>
      <w:tr>
        <w:trPr>
          <w:trHeight w:val="536"/>
        </w:trPr>
        <w:tc>
          <w:tcPr>
            <w:tcW w:w="2120" w:type="dxa"/>
            <w:vAlign w:val="bottom"/>
          </w:tcPr>
          <w:p>
            <w:pPr>
              <w:ind w:left="20"/>
              <w:spacing w:after="0"/>
              <w:rPr>
                <w:sz w:val="20"/>
                <w:szCs w:val="20"/>
                <w:color w:val="auto"/>
              </w:rPr>
            </w:pPr>
            <w:r>
              <w:rPr>
                <w:rFonts w:ascii="Arial" w:cs="Arial" w:eastAsia="Arial" w:hAnsi="Arial"/>
                <w:sz w:val="22"/>
                <w:szCs w:val="22"/>
                <w:color w:val="0000FF"/>
              </w:rPr>
              <w:t>ARTICLE V</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CONDITIONS TO MAKING THE LOANS</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33</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5.1</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Credit Extensions</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33</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5.2</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Secretary’s Certificate, Etc</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33</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5.3</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Closing Date Certificates</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34</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5.4</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Payment of Outstanding Indebtedness, Etc</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34</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5.5</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Delivery of Note</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34</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5.6</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Financial Information, Etc</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34</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5.7</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Compliance Certificate</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35</w:t>
            </w:r>
          </w:p>
        </w:tc>
      </w:tr>
      <w:tr>
        <w:trPr>
          <w:trHeight w:val="256"/>
        </w:trPr>
        <w:tc>
          <w:tcPr>
            <w:tcW w:w="2120" w:type="dxa"/>
            <w:vAlign w:val="bottom"/>
          </w:tcPr>
          <w:p>
            <w:pPr>
              <w:ind w:left="340"/>
              <w:spacing w:after="0"/>
              <w:rPr>
                <w:sz w:val="20"/>
                <w:szCs w:val="20"/>
                <w:color w:val="auto"/>
              </w:rPr>
            </w:pPr>
            <w:r>
              <w:rPr>
                <w:rFonts w:ascii="Arial" w:cs="Arial" w:eastAsia="Arial" w:hAnsi="Arial"/>
                <w:sz w:val="22"/>
                <w:szCs w:val="22"/>
                <w:color w:val="0000FF"/>
              </w:rPr>
              <w:t>SECTION 5.8</w:t>
            </w:r>
          </w:p>
        </w:tc>
        <w:tc>
          <w:tcPr>
            <w:tcW w:w="7180" w:type="dxa"/>
            <w:vAlign w:val="bottom"/>
            <w:gridSpan w:val="3"/>
          </w:tcPr>
          <w:p>
            <w:pPr>
              <w:ind w:left="420"/>
              <w:spacing w:after="0"/>
              <w:rPr>
                <w:sz w:val="20"/>
                <w:szCs w:val="20"/>
                <w:color w:val="auto"/>
              </w:rPr>
            </w:pPr>
            <w:r>
              <w:rPr>
                <w:rFonts w:ascii="Arial" w:cs="Arial" w:eastAsia="Arial" w:hAnsi="Arial"/>
                <w:sz w:val="22"/>
                <w:szCs w:val="22"/>
                <w:color w:val="0000FF"/>
              </w:rPr>
              <w:t>Solvency, Etc</w:t>
            </w:r>
          </w:p>
        </w:tc>
        <w:tc>
          <w:tcPr>
            <w:tcW w:w="1940" w:type="dxa"/>
            <w:vAlign w:val="bottom"/>
            <w:gridSpan w:val="2"/>
          </w:tcPr>
          <w:p>
            <w:pPr>
              <w:jc w:val="right"/>
              <w:spacing w:after="0"/>
              <w:rPr>
                <w:sz w:val="20"/>
                <w:szCs w:val="20"/>
                <w:color w:val="auto"/>
              </w:rPr>
            </w:pPr>
            <w:r>
              <w:rPr>
                <w:rFonts w:ascii="Arial" w:cs="Arial" w:eastAsia="Arial" w:hAnsi="Arial"/>
                <w:sz w:val="22"/>
                <w:szCs w:val="22"/>
                <w:color w:val="auto"/>
              </w:rPr>
              <w:t>35</w:t>
            </w:r>
          </w:p>
        </w:tc>
      </w:tr>
      <w:tr>
        <w:trPr>
          <w:trHeight w:val="274"/>
        </w:trPr>
        <w:tc>
          <w:tcPr>
            <w:tcW w:w="212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4780" w:type="dxa"/>
            <w:vAlign w:val="bottom"/>
            <w:gridSpan w:val="2"/>
          </w:tcPr>
          <w:p>
            <w:pPr>
              <w:jc w:val="center"/>
              <w:ind w:right="2540"/>
              <w:spacing w:after="0"/>
              <w:rPr>
                <w:sz w:val="20"/>
                <w:szCs w:val="20"/>
                <w:color w:val="auto"/>
              </w:rPr>
            </w:pPr>
            <w:r>
              <w:rPr>
                <w:rFonts w:ascii="Arial" w:cs="Arial" w:eastAsia="Arial" w:hAnsi="Arial"/>
                <w:sz w:val="22"/>
                <w:szCs w:val="22"/>
                <w:color w:val="auto"/>
              </w:rPr>
              <w:t>- i -</w:t>
            </w:r>
          </w:p>
        </w:tc>
        <w:tc>
          <w:tcPr>
            <w:tcW w:w="152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645"/>
        </w:trPr>
        <w:tc>
          <w:tcPr>
            <w:tcW w:w="21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22"/>
          <w:szCs w:val="22"/>
          <w:color w:val="auto"/>
        </w:rPr>
        <w:t>TABLE OF CONTENTS</w:t>
      </w:r>
    </w:p>
    <w:p>
      <w:pPr>
        <w:jc w:val="center"/>
        <w:spacing w:after="0" w:line="238" w:lineRule="auto"/>
        <w:rPr>
          <w:sz w:val="20"/>
          <w:szCs w:val="20"/>
          <w:color w:val="auto"/>
        </w:rPr>
      </w:pPr>
      <w:r>
        <w:rPr>
          <w:rFonts w:ascii="Arial" w:cs="Arial" w:eastAsia="Arial" w:hAnsi="Arial"/>
          <w:sz w:val="22"/>
          <w:szCs w:val="22"/>
          <w:color w:val="auto"/>
        </w:rPr>
        <w:t>(continued)</w:t>
      </w:r>
    </w:p>
    <w:tbl>
      <w:tblPr>
        <w:tblLayout w:type="fixed"/>
        <w:tblInd w:w="0" w:type="dxa"/>
        <w:tblCellMar>
          <w:top w:w="0" w:type="dxa"/>
          <w:left w:w="0" w:type="dxa"/>
          <w:bottom w:w="0" w:type="dxa"/>
          <w:right w:w="0" w:type="dxa"/>
        </w:tblCellMar>
      </w:tblPr>
      <w:tr>
        <w:trPr>
          <w:trHeight w:val="206"/>
        </w:trPr>
        <w:tc>
          <w:tcPr>
            <w:tcW w:w="21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22"/>
                <w:szCs w:val="22"/>
                <w:color w:val="auto"/>
                <w:w w:val="77"/>
              </w:rPr>
              <w:t>Page</w:t>
            </w:r>
          </w:p>
        </w:tc>
      </w:tr>
      <w:tr>
        <w:trPr>
          <w:trHeight w:val="499"/>
        </w:trPr>
        <w:tc>
          <w:tcPr>
            <w:tcW w:w="2120" w:type="dxa"/>
            <w:vAlign w:val="bottom"/>
          </w:tcPr>
          <w:p>
            <w:pPr>
              <w:ind w:left="340"/>
              <w:spacing w:after="0"/>
              <w:rPr>
                <w:sz w:val="20"/>
                <w:szCs w:val="20"/>
                <w:color w:val="auto"/>
              </w:rPr>
            </w:pPr>
            <w:r>
              <w:rPr>
                <w:rFonts w:ascii="Arial" w:cs="Arial" w:eastAsia="Arial" w:hAnsi="Arial"/>
                <w:sz w:val="22"/>
                <w:szCs w:val="22"/>
                <w:color w:val="0000FF"/>
              </w:rPr>
              <w:t>SECTION 5.9</w:t>
            </w:r>
          </w:p>
        </w:tc>
        <w:tc>
          <w:tcPr>
            <w:tcW w:w="7400" w:type="dxa"/>
            <w:vAlign w:val="bottom"/>
          </w:tcPr>
          <w:p>
            <w:pPr>
              <w:ind w:left="420"/>
              <w:spacing w:after="0"/>
              <w:rPr>
                <w:sz w:val="20"/>
                <w:szCs w:val="20"/>
                <w:color w:val="auto"/>
              </w:rPr>
            </w:pPr>
            <w:r>
              <w:rPr>
                <w:rFonts w:ascii="Arial" w:cs="Arial" w:eastAsia="Arial" w:hAnsi="Arial"/>
                <w:sz w:val="22"/>
                <w:szCs w:val="22"/>
                <w:color w:val="0000FF"/>
              </w:rPr>
              <w:t>Guarantee</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35</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5.10</w:t>
            </w:r>
          </w:p>
        </w:tc>
        <w:tc>
          <w:tcPr>
            <w:tcW w:w="7400" w:type="dxa"/>
            <w:vAlign w:val="bottom"/>
          </w:tcPr>
          <w:p>
            <w:pPr>
              <w:ind w:left="420"/>
              <w:spacing w:after="0"/>
              <w:rPr>
                <w:sz w:val="20"/>
                <w:szCs w:val="20"/>
                <w:color w:val="auto"/>
              </w:rPr>
            </w:pPr>
            <w:r>
              <w:rPr>
                <w:rFonts w:ascii="Arial" w:cs="Arial" w:eastAsia="Arial" w:hAnsi="Arial"/>
                <w:sz w:val="22"/>
                <w:szCs w:val="22"/>
                <w:color w:val="0000FF"/>
              </w:rPr>
              <w:t>Security Agreements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35</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5.11</w:t>
            </w:r>
          </w:p>
        </w:tc>
        <w:tc>
          <w:tcPr>
            <w:tcW w:w="7400" w:type="dxa"/>
            <w:vAlign w:val="bottom"/>
          </w:tcPr>
          <w:p>
            <w:pPr>
              <w:ind w:left="420"/>
              <w:spacing w:after="0"/>
              <w:rPr>
                <w:sz w:val="20"/>
                <w:szCs w:val="20"/>
                <w:color w:val="auto"/>
              </w:rPr>
            </w:pPr>
            <w:r>
              <w:rPr>
                <w:rFonts w:ascii="Arial" w:cs="Arial" w:eastAsia="Arial" w:hAnsi="Arial"/>
                <w:sz w:val="22"/>
                <w:szCs w:val="22"/>
                <w:color w:val="0000FF"/>
              </w:rPr>
              <w:t>Intellectual Property Security Agreements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36</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5.12</w:t>
            </w:r>
          </w:p>
        </w:tc>
        <w:tc>
          <w:tcPr>
            <w:tcW w:w="7400" w:type="dxa"/>
            <w:vAlign w:val="bottom"/>
          </w:tcPr>
          <w:p>
            <w:pPr>
              <w:ind w:left="420"/>
              <w:spacing w:after="0"/>
              <w:rPr>
                <w:sz w:val="20"/>
                <w:szCs w:val="20"/>
                <w:color w:val="auto"/>
              </w:rPr>
            </w:pPr>
            <w:r>
              <w:rPr>
                <w:rFonts w:ascii="Arial" w:cs="Arial" w:eastAsia="Arial" w:hAnsi="Arial"/>
                <w:sz w:val="22"/>
                <w:szCs w:val="22"/>
                <w:color w:val="0000FF"/>
              </w:rPr>
              <w:t>Warrants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36</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5.13</w:t>
            </w:r>
          </w:p>
        </w:tc>
        <w:tc>
          <w:tcPr>
            <w:tcW w:w="7400" w:type="dxa"/>
            <w:vAlign w:val="bottom"/>
          </w:tcPr>
          <w:p>
            <w:pPr>
              <w:ind w:left="420"/>
              <w:spacing w:after="0"/>
              <w:rPr>
                <w:sz w:val="20"/>
                <w:szCs w:val="20"/>
                <w:color w:val="auto"/>
              </w:rPr>
            </w:pPr>
            <w:r>
              <w:rPr>
                <w:rFonts w:ascii="Arial" w:cs="Arial" w:eastAsia="Arial" w:hAnsi="Arial"/>
                <w:sz w:val="22"/>
                <w:szCs w:val="22"/>
                <w:color w:val="0000FF"/>
              </w:rPr>
              <w:t>Opinions of Counsel</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36</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5.14</w:t>
            </w:r>
          </w:p>
        </w:tc>
        <w:tc>
          <w:tcPr>
            <w:tcW w:w="7400" w:type="dxa"/>
            <w:vAlign w:val="bottom"/>
          </w:tcPr>
          <w:p>
            <w:pPr>
              <w:ind w:left="420"/>
              <w:spacing w:after="0"/>
              <w:rPr>
                <w:sz w:val="20"/>
                <w:szCs w:val="20"/>
                <w:color w:val="auto"/>
              </w:rPr>
            </w:pPr>
            <w:r>
              <w:rPr>
                <w:rFonts w:ascii="Arial" w:cs="Arial" w:eastAsia="Arial" w:hAnsi="Arial"/>
                <w:sz w:val="22"/>
                <w:szCs w:val="22"/>
                <w:color w:val="0000FF"/>
              </w:rPr>
              <w:t>Insurance</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36</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5.15</w:t>
            </w:r>
          </w:p>
        </w:tc>
        <w:tc>
          <w:tcPr>
            <w:tcW w:w="7400" w:type="dxa"/>
            <w:vAlign w:val="bottom"/>
          </w:tcPr>
          <w:p>
            <w:pPr>
              <w:ind w:left="420"/>
              <w:spacing w:after="0"/>
              <w:rPr>
                <w:sz w:val="20"/>
                <w:szCs w:val="20"/>
                <w:color w:val="auto"/>
              </w:rPr>
            </w:pPr>
            <w:r>
              <w:rPr>
                <w:rFonts w:ascii="Arial" w:cs="Arial" w:eastAsia="Arial" w:hAnsi="Arial"/>
                <w:sz w:val="22"/>
                <w:szCs w:val="22"/>
                <w:color w:val="0000FF"/>
              </w:rPr>
              <w:t>Closing Fees, Expenses, Etc.</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36</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5.16</w:t>
            </w:r>
          </w:p>
        </w:tc>
        <w:tc>
          <w:tcPr>
            <w:tcW w:w="7400" w:type="dxa"/>
            <w:vAlign w:val="bottom"/>
          </w:tcPr>
          <w:p>
            <w:pPr>
              <w:ind w:left="420"/>
              <w:spacing w:after="0"/>
              <w:rPr>
                <w:sz w:val="20"/>
                <w:szCs w:val="20"/>
                <w:color w:val="auto"/>
              </w:rPr>
            </w:pPr>
            <w:r>
              <w:rPr>
                <w:rFonts w:ascii="Arial" w:cs="Arial" w:eastAsia="Arial" w:hAnsi="Arial"/>
                <w:sz w:val="22"/>
                <w:szCs w:val="22"/>
                <w:color w:val="0000FF"/>
              </w:rPr>
              <w:t>Anti-Terrorism Laws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36</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5.17</w:t>
            </w:r>
          </w:p>
        </w:tc>
        <w:tc>
          <w:tcPr>
            <w:tcW w:w="7400" w:type="dxa"/>
            <w:vAlign w:val="bottom"/>
          </w:tcPr>
          <w:p>
            <w:pPr>
              <w:ind w:left="420"/>
              <w:spacing w:after="0"/>
              <w:rPr>
                <w:sz w:val="20"/>
                <w:szCs w:val="20"/>
                <w:color w:val="auto"/>
              </w:rPr>
            </w:pPr>
            <w:r>
              <w:rPr>
                <w:rFonts w:ascii="Arial" w:cs="Arial" w:eastAsia="Arial" w:hAnsi="Arial"/>
                <w:sz w:val="22"/>
                <w:szCs w:val="22"/>
                <w:color w:val="0000FF"/>
              </w:rPr>
              <w:t>Satisfactory Legal Form</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37</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5.18</w:t>
            </w:r>
          </w:p>
        </w:tc>
        <w:tc>
          <w:tcPr>
            <w:tcW w:w="7400" w:type="dxa"/>
            <w:vAlign w:val="bottom"/>
          </w:tcPr>
          <w:p>
            <w:pPr>
              <w:ind w:left="420"/>
              <w:spacing w:after="0"/>
              <w:rPr>
                <w:sz w:val="20"/>
                <w:szCs w:val="20"/>
                <w:color w:val="auto"/>
              </w:rPr>
            </w:pPr>
            <w:r>
              <w:rPr>
                <w:rFonts w:ascii="Arial" w:cs="Arial" w:eastAsia="Arial" w:hAnsi="Arial"/>
                <w:sz w:val="22"/>
                <w:szCs w:val="22"/>
                <w:color w:val="0000FF"/>
              </w:rPr>
              <w:t>Product Revenue Base</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37</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5.19</w:t>
            </w:r>
          </w:p>
        </w:tc>
        <w:tc>
          <w:tcPr>
            <w:tcW w:w="7400" w:type="dxa"/>
            <w:vAlign w:val="bottom"/>
          </w:tcPr>
          <w:p>
            <w:pPr>
              <w:ind w:left="420"/>
              <w:spacing w:after="0"/>
              <w:rPr>
                <w:sz w:val="20"/>
                <w:szCs w:val="20"/>
                <w:color w:val="auto"/>
              </w:rPr>
            </w:pPr>
            <w:r>
              <w:rPr>
                <w:rFonts w:ascii="Arial" w:cs="Arial" w:eastAsia="Arial" w:hAnsi="Arial"/>
                <w:sz w:val="22"/>
                <w:szCs w:val="22"/>
                <w:color w:val="0000FF"/>
              </w:rPr>
              <w:t>Disclosure Schedules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37</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5.20</w:t>
            </w:r>
          </w:p>
        </w:tc>
        <w:tc>
          <w:tcPr>
            <w:tcW w:w="7400" w:type="dxa"/>
            <w:vAlign w:val="bottom"/>
          </w:tcPr>
          <w:p>
            <w:pPr>
              <w:ind w:left="420"/>
              <w:spacing w:after="0"/>
              <w:rPr>
                <w:sz w:val="20"/>
                <w:szCs w:val="20"/>
                <w:color w:val="auto"/>
              </w:rPr>
            </w:pPr>
            <w:r>
              <w:rPr>
                <w:rFonts w:ascii="Arial" w:cs="Arial" w:eastAsia="Arial" w:hAnsi="Arial"/>
                <w:sz w:val="22"/>
                <w:szCs w:val="22"/>
                <w:color w:val="0000FF"/>
              </w:rPr>
              <w:t>Material Adverse Change</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37</w:t>
            </w:r>
          </w:p>
        </w:tc>
      </w:tr>
      <w:tr>
        <w:trPr>
          <w:trHeight w:val="274"/>
        </w:trPr>
        <w:tc>
          <w:tcPr>
            <w:tcW w:w="2120" w:type="dxa"/>
            <w:vAlign w:val="bottom"/>
          </w:tcPr>
          <w:p>
            <w:pPr>
              <w:ind w:left="340"/>
              <w:spacing w:after="0"/>
              <w:rPr>
                <w:sz w:val="20"/>
                <w:szCs w:val="20"/>
                <w:color w:val="auto"/>
              </w:rPr>
            </w:pPr>
            <w:r>
              <w:rPr>
                <w:rFonts w:ascii="Arial" w:cs="Arial" w:eastAsia="Arial" w:hAnsi="Arial"/>
                <w:sz w:val="22"/>
                <w:szCs w:val="22"/>
                <w:color w:val="0000FF"/>
              </w:rPr>
              <w:t>SECTION 5.21</w:t>
            </w:r>
          </w:p>
        </w:tc>
        <w:tc>
          <w:tcPr>
            <w:tcW w:w="7400" w:type="dxa"/>
            <w:vAlign w:val="bottom"/>
          </w:tcPr>
          <w:p>
            <w:pPr>
              <w:ind w:left="420"/>
              <w:spacing w:after="0"/>
              <w:rPr>
                <w:sz w:val="20"/>
                <w:szCs w:val="20"/>
                <w:color w:val="auto"/>
              </w:rPr>
            </w:pPr>
            <w:r>
              <w:rPr>
                <w:rFonts w:ascii="Arial" w:cs="Arial" w:eastAsia="Arial" w:hAnsi="Arial"/>
                <w:sz w:val="22"/>
                <w:szCs w:val="22"/>
                <w:color w:val="0000FF"/>
              </w:rPr>
              <w:t>Excluded Subsidiaries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37</w:t>
            </w:r>
          </w:p>
        </w:tc>
      </w:tr>
      <w:tr>
        <w:trPr>
          <w:trHeight w:val="536"/>
        </w:trPr>
        <w:tc>
          <w:tcPr>
            <w:tcW w:w="2120" w:type="dxa"/>
            <w:vAlign w:val="bottom"/>
          </w:tcPr>
          <w:p>
            <w:pPr>
              <w:ind w:left="20"/>
              <w:spacing w:after="0"/>
              <w:rPr>
                <w:sz w:val="20"/>
                <w:szCs w:val="20"/>
                <w:color w:val="auto"/>
              </w:rPr>
            </w:pPr>
            <w:r>
              <w:rPr>
                <w:rFonts w:ascii="Arial" w:cs="Arial" w:eastAsia="Arial" w:hAnsi="Arial"/>
                <w:sz w:val="22"/>
                <w:szCs w:val="22"/>
                <w:color w:val="0000FF"/>
              </w:rPr>
              <w:t>ARTICLE VI</w:t>
            </w:r>
          </w:p>
        </w:tc>
        <w:tc>
          <w:tcPr>
            <w:tcW w:w="7400" w:type="dxa"/>
            <w:vAlign w:val="bottom"/>
          </w:tcPr>
          <w:p>
            <w:pPr>
              <w:ind w:left="420"/>
              <w:spacing w:after="0"/>
              <w:rPr>
                <w:sz w:val="20"/>
                <w:szCs w:val="20"/>
                <w:color w:val="auto"/>
              </w:rPr>
            </w:pPr>
            <w:r>
              <w:rPr>
                <w:rFonts w:ascii="Arial" w:cs="Arial" w:eastAsia="Arial" w:hAnsi="Arial"/>
                <w:sz w:val="22"/>
                <w:szCs w:val="22"/>
                <w:color w:val="0000FF"/>
              </w:rPr>
              <w:t>REPRESENTATIONS AND WARRANTIES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37</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6.1</w:t>
            </w:r>
          </w:p>
        </w:tc>
        <w:tc>
          <w:tcPr>
            <w:tcW w:w="7400" w:type="dxa"/>
            <w:vAlign w:val="bottom"/>
          </w:tcPr>
          <w:p>
            <w:pPr>
              <w:ind w:left="420"/>
              <w:spacing w:after="0"/>
              <w:rPr>
                <w:sz w:val="20"/>
                <w:szCs w:val="20"/>
                <w:color w:val="auto"/>
              </w:rPr>
            </w:pPr>
            <w:r>
              <w:rPr>
                <w:rFonts w:ascii="Arial" w:cs="Arial" w:eastAsia="Arial" w:hAnsi="Arial"/>
                <w:sz w:val="22"/>
                <w:szCs w:val="22"/>
                <w:color w:val="0000FF"/>
              </w:rPr>
              <w:t>Organization, Etc.</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38</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6.2</w:t>
            </w:r>
          </w:p>
        </w:tc>
        <w:tc>
          <w:tcPr>
            <w:tcW w:w="7400" w:type="dxa"/>
            <w:vAlign w:val="bottom"/>
          </w:tcPr>
          <w:p>
            <w:pPr>
              <w:ind w:left="420"/>
              <w:spacing w:after="0"/>
              <w:rPr>
                <w:sz w:val="20"/>
                <w:szCs w:val="20"/>
                <w:color w:val="auto"/>
              </w:rPr>
            </w:pPr>
            <w:r>
              <w:rPr>
                <w:rFonts w:ascii="Arial" w:cs="Arial" w:eastAsia="Arial" w:hAnsi="Arial"/>
                <w:sz w:val="22"/>
                <w:szCs w:val="22"/>
                <w:color w:val="0000FF"/>
              </w:rPr>
              <w:t>Due Authorization, Non-Contravention, Etc</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38</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6.3</w:t>
            </w:r>
          </w:p>
        </w:tc>
        <w:tc>
          <w:tcPr>
            <w:tcW w:w="7400" w:type="dxa"/>
            <w:vAlign w:val="bottom"/>
          </w:tcPr>
          <w:p>
            <w:pPr>
              <w:ind w:left="420"/>
              <w:spacing w:after="0"/>
              <w:rPr>
                <w:sz w:val="20"/>
                <w:szCs w:val="20"/>
                <w:color w:val="auto"/>
              </w:rPr>
            </w:pPr>
            <w:r>
              <w:rPr>
                <w:rFonts w:ascii="Arial" w:cs="Arial" w:eastAsia="Arial" w:hAnsi="Arial"/>
                <w:sz w:val="22"/>
                <w:szCs w:val="22"/>
                <w:color w:val="0000FF"/>
              </w:rPr>
              <w:t>Government Approval, Regulation, Etc</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38</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6.4</w:t>
            </w:r>
          </w:p>
        </w:tc>
        <w:tc>
          <w:tcPr>
            <w:tcW w:w="7400" w:type="dxa"/>
            <w:vAlign w:val="bottom"/>
          </w:tcPr>
          <w:p>
            <w:pPr>
              <w:ind w:left="420"/>
              <w:spacing w:after="0"/>
              <w:rPr>
                <w:sz w:val="20"/>
                <w:szCs w:val="20"/>
                <w:color w:val="auto"/>
              </w:rPr>
            </w:pPr>
            <w:r>
              <w:rPr>
                <w:rFonts w:ascii="Arial" w:cs="Arial" w:eastAsia="Arial" w:hAnsi="Arial"/>
                <w:sz w:val="22"/>
                <w:szCs w:val="22"/>
                <w:color w:val="0000FF"/>
              </w:rPr>
              <w:t>Validity, Etc</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38</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6.5</w:t>
            </w:r>
          </w:p>
        </w:tc>
        <w:tc>
          <w:tcPr>
            <w:tcW w:w="7400" w:type="dxa"/>
            <w:vAlign w:val="bottom"/>
          </w:tcPr>
          <w:p>
            <w:pPr>
              <w:ind w:left="420"/>
              <w:spacing w:after="0"/>
              <w:rPr>
                <w:sz w:val="20"/>
                <w:szCs w:val="20"/>
                <w:color w:val="auto"/>
              </w:rPr>
            </w:pPr>
            <w:r>
              <w:rPr>
                <w:rFonts w:ascii="Arial" w:cs="Arial" w:eastAsia="Arial" w:hAnsi="Arial"/>
                <w:sz w:val="22"/>
                <w:szCs w:val="22"/>
                <w:color w:val="0000FF"/>
              </w:rPr>
              <w:t>Financial Information</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38</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6.6</w:t>
            </w:r>
          </w:p>
        </w:tc>
        <w:tc>
          <w:tcPr>
            <w:tcW w:w="7400" w:type="dxa"/>
            <w:vAlign w:val="bottom"/>
          </w:tcPr>
          <w:p>
            <w:pPr>
              <w:ind w:left="420"/>
              <w:spacing w:after="0"/>
              <w:rPr>
                <w:sz w:val="20"/>
                <w:szCs w:val="20"/>
                <w:color w:val="auto"/>
              </w:rPr>
            </w:pPr>
            <w:r>
              <w:rPr>
                <w:rFonts w:ascii="Arial" w:cs="Arial" w:eastAsia="Arial" w:hAnsi="Arial"/>
                <w:sz w:val="22"/>
                <w:szCs w:val="22"/>
                <w:color w:val="0000FF"/>
              </w:rPr>
              <w:t>No Material Adverse Change</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38</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6.7</w:t>
            </w:r>
          </w:p>
        </w:tc>
        <w:tc>
          <w:tcPr>
            <w:tcW w:w="7400" w:type="dxa"/>
            <w:vAlign w:val="bottom"/>
          </w:tcPr>
          <w:p>
            <w:pPr>
              <w:ind w:left="420"/>
              <w:spacing w:after="0"/>
              <w:rPr>
                <w:sz w:val="20"/>
                <w:szCs w:val="20"/>
                <w:color w:val="auto"/>
              </w:rPr>
            </w:pPr>
            <w:r>
              <w:rPr>
                <w:rFonts w:ascii="Arial" w:cs="Arial" w:eastAsia="Arial" w:hAnsi="Arial"/>
                <w:sz w:val="22"/>
                <w:szCs w:val="22"/>
                <w:color w:val="0000FF"/>
              </w:rPr>
              <w:t>Litigation, Labor Matters and Environmental Matters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39</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6.8</w:t>
            </w:r>
          </w:p>
        </w:tc>
        <w:tc>
          <w:tcPr>
            <w:tcW w:w="7400" w:type="dxa"/>
            <w:vAlign w:val="bottom"/>
          </w:tcPr>
          <w:p>
            <w:pPr>
              <w:ind w:left="420"/>
              <w:spacing w:after="0"/>
              <w:rPr>
                <w:sz w:val="20"/>
                <w:szCs w:val="20"/>
                <w:color w:val="auto"/>
              </w:rPr>
            </w:pPr>
            <w:r>
              <w:rPr>
                <w:rFonts w:ascii="Arial" w:cs="Arial" w:eastAsia="Arial" w:hAnsi="Arial"/>
                <w:sz w:val="22"/>
                <w:szCs w:val="22"/>
                <w:color w:val="0000FF"/>
              </w:rPr>
              <w:t>Subsidiaries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39</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6.9</w:t>
            </w:r>
          </w:p>
        </w:tc>
        <w:tc>
          <w:tcPr>
            <w:tcW w:w="7400" w:type="dxa"/>
            <w:vAlign w:val="bottom"/>
          </w:tcPr>
          <w:p>
            <w:pPr>
              <w:ind w:left="420"/>
              <w:spacing w:after="0"/>
              <w:rPr>
                <w:sz w:val="20"/>
                <w:szCs w:val="20"/>
                <w:color w:val="auto"/>
              </w:rPr>
            </w:pPr>
            <w:r>
              <w:rPr>
                <w:rFonts w:ascii="Arial" w:cs="Arial" w:eastAsia="Arial" w:hAnsi="Arial"/>
                <w:sz w:val="22"/>
                <w:szCs w:val="22"/>
                <w:color w:val="0000FF"/>
              </w:rPr>
              <w:t>Ownership of Properties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39</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6.10</w:t>
            </w:r>
          </w:p>
        </w:tc>
        <w:tc>
          <w:tcPr>
            <w:tcW w:w="7400" w:type="dxa"/>
            <w:vAlign w:val="bottom"/>
          </w:tcPr>
          <w:p>
            <w:pPr>
              <w:ind w:left="420"/>
              <w:spacing w:after="0"/>
              <w:rPr>
                <w:sz w:val="20"/>
                <w:szCs w:val="20"/>
                <w:color w:val="auto"/>
              </w:rPr>
            </w:pPr>
            <w:r>
              <w:rPr>
                <w:rFonts w:ascii="Arial" w:cs="Arial" w:eastAsia="Arial" w:hAnsi="Arial"/>
                <w:sz w:val="22"/>
                <w:szCs w:val="22"/>
                <w:color w:val="0000FF"/>
              </w:rPr>
              <w:t>Taxes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39</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6.11</w:t>
            </w:r>
          </w:p>
        </w:tc>
        <w:tc>
          <w:tcPr>
            <w:tcW w:w="7400" w:type="dxa"/>
            <w:vAlign w:val="bottom"/>
          </w:tcPr>
          <w:p>
            <w:pPr>
              <w:ind w:left="420"/>
              <w:spacing w:after="0"/>
              <w:rPr>
                <w:sz w:val="20"/>
                <w:szCs w:val="20"/>
                <w:color w:val="auto"/>
              </w:rPr>
            </w:pPr>
            <w:r>
              <w:rPr>
                <w:rFonts w:ascii="Arial" w:cs="Arial" w:eastAsia="Arial" w:hAnsi="Arial"/>
                <w:sz w:val="22"/>
                <w:szCs w:val="22"/>
                <w:color w:val="0000FF"/>
              </w:rPr>
              <w:t>Benefit Plans, Etc</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39</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6.12</w:t>
            </w:r>
          </w:p>
        </w:tc>
        <w:tc>
          <w:tcPr>
            <w:tcW w:w="7400" w:type="dxa"/>
            <w:vAlign w:val="bottom"/>
          </w:tcPr>
          <w:p>
            <w:pPr>
              <w:ind w:left="420"/>
              <w:spacing w:after="0"/>
              <w:rPr>
                <w:sz w:val="20"/>
                <w:szCs w:val="20"/>
                <w:color w:val="auto"/>
              </w:rPr>
            </w:pPr>
            <w:r>
              <w:rPr>
                <w:rFonts w:ascii="Arial" w:cs="Arial" w:eastAsia="Arial" w:hAnsi="Arial"/>
                <w:sz w:val="22"/>
                <w:szCs w:val="22"/>
                <w:color w:val="0000FF"/>
              </w:rPr>
              <w:t>Accuracy of Information</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40</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6.13</w:t>
            </w:r>
          </w:p>
        </w:tc>
        <w:tc>
          <w:tcPr>
            <w:tcW w:w="7400" w:type="dxa"/>
            <w:vAlign w:val="bottom"/>
          </w:tcPr>
          <w:p>
            <w:pPr>
              <w:ind w:left="420"/>
              <w:spacing w:after="0"/>
              <w:rPr>
                <w:sz w:val="20"/>
                <w:szCs w:val="20"/>
                <w:color w:val="auto"/>
              </w:rPr>
            </w:pPr>
            <w:r>
              <w:rPr>
                <w:rFonts w:ascii="Arial" w:cs="Arial" w:eastAsia="Arial" w:hAnsi="Arial"/>
                <w:sz w:val="22"/>
                <w:szCs w:val="22"/>
                <w:color w:val="0000FF"/>
              </w:rPr>
              <w:t>Regulations U and X</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40</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6.14</w:t>
            </w:r>
          </w:p>
        </w:tc>
        <w:tc>
          <w:tcPr>
            <w:tcW w:w="7400" w:type="dxa"/>
            <w:vAlign w:val="bottom"/>
          </w:tcPr>
          <w:p>
            <w:pPr>
              <w:ind w:left="420"/>
              <w:spacing w:after="0"/>
              <w:rPr>
                <w:sz w:val="20"/>
                <w:szCs w:val="20"/>
                <w:color w:val="auto"/>
              </w:rPr>
            </w:pPr>
            <w:r>
              <w:rPr>
                <w:rFonts w:ascii="Arial" w:cs="Arial" w:eastAsia="Arial" w:hAnsi="Arial"/>
                <w:sz w:val="22"/>
                <w:szCs w:val="22"/>
                <w:color w:val="0000FF"/>
              </w:rPr>
              <w:t>Solvency</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40</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6.15</w:t>
            </w:r>
          </w:p>
        </w:tc>
        <w:tc>
          <w:tcPr>
            <w:tcW w:w="7400" w:type="dxa"/>
            <w:vAlign w:val="bottom"/>
          </w:tcPr>
          <w:p>
            <w:pPr>
              <w:ind w:left="420"/>
              <w:spacing w:after="0"/>
              <w:rPr>
                <w:sz w:val="20"/>
                <w:szCs w:val="20"/>
                <w:color w:val="auto"/>
              </w:rPr>
            </w:pPr>
            <w:r>
              <w:rPr>
                <w:rFonts w:ascii="Arial" w:cs="Arial" w:eastAsia="Arial" w:hAnsi="Arial"/>
                <w:sz w:val="22"/>
                <w:szCs w:val="22"/>
                <w:color w:val="0000FF"/>
              </w:rPr>
              <w:t>Intellectual Property</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40</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6.16</w:t>
            </w:r>
          </w:p>
        </w:tc>
        <w:tc>
          <w:tcPr>
            <w:tcW w:w="7400" w:type="dxa"/>
            <w:vAlign w:val="bottom"/>
          </w:tcPr>
          <w:p>
            <w:pPr>
              <w:ind w:left="420"/>
              <w:spacing w:after="0"/>
              <w:rPr>
                <w:sz w:val="20"/>
                <w:szCs w:val="20"/>
                <w:color w:val="auto"/>
              </w:rPr>
            </w:pPr>
            <w:r>
              <w:rPr>
                <w:rFonts w:ascii="Arial" w:cs="Arial" w:eastAsia="Arial" w:hAnsi="Arial"/>
                <w:sz w:val="22"/>
                <w:szCs w:val="22"/>
                <w:color w:val="0000FF"/>
              </w:rPr>
              <w:t>Material Agreements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42</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6.17</w:t>
            </w:r>
          </w:p>
        </w:tc>
        <w:tc>
          <w:tcPr>
            <w:tcW w:w="7400" w:type="dxa"/>
            <w:vAlign w:val="bottom"/>
          </w:tcPr>
          <w:p>
            <w:pPr>
              <w:ind w:left="420"/>
              <w:spacing w:after="0"/>
              <w:rPr>
                <w:sz w:val="20"/>
                <w:szCs w:val="20"/>
                <w:color w:val="auto"/>
              </w:rPr>
            </w:pPr>
            <w:r>
              <w:rPr>
                <w:rFonts w:ascii="Arial" w:cs="Arial" w:eastAsia="Arial" w:hAnsi="Arial"/>
                <w:sz w:val="22"/>
                <w:szCs w:val="22"/>
                <w:color w:val="0000FF"/>
              </w:rPr>
              <w:t>Permits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43</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6.18</w:t>
            </w:r>
          </w:p>
        </w:tc>
        <w:tc>
          <w:tcPr>
            <w:tcW w:w="7400" w:type="dxa"/>
            <w:vAlign w:val="bottom"/>
          </w:tcPr>
          <w:p>
            <w:pPr>
              <w:ind w:left="420"/>
              <w:spacing w:after="0"/>
              <w:rPr>
                <w:sz w:val="20"/>
                <w:szCs w:val="20"/>
                <w:color w:val="auto"/>
              </w:rPr>
            </w:pPr>
            <w:r>
              <w:rPr>
                <w:rFonts w:ascii="Arial" w:cs="Arial" w:eastAsia="Arial" w:hAnsi="Arial"/>
                <w:sz w:val="22"/>
                <w:szCs w:val="22"/>
                <w:color w:val="0000FF"/>
              </w:rPr>
              <w:t>Regulatory Matters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43</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6.19</w:t>
            </w:r>
          </w:p>
        </w:tc>
        <w:tc>
          <w:tcPr>
            <w:tcW w:w="7400" w:type="dxa"/>
            <w:vAlign w:val="bottom"/>
          </w:tcPr>
          <w:p>
            <w:pPr>
              <w:ind w:left="420"/>
              <w:spacing w:after="0"/>
              <w:rPr>
                <w:sz w:val="20"/>
                <w:szCs w:val="20"/>
                <w:color w:val="auto"/>
              </w:rPr>
            </w:pPr>
            <w:r>
              <w:rPr>
                <w:rFonts w:ascii="Arial" w:cs="Arial" w:eastAsia="Arial" w:hAnsi="Arial"/>
                <w:sz w:val="22"/>
                <w:szCs w:val="22"/>
                <w:color w:val="0000FF"/>
              </w:rPr>
              <w:t>Transactions with Affiliates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46</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6.20</w:t>
            </w:r>
          </w:p>
        </w:tc>
        <w:tc>
          <w:tcPr>
            <w:tcW w:w="7400" w:type="dxa"/>
            <w:vAlign w:val="bottom"/>
          </w:tcPr>
          <w:p>
            <w:pPr>
              <w:ind w:left="420"/>
              <w:spacing w:after="0"/>
              <w:rPr>
                <w:sz w:val="20"/>
                <w:szCs w:val="20"/>
                <w:color w:val="auto"/>
              </w:rPr>
            </w:pPr>
            <w:r>
              <w:rPr>
                <w:rFonts w:ascii="Arial" w:cs="Arial" w:eastAsia="Arial" w:hAnsi="Arial"/>
                <w:sz w:val="22"/>
                <w:szCs w:val="22"/>
                <w:color w:val="0000FF"/>
              </w:rPr>
              <w:t>Investment Company Act</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46</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6.21</w:t>
            </w:r>
          </w:p>
        </w:tc>
        <w:tc>
          <w:tcPr>
            <w:tcW w:w="7400" w:type="dxa"/>
            <w:vAlign w:val="bottom"/>
          </w:tcPr>
          <w:p>
            <w:pPr>
              <w:ind w:left="420"/>
              <w:spacing w:after="0"/>
              <w:rPr>
                <w:sz w:val="20"/>
                <w:szCs w:val="20"/>
                <w:color w:val="auto"/>
              </w:rPr>
            </w:pPr>
            <w:r>
              <w:rPr>
                <w:rFonts w:ascii="Arial" w:cs="Arial" w:eastAsia="Arial" w:hAnsi="Arial"/>
                <w:sz w:val="22"/>
                <w:szCs w:val="22"/>
                <w:color w:val="0000FF"/>
              </w:rPr>
              <w:t>OFAC</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46</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6.22</w:t>
            </w:r>
          </w:p>
        </w:tc>
        <w:tc>
          <w:tcPr>
            <w:tcW w:w="7400" w:type="dxa"/>
            <w:vAlign w:val="bottom"/>
          </w:tcPr>
          <w:p>
            <w:pPr>
              <w:ind w:left="420"/>
              <w:spacing w:after="0"/>
              <w:rPr>
                <w:sz w:val="20"/>
                <w:szCs w:val="20"/>
                <w:color w:val="auto"/>
              </w:rPr>
            </w:pPr>
            <w:r>
              <w:rPr>
                <w:rFonts w:ascii="Arial" w:cs="Arial" w:eastAsia="Arial" w:hAnsi="Arial"/>
                <w:sz w:val="22"/>
                <w:szCs w:val="22"/>
                <w:color w:val="0000FF"/>
              </w:rPr>
              <w:t>Deposit and Disbursement Accounts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47</w:t>
            </w:r>
          </w:p>
        </w:tc>
      </w:tr>
      <w:tr>
        <w:trPr>
          <w:trHeight w:val="274"/>
        </w:trPr>
        <w:tc>
          <w:tcPr>
            <w:tcW w:w="2120" w:type="dxa"/>
            <w:vAlign w:val="bottom"/>
          </w:tcPr>
          <w:p>
            <w:pPr>
              <w:ind w:left="340"/>
              <w:spacing w:after="0"/>
              <w:rPr>
                <w:sz w:val="20"/>
                <w:szCs w:val="20"/>
                <w:color w:val="auto"/>
              </w:rPr>
            </w:pPr>
            <w:r>
              <w:rPr>
                <w:rFonts w:ascii="Arial" w:cs="Arial" w:eastAsia="Arial" w:hAnsi="Arial"/>
                <w:sz w:val="22"/>
                <w:szCs w:val="22"/>
                <w:color w:val="0000FF"/>
              </w:rPr>
              <w:t>SECTION 6.23</w:t>
            </w:r>
          </w:p>
        </w:tc>
        <w:tc>
          <w:tcPr>
            <w:tcW w:w="7400" w:type="dxa"/>
            <w:vAlign w:val="bottom"/>
          </w:tcPr>
          <w:p>
            <w:pPr>
              <w:ind w:left="420"/>
              <w:spacing w:after="0"/>
              <w:rPr>
                <w:sz w:val="20"/>
                <w:szCs w:val="20"/>
                <w:color w:val="auto"/>
              </w:rPr>
            </w:pPr>
            <w:r>
              <w:rPr>
                <w:rFonts w:ascii="Arial" w:cs="Arial" w:eastAsia="Arial" w:hAnsi="Arial"/>
                <w:sz w:val="22"/>
                <w:szCs w:val="22"/>
                <w:color w:val="0000FF"/>
              </w:rPr>
              <w:t>Data Privacy and Information Security</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47</w:t>
            </w:r>
          </w:p>
        </w:tc>
      </w:tr>
      <w:tr>
        <w:trPr>
          <w:trHeight w:val="536"/>
        </w:trPr>
        <w:tc>
          <w:tcPr>
            <w:tcW w:w="2120" w:type="dxa"/>
            <w:vAlign w:val="bottom"/>
          </w:tcPr>
          <w:p>
            <w:pPr>
              <w:ind w:left="20"/>
              <w:spacing w:after="0"/>
              <w:rPr>
                <w:sz w:val="20"/>
                <w:szCs w:val="20"/>
                <w:color w:val="auto"/>
              </w:rPr>
            </w:pPr>
            <w:r>
              <w:rPr>
                <w:rFonts w:ascii="Arial" w:cs="Arial" w:eastAsia="Arial" w:hAnsi="Arial"/>
                <w:sz w:val="22"/>
                <w:szCs w:val="22"/>
                <w:color w:val="0000FF"/>
              </w:rPr>
              <w:t>ARTICLE VII</w:t>
            </w:r>
          </w:p>
        </w:tc>
        <w:tc>
          <w:tcPr>
            <w:tcW w:w="7400" w:type="dxa"/>
            <w:vAlign w:val="bottom"/>
          </w:tcPr>
          <w:p>
            <w:pPr>
              <w:ind w:left="420"/>
              <w:spacing w:after="0"/>
              <w:rPr>
                <w:sz w:val="20"/>
                <w:szCs w:val="20"/>
                <w:color w:val="auto"/>
              </w:rPr>
            </w:pPr>
            <w:r>
              <w:rPr>
                <w:rFonts w:ascii="Arial" w:cs="Arial" w:eastAsia="Arial" w:hAnsi="Arial"/>
                <w:sz w:val="22"/>
                <w:szCs w:val="22"/>
                <w:color w:val="0000FF"/>
              </w:rPr>
              <w:t>AFFIRMATIVE COVENANTS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48</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7.1</w:t>
            </w:r>
          </w:p>
        </w:tc>
        <w:tc>
          <w:tcPr>
            <w:tcW w:w="7400" w:type="dxa"/>
            <w:vAlign w:val="bottom"/>
          </w:tcPr>
          <w:p>
            <w:pPr>
              <w:ind w:left="420"/>
              <w:spacing w:after="0"/>
              <w:rPr>
                <w:sz w:val="20"/>
                <w:szCs w:val="20"/>
                <w:color w:val="auto"/>
              </w:rPr>
            </w:pPr>
            <w:r>
              <w:rPr>
                <w:rFonts w:ascii="Arial" w:cs="Arial" w:eastAsia="Arial" w:hAnsi="Arial"/>
                <w:sz w:val="22"/>
                <w:szCs w:val="22"/>
                <w:color w:val="0000FF"/>
              </w:rPr>
              <w:t>Financial Information, Reports, Notices, Etc</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48</w:t>
            </w:r>
          </w:p>
        </w:tc>
      </w:tr>
      <w:tr>
        <w:trPr>
          <w:trHeight w:val="256"/>
        </w:trPr>
        <w:tc>
          <w:tcPr>
            <w:tcW w:w="2120" w:type="dxa"/>
            <w:vAlign w:val="bottom"/>
          </w:tcPr>
          <w:p>
            <w:pPr>
              <w:ind w:left="340"/>
              <w:spacing w:after="0"/>
              <w:rPr>
                <w:sz w:val="20"/>
                <w:szCs w:val="20"/>
                <w:color w:val="auto"/>
              </w:rPr>
            </w:pPr>
            <w:r>
              <w:rPr>
                <w:rFonts w:ascii="Arial" w:cs="Arial" w:eastAsia="Arial" w:hAnsi="Arial"/>
                <w:sz w:val="22"/>
                <w:szCs w:val="22"/>
                <w:color w:val="0000FF"/>
              </w:rPr>
              <w:t>SECTION 7.2</w:t>
            </w:r>
          </w:p>
        </w:tc>
        <w:tc>
          <w:tcPr>
            <w:tcW w:w="7400" w:type="dxa"/>
            <w:vAlign w:val="bottom"/>
          </w:tcPr>
          <w:p>
            <w:pPr>
              <w:ind w:left="420"/>
              <w:spacing w:after="0"/>
              <w:rPr>
                <w:sz w:val="20"/>
                <w:szCs w:val="20"/>
                <w:color w:val="auto"/>
              </w:rPr>
            </w:pPr>
            <w:r>
              <w:rPr>
                <w:rFonts w:ascii="Arial" w:cs="Arial" w:eastAsia="Arial" w:hAnsi="Arial"/>
                <w:sz w:val="22"/>
                <w:szCs w:val="22"/>
                <w:color w:val="0000FF"/>
              </w:rPr>
              <w:t>Maintenance of Existence; Compliance with Contracts, Laws, Etc</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52</w:t>
            </w:r>
          </w:p>
        </w:tc>
      </w:tr>
      <w:tr>
        <w:trPr>
          <w:trHeight w:val="274"/>
        </w:trPr>
        <w:tc>
          <w:tcPr>
            <w:tcW w:w="2120" w:type="dxa"/>
            <w:vAlign w:val="bottom"/>
          </w:tcPr>
          <w:p>
            <w:pPr>
              <w:spacing w:after="0"/>
              <w:rPr>
                <w:sz w:val="23"/>
                <w:szCs w:val="23"/>
                <w:color w:val="auto"/>
              </w:rPr>
            </w:pPr>
          </w:p>
        </w:tc>
        <w:tc>
          <w:tcPr>
            <w:tcW w:w="7400" w:type="dxa"/>
            <w:vAlign w:val="bottom"/>
          </w:tcPr>
          <w:p>
            <w:pPr>
              <w:ind w:left="3320"/>
              <w:spacing w:after="0"/>
              <w:rPr>
                <w:sz w:val="20"/>
                <w:szCs w:val="20"/>
                <w:color w:val="auto"/>
              </w:rPr>
            </w:pPr>
            <w:r>
              <w:rPr>
                <w:rFonts w:ascii="Arial" w:cs="Arial" w:eastAsia="Arial" w:hAnsi="Arial"/>
                <w:sz w:val="22"/>
                <w:szCs w:val="22"/>
                <w:color w:val="auto"/>
              </w:rPr>
              <w:t>- ii -</w:t>
            </w:r>
          </w:p>
        </w:tc>
        <w:tc>
          <w:tcPr>
            <w:tcW w:w="13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645"/>
        </w:trPr>
        <w:tc>
          <w:tcPr>
            <w:tcW w:w="212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22"/>
          <w:szCs w:val="22"/>
          <w:color w:val="auto"/>
        </w:rPr>
        <w:t>TABLE OF CONTENTS</w:t>
      </w:r>
    </w:p>
    <w:p>
      <w:pPr>
        <w:jc w:val="center"/>
        <w:spacing w:after="0" w:line="238" w:lineRule="auto"/>
        <w:rPr>
          <w:sz w:val="20"/>
          <w:szCs w:val="20"/>
          <w:color w:val="auto"/>
        </w:rPr>
      </w:pPr>
      <w:r>
        <w:rPr>
          <w:rFonts w:ascii="Arial" w:cs="Arial" w:eastAsia="Arial" w:hAnsi="Arial"/>
          <w:sz w:val="22"/>
          <w:szCs w:val="22"/>
          <w:color w:val="auto"/>
        </w:rPr>
        <w:t>(continued)</w:t>
      </w:r>
    </w:p>
    <w:tbl>
      <w:tblPr>
        <w:tblLayout w:type="fixed"/>
        <w:tblInd w:w="0" w:type="dxa"/>
        <w:tblCellMar>
          <w:top w:w="0" w:type="dxa"/>
          <w:left w:w="0" w:type="dxa"/>
          <w:bottom w:w="0" w:type="dxa"/>
          <w:right w:w="0" w:type="dxa"/>
        </w:tblCellMar>
      </w:tblPr>
      <w:tr>
        <w:trPr>
          <w:trHeight w:val="206"/>
        </w:trPr>
        <w:tc>
          <w:tcPr>
            <w:tcW w:w="2120" w:type="dxa"/>
            <w:vAlign w:val="bottom"/>
          </w:tcPr>
          <w:p>
            <w:pPr>
              <w:spacing w:after="0"/>
              <w:rPr>
                <w:sz w:val="17"/>
                <w:szCs w:val="17"/>
                <w:color w:val="auto"/>
              </w:rPr>
            </w:pPr>
          </w:p>
        </w:tc>
        <w:tc>
          <w:tcPr>
            <w:tcW w:w="8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22"/>
                <w:szCs w:val="22"/>
                <w:color w:val="auto"/>
                <w:w w:val="77"/>
              </w:rPr>
              <w:t>Page</w:t>
            </w:r>
          </w:p>
        </w:tc>
      </w:tr>
      <w:tr>
        <w:trPr>
          <w:trHeight w:val="499"/>
        </w:trPr>
        <w:tc>
          <w:tcPr>
            <w:tcW w:w="2120" w:type="dxa"/>
            <w:vAlign w:val="bottom"/>
          </w:tcPr>
          <w:p>
            <w:pPr>
              <w:ind w:left="340"/>
              <w:spacing w:after="0"/>
              <w:rPr>
                <w:sz w:val="20"/>
                <w:szCs w:val="20"/>
                <w:color w:val="auto"/>
              </w:rPr>
            </w:pPr>
            <w:r>
              <w:rPr>
                <w:rFonts w:ascii="Arial" w:cs="Arial" w:eastAsia="Arial" w:hAnsi="Arial"/>
                <w:sz w:val="22"/>
                <w:szCs w:val="22"/>
                <w:color w:val="0000FF"/>
              </w:rPr>
              <w:t>SECTION 7.3</w:t>
            </w:r>
          </w:p>
        </w:tc>
        <w:tc>
          <w:tcPr>
            <w:tcW w:w="8540" w:type="dxa"/>
            <w:vAlign w:val="bottom"/>
          </w:tcPr>
          <w:p>
            <w:pPr>
              <w:ind w:left="420"/>
              <w:spacing w:after="0"/>
              <w:rPr>
                <w:sz w:val="20"/>
                <w:szCs w:val="20"/>
                <w:color w:val="auto"/>
              </w:rPr>
            </w:pPr>
            <w:r>
              <w:rPr>
                <w:rFonts w:ascii="Arial" w:cs="Arial" w:eastAsia="Arial" w:hAnsi="Arial"/>
                <w:sz w:val="22"/>
                <w:szCs w:val="22"/>
                <w:color w:val="0000FF"/>
              </w:rPr>
              <w:t>Maintenance of Properties</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52</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7.4</w:t>
            </w:r>
          </w:p>
        </w:tc>
        <w:tc>
          <w:tcPr>
            <w:tcW w:w="8540" w:type="dxa"/>
            <w:vAlign w:val="bottom"/>
          </w:tcPr>
          <w:p>
            <w:pPr>
              <w:ind w:left="420"/>
              <w:spacing w:after="0"/>
              <w:rPr>
                <w:sz w:val="20"/>
                <w:szCs w:val="20"/>
                <w:color w:val="auto"/>
              </w:rPr>
            </w:pPr>
            <w:r>
              <w:rPr>
                <w:rFonts w:ascii="Arial" w:cs="Arial" w:eastAsia="Arial" w:hAnsi="Arial"/>
                <w:sz w:val="22"/>
                <w:szCs w:val="22"/>
                <w:color w:val="0000FF"/>
              </w:rPr>
              <w:t>Insurance</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52</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7.5</w:t>
            </w:r>
          </w:p>
        </w:tc>
        <w:tc>
          <w:tcPr>
            <w:tcW w:w="8540" w:type="dxa"/>
            <w:vAlign w:val="bottom"/>
          </w:tcPr>
          <w:p>
            <w:pPr>
              <w:ind w:left="420"/>
              <w:spacing w:after="0"/>
              <w:rPr>
                <w:sz w:val="20"/>
                <w:szCs w:val="20"/>
                <w:color w:val="auto"/>
              </w:rPr>
            </w:pPr>
            <w:r>
              <w:rPr>
                <w:rFonts w:ascii="Arial" w:cs="Arial" w:eastAsia="Arial" w:hAnsi="Arial"/>
                <w:sz w:val="22"/>
                <w:szCs w:val="22"/>
                <w:color w:val="0000FF"/>
              </w:rPr>
              <w:t>Books and Records</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53</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7.6</w:t>
            </w:r>
          </w:p>
        </w:tc>
        <w:tc>
          <w:tcPr>
            <w:tcW w:w="8540" w:type="dxa"/>
            <w:vAlign w:val="bottom"/>
          </w:tcPr>
          <w:p>
            <w:pPr>
              <w:ind w:left="420"/>
              <w:spacing w:after="0"/>
              <w:rPr>
                <w:sz w:val="20"/>
                <w:szCs w:val="20"/>
                <w:color w:val="auto"/>
              </w:rPr>
            </w:pPr>
            <w:r>
              <w:rPr>
                <w:rFonts w:ascii="Arial" w:cs="Arial" w:eastAsia="Arial" w:hAnsi="Arial"/>
                <w:sz w:val="22"/>
                <w:szCs w:val="22"/>
                <w:color w:val="0000FF"/>
              </w:rPr>
              <w:t>Environmental Law Covenant</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53</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7.7</w:t>
            </w:r>
          </w:p>
        </w:tc>
        <w:tc>
          <w:tcPr>
            <w:tcW w:w="8540" w:type="dxa"/>
            <w:vAlign w:val="bottom"/>
          </w:tcPr>
          <w:p>
            <w:pPr>
              <w:ind w:left="420"/>
              <w:spacing w:after="0"/>
              <w:rPr>
                <w:sz w:val="20"/>
                <w:szCs w:val="20"/>
                <w:color w:val="auto"/>
              </w:rPr>
            </w:pPr>
            <w:r>
              <w:rPr>
                <w:rFonts w:ascii="Arial" w:cs="Arial" w:eastAsia="Arial" w:hAnsi="Arial"/>
                <w:sz w:val="22"/>
                <w:szCs w:val="22"/>
                <w:color w:val="0000FF"/>
              </w:rPr>
              <w:t>Use of Proceeds</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53</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7.8</w:t>
            </w:r>
          </w:p>
        </w:tc>
        <w:tc>
          <w:tcPr>
            <w:tcW w:w="8540" w:type="dxa"/>
            <w:vAlign w:val="bottom"/>
          </w:tcPr>
          <w:p>
            <w:pPr>
              <w:ind w:left="420"/>
              <w:spacing w:after="0"/>
              <w:rPr>
                <w:sz w:val="20"/>
                <w:szCs w:val="20"/>
                <w:color w:val="auto"/>
              </w:rPr>
            </w:pPr>
            <w:r>
              <w:rPr>
                <w:rFonts w:ascii="Arial" w:cs="Arial" w:eastAsia="Arial" w:hAnsi="Arial"/>
                <w:sz w:val="22"/>
                <w:szCs w:val="22"/>
                <w:color w:val="0000FF"/>
              </w:rPr>
              <w:t>Future Guarantors, Security, Etc</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53</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7.9</w:t>
            </w:r>
          </w:p>
        </w:tc>
        <w:tc>
          <w:tcPr>
            <w:tcW w:w="8540" w:type="dxa"/>
            <w:vAlign w:val="bottom"/>
          </w:tcPr>
          <w:p>
            <w:pPr>
              <w:ind w:left="420"/>
              <w:spacing w:after="0"/>
              <w:rPr>
                <w:sz w:val="20"/>
                <w:szCs w:val="20"/>
                <w:color w:val="auto"/>
              </w:rPr>
            </w:pPr>
            <w:r>
              <w:rPr>
                <w:rFonts w:ascii="Arial" w:cs="Arial" w:eastAsia="Arial" w:hAnsi="Arial"/>
                <w:sz w:val="22"/>
                <w:szCs w:val="22"/>
                <w:color w:val="0000FF"/>
              </w:rPr>
              <w:t>Obtaining of Permits, Etc</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54</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7.10</w:t>
            </w:r>
          </w:p>
        </w:tc>
        <w:tc>
          <w:tcPr>
            <w:tcW w:w="8540" w:type="dxa"/>
            <w:vAlign w:val="bottom"/>
          </w:tcPr>
          <w:p>
            <w:pPr>
              <w:ind w:left="420"/>
              <w:spacing w:after="0"/>
              <w:rPr>
                <w:sz w:val="20"/>
                <w:szCs w:val="20"/>
                <w:color w:val="auto"/>
              </w:rPr>
            </w:pPr>
            <w:r>
              <w:rPr>
                <w:rFonts w:ascii="Arial" w:cs="Arial" w:eastAsia="Arial" w:hAnsi="Arial"/>
                <w:sz w:val="22"/>
                <w:szCs w:val="22"/>
                <w:color w:val="0000FF"/>
              </w:rPr>
              <w:t>Maintenance of Regulatory Authorizations, Contracts, Intellectual Property, Etc</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54</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7.11</w:t>
            </w:r>
          </w:p>
        </w:tc>
        <w:tc>
          <w:tcPr>
            <w:tcW w:w="8540" w:type="dxa"/>
            <w:vAlign w:val="bottom"/>
          </w:tcPr>
          <w:p>
            <w:pPr>
              <w:ind w:left="420"/>
              <w:spacing w:after="0"/>
              <w:rPr>
                <w:sz w:val="20"/>
                <w:szCs w:val="20"/>
                <w:color w:val="auto"/>
              </w:rPr>
            </w:pPr>
            <w:r>
              <w:rPr>
                <w:rFonts w:ascii="Arial" w:cs="Arial" w:eastAsia="Arial" w:hAnsi="Arial"/>
                <w:sz w:val="22"/>
                <w:szCs w:val="22"/>
                <w:color w:val="0000FF"/>
              </w:rPr>
              <w:t>Inbound Licenses</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56</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7.12</w:t>
            </w:r>
          </w:p>
        </w:tc>
        <w:tc>
          <w:tcPr>
            <w:tcW w:w="8540" w:type="dxa"/>
            <w:vAlign w:val="bottom"/>
          </w:tcPr>
          <w:p>
            <w:pPr>
              <w:ind w:left="420"/>
              <w:spacing w:after="0"/>
              <w:rPr>
                <w:sz w:val="20"/>
                <w:szCs w:val="20"/>
                <w:color w:val="auto"/>
              </w:rPr>
            </w:pPr>
            <w:r>
              <w:rPr>
                <w:rFonts w:ascii="Arial" w:cs="Arial" w:eastAsia="Arial" w:hAnsi="Arial"/>
                <w:sz w:val="22"/>
                <w:szCs w:val="22"/>
                <w:color w:val="0000FF"/>
              </w:rPr>
              <w:t>Cash Management</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56</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7.13</w:t>
            </w:r>
          </w:p>
        </w:tc>
        <w:tc>
          <w:tcPr>
            <w:tcW w:w="8540" w:type="dxa"/>
            <w:vAlign w:val="bottom"/>
          </w:tcPr>
          <w:p>
            <w:pPr>
              <w:ind w:left="420"/>
              <w:spacing w:after="0"/>
              <w:rPr>
                <w:sz w:val="20"/>
                <w:szCs w:val="20"/>
                <w:color w:val="auto"/>
              </w:rPr>
            </w:pPr>
            <w:r>
              <w:rPr>
                <w:rFonts w:ascii="Arial" w:cs="Arial" w:eastAsia="Arial" w:hAnsi="Arial"/>
                <w:sz w:val="22"/>
                <w:szCs w:val="22"/>
                <w:color w:val="0000FF"/>
              </w:rPr>
              <w:t>Lender Calls</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57</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7.14</w:t>
            </w:r>
          </w:p>
        </w:tc>
        <w:tc>
          <w:tcPr>
            <w:tcW w:w="8540" w:type="dxa"/>
            <w:vAlign w:val="bottom"/>
          </w:tcPr>
          <w:p>
            <w:pPr>
              <w:ind w:left="420"/>
              <w:spacing w:after="0"/>
              <w:rPr>
                <w:sz w:val="20"/>
                <w:szCs w:val="20"/>
                <w:color w:val="auto"/>
              </w:rPr>
            </w:pPr>
            <w:r>
              <w:rPr>
                <w:rFonts w:ascii="Arial" w:cs="Arial" w:eastAsia="Arial" w:hAnsi="Arial"/>
                <w:sz w:val="22"/>
                <w:szCs w:val="22"/>
                <w:color w:val="0000FF"/>
              </w:rPr>
              <w:t>Product Licenses</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57</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7.15</w:t>
            </w:r>
          </w:p>
        </w:tc>
        <w:tc>
          <w:tcPr>
            <w:tcW w:w="8540" w:type="dxa"/>
            <w:vAlign w:val="bottom"/>
          </w:tcPr>
          <w:p>
            <w:pPr>
              <w:ind w:left="420"/>
              <w:spacing w:after="0"/>
              <w:rPr>
                <w:sz w:val="20"/>
                <w:szCs w:val="20"/>
                <w:color w:val="auto"/>
              </w:rPr>
            </w:pPr>
            <w:r>
              <w:rPr>
                <w:rFonts w:ascii="Arial" w:cs="Arial" w:eastAsia="Arial" w:hAnsi="Arial"/>
                <w:sz w:val="22"/>
                <w:szCs w:val="22"/>
                <w:color w:val="0000FF"/>
              </w:rPr>
              <w:t>Excluded Subsidiaries</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57</w:t>
            </w:r>
          </w:p>
        </w:tc>
      </w:tr>
      <w:tr>
        <w:trPr>
          <w:trHeight w:val="274"/>
        </w:trPr>
        <w:tc>
          <w:tcPr>
            <w:tcW w:w="2120" w:type="dxa"/>
            <w:vAlign w:val="bottom"/>
          </w:tcPr>
          <w:p>
            <w:pPr>
              <w:ind w:left="340"/>
              <w:spacing w:after="0"/>
              <w:rPr>
                <w:sz w:val="20"/>
                <w:szCs w:val="20"/>
                <w:color w:val="auto"/>
              </w:rPr>
            </w:pPr>
            <w:r>
              <w:rPr>
                <w:rFonts w:ascii="Arial" w:cs="Arial" w:eastAsia="Arial" w:hAnsi="Arial"/>
                <w:sz w:val="22"/>
                <w:szCs w:val="22"/>
                <w:color w:val="0000FF"/>
              </w:rPr>
              <w:t>SECTION 7.16</w:t>
            </w:r>
          </w:p>
        </w:tc>
        <w:tc>
          <w:tcPr>
            <w:tcW w:w="8540" w:type="dxa"/>
            <w:vAlign w:val="bottom"/>
          </w:tcPr>
          <w:p>
            <w:pPr>
              <w:ind w:left="420"/>
              <w:spacing w:after="0"/>
              <w:rPr>
                <w:sz w:val="20"/>
                <w:szCs w:val="20"/>
                <w:color w:val="auto"/>
              </w:rPr>
            </w:pPr>
            <w:r>
              <w:rPr>
                <w:rFonts w:ascii="Arial" w:cs="Arial" w:eastAsia="Arial" w:hAnsi="Arial"/>
                <w:sz w:val="22"/>
                <w:szCs w:val="22"/>
                <w:color w:val="0000FF"/>
              </w:rPr>
              <w:t>Post-Closing Covenants</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58</w:t>
            </w:r>
          </w:p>
        </w:tc>
      </w:tr>
      <w:tr>
        <w:trPr>
          <w:trHeight w:val="536"/>
        </w:trPr>
        <w:tc>
          <w:tcPr>
            <w:tcW w:w="2120" w:type="dxa"/>
            <w:vAlign w:val="bottom"/>
          </w:tcPr>
          <w:p>
            <w:pPr>
              <w:ind w:left="20"/>
              <w:spacing w:after="0"/>
              <w:rPr>
                <w:sz w:val="20"/>
                <w:szCs w:val="20"/>
                <w:color w:val="auto"/>
              </w:rPr>
            </w:pPr>
            <w:r>
              <w:rPr>
                <w:rFonts w:ascii="Arial" w:cs="Arial" w:eastAsia="Arial" w:hAnsi="Arial"/>
                <w:sz w:val="22"/>
                <w:szCs w:val="22"/>
                <w:color w:val="0000FF"/>
              </w:rPr>
              <w:t>ARTICLE VIII</w:t>
            </w:r>
          </w:p>
        </w:tc>
        <w:tc>
          <w:tcPr>
            <w:tcW w:w="8540" w:type="dxa"/>
            <w:vAlign w:val="bottom"/>
          </w:tcPr>
          <w:p>
            <w:pPr>
              <w:ind w:left="420"/>
              <w:spacing w:after="0"/>
              <w:rPr>
                <w:sz w:val="20"/>
                <w:szCs w:val="20"/>
                <w:color w:val="auto"/>
              </w:rPr>
            </w:pPr>
            <w:r>
              <w:rPr>
                <w:rFonts w:ascii="Arial" w:cs="Arial" w:eastAsia="Arial" w:hAnsi="Arial"/>
                <w:sz w:val="22"/>
                <w:szCs w:val="22"/>
                <w:color w:val="0000FF"/>
              </w:rPr>
              <w:t>NEGATIVE COVENANTS</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59</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8.1</w:t>
            </w:r>
          </w:p>
        </w:tc>
        <w:tc>
          <w:tcPr>
            <w:tcW w:w="8540" w:type="dxa"/>
            <w:vAlign w:val="bottom"/>
          </w:tcPr>
          <w:p>
            <w:pPr>
              <w:ind w:left="420"/>
              <w:spacing w:after="0"/>
              <w:rPr>
                <w:sz w:val="20"/>
                <w:szCs w:val="20"/>
                <w:color w:val="auto"/>
              </w:rPr>
            </w:pPr>
            <w:r>
              <w:rPr>
                <w:rFonts w:ascii="Arial" w:cs="Arial" w:eastAsia="Arial" w:hAnsi="Arial"/>
                <w:sz w:val="22"/>
                <w:szCs w:val="22"/>
                <w:color w:val="0000FF"/>
              </w:rPr>
              <w:t>Business Activities</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59</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8.2</w:t>
            </w:r>
          </w:p>
        </w:tc>
        <w:tc>
          <w:tcPr>
            <w:tcW w:w="8540" w:type="dxa"/>
            <w:vAlign w:val="bottom"/>
          </w:tcPr>
          <w:p>
            <w:pPr>
              <w:ind w:left="420"/>
              <w:spacing w:after="0"/>
              <w:rPr>
                <w:sz w:val="20"/>
                <w:szCs w:val="20"/>
                <w:color w:val="auto"/>
              </w:rPr>
            </w:pPr>
            <w:r>
              <w:rPr>
                <w:rFonts w:ascii="Arial" w:cs="Arial" w:eastAsia="Arial" w:hAnsi="Arial"/>
                <w:sz w:val="22"/>
                <w:szCs w:val="22"/>
                <w:color w:val="0000FF"/>
              </w:rPr>
              <w:t>Indebtedness</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59</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8.3</w:t>
            </w:r>
          </w:p>
        </w:tc>
        <w:tc>
          <w:tcPr>
            <w:tcW w:w="8540" w:type="dxa"/>
            <w:vAlign w:val="bottom"/>
          </w:tcPr>
          <w:p>
            <w:pPr>
              <w:ind w:left="420"/>
              <w:spacing w:after="0"/>
              <w:rPr>
                <w:sz w:val="20"/>
                <w:szCs w:val="20"/>
                <w:color w:val="auto"/>
              </w:rPr>
            </w:pPr>
            <w:r>
              <w:rPr>
                <w:rFonts w:ascii="Arial" w:cs="Arial" w:eastAsia="Arial" w:hAnsi="Arial"/>
                <w:sz w:val="22"/>
                <w:szCs w:val="22"/>
                <w:color w:val="0000FF"/>
              </w:rPr>
              <w:t>Liens</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60</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8.4</w:t>
            </w:r>
          </w:p>
        </w:tc>
        <w:tc>
          <w:tcPr>
            <w:tcW w:w="8540" w:type="dxa"/>
            <w:vAlign w:val="bottom"/>
          </w:tcPr>
          <w:p>
            <w:pPr>
              <w:ind w:left="420"/>
              <w:spacing w:after="0"/>
              <w:rPr>
                <w:sz w:val="20"/>
                <w:szCs w:val="20"/>
                <w:color w:val="auto"/>
              </w:rPr>
            </w:pPr>
            <w:r>
              <w:rPr>
                <w:rFonts w:ascii="Arial" w:cs="Arial" w:eastAsia="Arial" w:hAnsi="Arial"/>
                <w:sz w:val="22"/>
                <w:szCs w:val="22"/>
                <w:color w:val="0000FF"/>
              </w:rPr>
              <w:t>Financial Covenant</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61</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8.5</w:t>
            </w:r>
          </w:p>
        </w:tc>
        <w:tc>
          <w:tcPr>
            <w:tcW w:w="8540" w:type="dxa"/>
            <w:vAlign w:val="bottom"/>
          </w:tcPr>
          <w:p>
            <w:pPr>
              <w:ind w:left="420"/>
              <w:spacing w:after="0"/>
              <w:rPr>
                <w:sz w:val="20"/>
                <w:szCs w:val="20"/>
                <w:color w:val="auto"/>
              </w:rPr>
            </w:pPr>
            <w:r>
              <w:rPr>
                <w:rFonts w:ascii="Arial" w:cs="Arial" w:eastAsia="Arial" w:hAnsi="Arial"/>
                <w:sz w:val="22"/>
                <w:szCs w:val="22"/>
                <w:color w:val="0000FF"/>
              </w:rPr>
              <w:t>Investments</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61</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8.6</w:t>
            </w:r>
          </w:p>
        </w:tc>
        <w:tc>
          <w:tcPr>
            <w:tcW w:w="8540" w:type="dxa"/>
            <w:vAlign w:val="bottom"/>
          </w:tcPr>
          <w:p>
            <w:pPr>
              <w:ind w:left="420"/>
              <w:spacing w:after="0"/>
              <w:rPr>
                <w:sz w:val="20"/>
                <w:szCs w:val="20"/>
                <w:color w:val="auto"/>
              </w:rPr>
            </w:pPr>
            <w:r>
              <w:rPr>
                <w:rFonts w:ascii="Arial" w:cs="Arial" w:eastAsia="Arial" w:hAnsi="Arial"/>
                <w:sz w:val="22"/>
                <w:szCs w:val="22"/>
                <w:color w:val="0000FF"/>
              </w:rPr>
              <w:t>Restricted Payments, Etc</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62</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8.7</w:t>
            </w:r>
          </w:p>
        </w:tc>
        <w:tc>
          <w:tcPr>
            <w:tcW w:w="8540" w:type="dxa"/>
            <w:vAlign w:val="bottom"/>
          </w:tcPr>
          <w:p>
            <w:pPr>
              <w:ind w:left="420"/>
              <w:spacing w:after="0"/>
              <w:rPr>
                <w:sz w:val="20"/>
                <w:szCs w:val="20"/>
                <w:color w:val="auto"/>
              </w:rPr>
            </w:pPr>
            <w:r>
              <w:rPr>
                <w:rFonts w:ascii="Arial" w:cs="Arial" w:eastAsia="Arial" w:hAnsi="Arial"/>
                <w:sz w:val="22"/>
                <w:szCs w:val="22"/>
                <w:color w:val="0000FF"/>
              </w:rPr>
              <w:t>Consolidation, Merger; Permitted Acquisitions, Etc</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62</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8.8</w:t>
            </w:r>
          </w:p>
        </w:tc>
        <w:tc>
          <w:tcPr>
            <w:tcW w:w="8540" w:type="dxa"/>
            <w:vAlign w:val="bottom"/>
          </w:tcPr>
          <w:p>
            <w:pPr>
              <w:ind w:left="420"/>
              <w:spacing w:after="0"/>
              <w:rPr>
                <w:sz w:val="20"/>
                <w:szCs w:val="20"/>
                <w:color w:val="auto"/>
              </w:rPr>
            </w:pPr>
            <w:r>
              <w:rPr>
                <w:rFonts w:ascii="Arial" w:cs="Arial" w:eastAsia="Arial" w:hAnsi="Arial"/>
                <w:sz w:val="22"/>
                <w:szCs w:val="22"/>
                <w:color w:val="0000FF"/>
              </w:rPr>
              <w:t>Permitted Dispositions</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62</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8.9</w:t>
            </w:r>
          </w:p>
        </w:tc>
        <w:tc>
          <w:tcPr>
            <w:tcW w:w="8540" w:type="dxa"/>
            <w:vAlign w:val="bottom"/>
          </w:tcPr>
          <w:p>
            <w:pPr>
              <w:ind w:left="420"/>
              <w:spacing w:after="0"/>
              <w:rPr>
                <w:sz w:val="20"/>
                <w:szCs w:val="20"/>
                <w:color w:val="auto"/>
              </w:rPr>
            </w:pPr>
            <w:r>
              <w:rPr>
                <w:rFonts w:ascii="Arial" w:cs="Arial" w:eastAsia="Arial" w:hAnsi="Arial"/>
                <w:sz w:val="22"/>
                <w:szCs w:val="22"/>
                <w:color w:val="0000FF"/>
              </w:rPr>
              <w:t>Modification of Certain Agreements</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63</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8.10</w:t>
            </w:r>
          </w:p>
        </w:tc>
        <w:tc>
          <w:tcPr>
            <w:tcW w:w="8540" w:type="dxa"/>
            <w:vAlign w:val="bottom"/>
          </w:tcPr>
          <w:p>
            <w:pPr>
              <w:ind w:left="420"/>
              <w:spacing w:after="0"/>
              <w:rPr>
                <w:sz w:val="20"/>
                <w:szCs w:val="20"/>
                <w:color w:val="auto"/>
              </w:rPr>
            </w:pPr>
            <w:r>
              <w:rPr>
                <w:rFonts w:ascii="Arial" w:cs="Arial" w:eastAsia="Arial" w:hAnsi="Arial"/>
                <w:sz w:val="22"/>
                <w:szCs w:val="22"/>
                <w:color w:val="0000FF"/>
              </w:rPr>
              <w:t>Transactions with Affiliates</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63</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8.11</w:t>
            </w:r>
          </w:p>
        </w:tc>
        <w:tc>
          <w:tcPr>
            <w:tcW w:w="8540" w:type="dxa"/>
            <w:vAlign w:val="bottom"/>
          </w:tcPr>
          <w:p>
            <w:pPr>
              <w:ind w:left="420"/>
              <w:spacing w:after="0"/>
              <w:rPr>
                <w:sz w:val="20"/>
                <w:szCs w:val="20"/>
                <w:color w:val="auto"/>
              </w:rPr>
            </w:pPr>
            <w:r>
              <w:rPr>
                <w:rFonts w:ascii="Arial" w:cs="Arial" w:eastAsia="Arial" w:hAnsi="Arial"/>
                <w:sz w:val="22"/>
                <w:szCs w:val="22"/>
                <w:color w:val="0000FF"/>
              </w:rPr>
              <w:t>Restrictive Agreements, Etc</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63</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8.12</w:t>
            </w:r>
          </w:p>
        </w:tc>
        <w:tc>
          <w:tcPr>
            <w:tcW w:w="8540" w:type="dxa"/>
            <w:vAlign w:val="bottom"/>
          </w:tcPr>
          <w:p>
            <w:pPr>
              <w:ind w:left="420"/>
              <w:spacing w:after="0"/>
              <w:rPr>
                <w:sz w:val="20"/>
                <w:szCs w:val="20"/>
                <w:color w:val="auto"/>
              </w:rPr>
            </w:pPr>
            <w:r>
              <w:rPr>
                <w:rFonts w:ascii="Arial" w:cs="Arial" w:eastAsia="Arial" w:hAnsi="Arial"/>
                <w:sz w:val="22"/>
                <w:szCs w:val="22"/>
                <w:color w:val="0000FF"/>
              </w:rPr>
              <w:t>Sale and Leaseback</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64</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8.13</w:t>
            </w:r>
          </w:p>
        </w:tc>
        <w:tc>
          <w:tcPr>
            <w:tcW w:w="8540" w:type="dxa"/>
            <w:vAlign w:val="bottom"/>
          </w:tcPr>
          <w:p>
            <w:pPr>
              <w:ind w:left="420"/>
              <w:spacing w:after="0"/>
              <w:rPr>
                <w:sz w:val="20"/>
                <w:szCs w:val="20"/>
                <w:color w:val="auto"/>
              </w:rPr>
            </w:pPr>
            <w:r>
              <w:rPr>
                <w:rFonts w:ascii="Arial" w:cs="Arial" w:eastAsia="Arial" w:hAnsi="Arial"/>
                <w:sz w:val="22"/>
                <w:szCs w:val="22"/>
                <w:color w:val="0000FF"/>
              </w:rPr>
              <w:t>Product Agreements</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64</w:t>
            </w:r>
          </w:p>
        </w:tc>
      </w:tr>
      <w:tr>
        <w:trPr>
          <w:trHeight w:val="243"/>
        </w:trPr>
        <w:tc>
          <w:tcPr>
            <w:tcW w:w="2120" w:type="dxa"/>
            <w:vAlign w:val="bottom"/>
          </w:tcPr>
          <w:p>
            <w:pPr>
              <w:ind w:left="340"/>
              <w:spacing w:after="0" w:line="243" w:lineRule="exact"/>
              <w:rPr>
                <w:sz w:val="20"/>
                <w:szCs w:val="20"/>
                <w:color w:val="auto"/>
              </w:rPr>
            </w:pPr>
            <w:r>
              <w:rPr>
                <w:rFonts w:ascii="Arial" w:cs="Arial" w:eastAsia="Arial" w:hAnsi="Arial"/>
                <w:sz w:val="22"/>
                <w:szCs w:val="22"/>
                <w:color w:val="0000FF"/>
              </w:rPr>
              <w:t>SECTION 8.14</w:t>
            </w:r>
          </w:p>
        </w:tc>
        <w:tc>
          <w:tcPr>
            <w:tcW w:w="8540" w:type="dxa"/>
            <w:vAlign w:val="bottom"/>
          </w:tcPr>
          <w:p>
            <w:pPr>
              <w:ind w:left="420"/>
              <w:spacing w:after="0" w:line="243" w:lineRule="exact"/>
              <w:rPr>
                <w:sz w:val="20"/>
                <w:szCs w:val="20"/>
                <w:color w:val="auto"/>
              </w:rPr>
            </w:pPr>
            <w:r>
              <w:rPr>
                <w:rFonts w:ascii="Arial" w:cs="Arial" w:eastAsia="Arial" w:hAnsi="Arial"/>
                <w:sz w:val="22"/>
                <w:szCs w:val="22"/>
                <w:color w:val="0000FF"/>
                <w:w w:val="91"/>
              </w:rPr>
              <w:t>Change in Name, Location or Executive Office or Executive Management; Change in Fiscal</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70"/>
        </w:trPr>
        <w:tc>
          <w:tcPr>
            <w:tcW w:w="2120" w:type="dxa"/>
            <w:vAlign w:val="bottom"/>
          </w:tcPr>
          <w:p>
            <w:pPr>
              <w:spacing w:after="0"/>
              <w:rPr>
                <w:sz w:val="23"/>
                <w:szCs w:val="23"/>
                <w:color w:val="auto"/>
              </w:rPr>
            </w:pPr>
          </w:p>
        </w:tc>
        <w:tc>
          <w:tcPr>
            <w:tcW w:w="8540" w:type="dxa"/>
            <w:vAlign w:val="bottom"/>
          </w:tcPr>
          <w:p>
            <w:pPr>
              <w:ind w:left="420"/>
              <w:spacing w:after="0"/>
              <w:rPr>
                <w:sz w:val="20"/>
                <w:szCs w:val="20"/>
                <w:color w:val="auto"/>
              </w:rPr>
            </w:pPr>
            <w:r>
              <w:rPr>
                <w:rFonts w:ascii="Arial" w:cs="Arial" w:eastAsia="Arial" w:hAnsi="Arial"/>
                <w:sz w:val="22"/>
                <w:szCs w:val="22"/>
                <w:color w:val="0000FF"/>
              </w:rPr>
              <w:t>Year</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64</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8.15</w:t>
            </w:r>
          </w:p>
        </w:tc>
        <w:tc>
          <w:tcPr>
            <w:tcW w:w="8540" w:type="dxa"/>
            <w:vAlign w:val="bottom"/>
          </w:tcPr>
          <w:p>
            <w:pPr>
              <w:ind w:left="420"/>
              <w:spacing w:after="0"/>
              <w:rPr>
                <w:sz w:val="20"/>
                <w:szCs w:val="20"/>
                <w:color w:val="auto"/>
              </w:rPr>
            </w:pPr>
            <w:r>
              <w:rPr>
                <w:rFonts w:ascii="Arial" w:cs="Arial" w:eastAsia="Arial" w:hAnsi="Arial"/>
                <w:sz w:val="22"/>
                <w:szCs w:val="22"/>
                <w:color w:val="0000FF"/>
              </w:rPr>
              <w:t>Benefit Plans and Agreements</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64</w:t>
            </w:r>
          </w:p>
        </w:tc>
      </w:tr>
      <w:tr>
        <w:trPr>
          <w:trHeight w:val="274"/>
        </w:trPr>
        <w:tc>
          <w:tcPr>
            <w:tcW w:w="2120" w:type="dxa"/>
            <w:vAlign w:val="bottom"/>
          </w:tcPr>
          <w:p>
            <w:pPr>
              <w:ind w:left="340"/>
              <w:spacing w:after="0"/>
              <w:rPr>
                <w:sz w:val="20"/>
                <w:szCs w:val="20"/>
                <w:color w:val="auto"/>
              </w:rPr>
            </w:pPr>
            <w:r>
              <w:rPr>
                <w:rFonts w:ascii="Arial" w:cs="Arial" w:eastAsia="Arial" w:hAnsi="Arial"/>
                <w:sz w:val="22"/>
                <w:szCs w:val="22"/>
                <w:color w:val="0000FF"/>
              </w:rPr>
              <w:t>SECTION 8.16</w:t>
            </w:r>
          </w:p>
        </w:tc>
        <w:tc>
          <w:tcPr>
            <w:tcW w:w="8540" w:type="dxa"/>
            <w:vAlign w:val="bottom"/>
          </w:tcPr>
          <w:p>
            <w:pPr>
              <w:ind w:left="420"/>
              <w:spacing w:after="0"/>
              <w:rPr>
                <w:sz w:val="20"/>
                <w:szCs w:val="20"/>
                <w:color w:val="auto"/>
              </w:rPr>
            </w:pPr>
            <w:r>
              <w:rPr>
                <w:rFonts w:ascii="Arial" w:cs="Arial" w:eastAsia="Arial" w:hAnsi="Arial"/>
                <w:sz w:val="22"/>
                <w:szCs w:val="22"/>
                <w:color w:val="0000FF"/>
              </w:rPr>
              <w:t>Conduct of Business by the Excluded Subsidiaries</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65</w:t>
            </w:r>
          </w:p>
        </w:tc>
      </w:tr>
      <w:tr>
        <w:trPr>
          <w:trHeight w:val="536"/>
        </w:trPr>
        <w:tc>
          <w:tcPr>
            <w:tcW w:w="2120" w:type="dxa"/>
            <w:vAlign w:val="bottom"/>
          </w:tcPr>
          <w:p>
            <w:pPr>
              <w:ind w:left="20"/>
              <w:spacing w:after="0"/>
              <w:rPr>
                <w:sz w:val="20"/>
                <w:szCs w:val="20"/>
                <w:color w:val="auto"/>
              </w:rPr>
            </w:pPr>
            <w:r>
              <w:rPr>
                <w:rFonts w:ascii="Arial" w:cs="Arial" w:eastAsia="Arial" w:hAnsi="Arial"/>
                <w:sz w:val="22"/>
                <w:szCs w:val="22"/>
                <w:color w:val="0000FF"/>
              </w:rPr>
              <w:t>ARTICLE IX</w:t>
            </w:r>
          </w:p>
        </w:tc>
        <w:tc>
          <w:tcPr>
            <w:tcW w:w="8540" w:type="dxa"/>
            <w:vAlign w:val="bottom"/>
          </w:tcPr>
          <w:p>
            <w:pPr>
              <w:ind w:left="420"/>
              <w:spacing w:after="0"/>
              <w:rPr>
                <w:sz w:val="20"/>
                <w:szCs w:val="20"/>
                <w:color w:val="auto"/>
              </w:rPr>
            </w:pPr>
            <w:r>
              <w:rPr>
                <w:rFonts w:ascii="Arial" w:cs="Arial" w:eastAsia="Arial" w:hAnsi="Arial"/>
                <w:sz w:val="22"/>
                <w:szCs w:val="22"/>
                <w:color w:val="0000FF"/>
              </w:rPr>
              <w:t>EVENTS OF DEFAULT</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65</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9.1</w:t>
            </w:r>
          </w:p>
        </w:tc>
        <w:tc>
          <w:tcPr>
            <w:tcW w:w="8540" w:type="dxa"/>
            <w:vAlign w:val="bottom"/>
          </w:tcPr>
          <w:p>
            <w:pPr>
              <w:ind w:left="420"/>
              <w:spacing w:after="0"/>
              <w:rPr>
                <w:sz w:val="20"/>
                <w:szCs w:val="20"/>
                <w:color w:val="auto"/>
              </w:rPr>
            </w:pPr>
            <w:r>
              <w:rPr>
                <w:rFonts w:ascii="Arial" w:cs="Arial" w:eastAsia="Arial" w:hAnsi="Arial"/>
                <w:sz w:val="22"/>
                <w:szCs w:val="22"/>
                <w:color w:val="0000FF"/>
              </w:rPr>
              <w:t>Listing of Events of Default</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65</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9.2</w:t>
            </w:r>
          </w:p>
        </w:tc>
        <w:tc>
          <w:tcPr>
            <w:tcW w:w="8540" w:type="dxa"/>
            <w:vAlign w:val="bottom"/>
          </w:tcPr>
          <w:p>
            <w:pPr>
              <w:ind w:left="420"/>
              <w:spacing w:after="0"/>
              <w:rPr>
                <w:sz w:val="20"/>
                <w:szCs w:val="20"/>
                <w:color w:val="auto"/>
              </w:rPr>
            </w:pPr>
            <w:r>
              <w:rPr>
                <w:rFonts w:ascii="Arial" w:cs="Arial" w:eastAsia="Arial" w:hAnsi="Arial"/>
                <w:sz w:val="22"/>
                <w:szCs w:val="22"/>
                <w:color w:val="0000FF"/>
              </w:rPr>
              <w:t>Action if Bankruptcy</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68</w:t>
            </w:r>
          </w:p>
        </w:tc>
      </w:tr>
      <w:tr>
        <w:trPr>
          <w:trHeight w:val="270"/>
        </w:trPr>
        <w:tc>
          <w:tcPr>
            <w:tcW w:w="2120" w:type="dxa"/>
            <w:vAlign w:val="bottom"/>
          </w:tcPr>
          <w:p>
            <w:pPr>
              <w:ind w:left="340"/>
              <w:spacing w:after="0"/>
              <w:rPr>
                <w:sz w:val="20"/>
                <w:szCs w:val="20"/>
                <w:color w:val="auto"/>
              </w:rPr>
            </w:pPr>
            <w:r>
              <w:rPr>
                <w:rFonts w:ascii="Arial" w:cs="Arial" w:eastAsia="Arial" w:hAnsi="Arial"/>
                <w:sz w:val="22"/>
                <w:szCs w:val="22"/>
                <w:color w:val="0000FF"/>
              </w:rPr>
              <w:t>SECTION 9.3</w:t>
            </w:r>
          </w:p>
        </w:tc>
        <w:tc>
          <w:tcPr>
            <w:tcW w:w="8540" w:type="dxa"/>
            <w:vAlign w:val="bottom"/>
          </w:tcPr>
          <w:p>
            <w:pPr>
              <w:ind w:left="420"/>
              <w:spacing w:after="0"/>
              <w:rPr>
                <w:sz w:val="20"/>
                <w:szCs w:val="20"/>
                <w:color w:val="auto"/>
              </w:rPr>
            </w:pPr>
            <w:r>
              <w:rPr>
                <w:rFonts w:ascii="Arial" w:cs="Arial" w:eastAsia="Arial" w:hAnsi="Arial"/>
                <w:sz w:val="22"/>
                <w:szCs w:val="22"/>
                <w:color w:val="0000FF"/>
              </w:rPr>
              <w:t>Action if Other Event of Default</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68</w:t>
            </w:r>
          </w:p>
        </w:tc>
      </w:tr>
      <w:tr>
        <w:trPr>
          <w:trHeight w:val="256"/>
        </w:trPr>
        <w:tc>
          <w:tcPr>
            <w:tcW w:w="2120" w:type="dxa"/>
            <w:vAlign w:val="bottom"/>
          </w:tcPr>
          <w:p>
            <w:pPr>
              <w:ind w:left="340"/>
              <w:spacing w:after="0"/>
              <w:rPr>
                <w:sz w:val="20"/>
                <w:szCs w:val="20"/>
                <w:color w:val="auto"/>
              </w:rPr>
            </w:pPr>
            <w:r>
              <w:rPr>
                <w:rFonts w:ascii="Arial" w:cs="Arial" w:eastAsia="Arial" w:hAnsi="Arial"/>
                <w:sz w:val="22"/>
                <w:szCs w:val="22"/>
                <w:color w:val="0000FF"/>
              </w:rPr>
              <w:t>SECTION 9.4</w:t>
            </w:r>
          </w:p>
        </w:tc>
        <w:tc>
          <w:tcPr>
            <w:tcW w:w="8540" w:type="dxa"/>
            <w:vAlign w:val="bottom"/>
          </w:tcPr>
          <w:p>
            <w:pPr>
              <w:ind w:left="420"/>
              <w:spacing w:after="0"/>
              <w:rPr>
                <w:sz w:val="20"/>
                <w:szCs w:val="20"/>
                <w:color w:val="auto"/>
              </w:rPr>
            </w:pPr>
            <w:r>
              <w:rPr>
                <w:rFonts w:ascii="Arial" w:cs="Arial" w:eastAsia="Arial" w:hAnsi="Arial"/>
                <w:sz w:val="22"/>
                <w:szCs w:val="22"/>
                <w:color w:val="0000FF"/>
              </w:rPr>
              <w:t>Application of Funds</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68</w:t>
            </w:r>
          </w:p>
        </w:tc>
      </w:tr>
      <w:tr>
        <w:trPr>
          <w:trHeight w:val="274"/>
        </w:trPr>
        <w:tc>
          <w:tcPr>
            <w:tcW w:w="2120" w:type="dxa"/>
            <w:vAlign w:val="bottom"/>
          </w:tcPr>
          <w:p>
            <w:pPr>
              <w:spacing w:after="0"/>
              <w:rPr>
                <w:sz w:val="23"/>
                <w:szCs w:val="23"/>
                <w:color w:val="auto"/>
              </w:rPr>
            </w:pPr>
          </w:p>
        </w:tc>
        <w:tc>
          <w:tcPr>
            <w:tcW w:w="8540" w:type="dxa"/>
            <w:vAlign w:val="bottom"/>
          </w:tcPr>
          <w:p>
            <w:pPr>
              <w:ind w:left="3280"/>
              <w:spacing w:after="0"/>
              <w:rPr>
                <w:sz w:val="20"/>
                <w:szCs w:val="20"/>
                <w:color w:val="auto"/>
              </w:rPr>
            </w:pPr>
            <w:r>
              <w:rPr>
                <w:rFonts w:ascii="Arial" w:cs="Arial" w:eastAsia="Arial" w:hAnsi="Arial"/>
                <w:sz w:val="22"/>
                <w:szCs w:val="22"/>
                <w:color w:val="auto"/>
              </w:rPr>
              <w:t>- iii -</w:t>
            </w: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645"/>
        </w:trPr>
        <w:tc>
          <w:tcPr>
            <w:tcW w:w="212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22"/>
          <w:szCs w:val="22"/>
          <w:color w:val="auto"/>
        </w:rPr>
        <w:t>TABLE OF CONTENTS</w:t>
      </w:r>
    </w:p>
    <w:p>
      <w:pPr>
        <w:jc w:val="center"/>
        <w:spacing w:after="0" w:line="238" w:lineRule="auto"/>
        <w:rPr>
          <w:sz w:val="20"/>
          <w:szCs w:val="20"/>
          <w:color w:val="auto"/>
        </w:rPr>
      </w:pPr>
      <w:r>
        <w:rPr>
          <w:rFonts w:ascii="Arial" w:cs="Arial" w:eastAsia="Arial" w:hAnsi="Arial"/>
          <w:sz w:val="22"/>
          <w:szCs w:val="22"/>
          <w:color w:val="auto"/>
        </w:rPr>
        <w:t>(continued)</w:t>
      </w:r>
    </w:p>
    <w:tbl>
      <w:tblPr>
        <w:tblLayout w:type="fixed"/>
        <w:tblInd w:w="0" w:type="dxa"/>
        <w:tblCellMar>
          <w:top w:w="0" w:type="dxa"/>
          <w:left w:w="0" w:type="dxa"/>
          <w:bottom w:w="0" w:type="dxa"/>
          <w:right w:w="0" w:type="dxa"/>
        </w:tblCellMar>
      </w:tblPr>
      <w:tr>
        <w:trPr>
          <w:trHeight w:val="206"/>
        </w:trPr>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22"/>
                <w:szCs w:val="22"/>
                <w:color w:val="auto"/>
                <w:w w:val="77"/>
              </w:rPr>
              <w:t>Page</w:t>
            </w:r>
          </w:p>
        </w:tc>
      </w:tr>
      <w:tr>
        <w:trPr>
          <w:trHeight w:val="769"/>
        </w:trPr>
        <w:tc>
          <w:tcPr>
            <w:tcW w:w="1720" w:type="dxa"/>
            <w:vAlign w:val="bottom"/>
          </w:tcPr>
          <w:p>
            <w:pPr>
              <w:ind w:left="20"/>
              <w:spacing w:after="0"/>
              <w:rPr>
                <w:sz w:val="20"/>
                <w:szCs w:val="20"/>
                <w:color w:val="auto"/>
              </w:rPr>
            </w:pPr>
            <w:r>
              <w:rPr>
                <w:rFonts w:ascii="Arial" w:cs="Arial" w:eastAsia="Arial" w:hAnsi="Arial"/>
                <w:sz w:val="22"/>
                <w:szCs w:val="22"/>
                <w:color w:val="0000FF"/>
              </w:rPr>
              <w:t>Article X</w:t>
            </w:r>
          </w:p>
        </w:tc>
        <w:tc>
          <w:tcPr>
            <w:tcW w:w="440" w:type="dxa"/>
            <w:vAlign w:val="bottom"/>
          </w:tcPr>
          <w:p>
            <w:pPr>
              <w:spacing w:after="0"/>
              <w:rPr>
                <w:sz w:val="24"/>
                <w:szCs w:val="24"/>
                <w:color w:val="auto"/>
              </w:rPr>
            </w:pPr>
          </w:p>
        </w:tc>
        <w:tc>
          <w:tcPr>
            <w:tcW w:w="7440" w:type="dxa"/>
            <w:vAlign w:val="bottom"/>
          </w:tcPr>
          <w:p>
            <w:pPr>
              <w:ind w:left="380"/>
              <w:spacing w:after="0"/>
              <w:rPr>
                <w:sz w:val="20"/>
                <w:szCs w:val="20"/>
                <w:color w:val="auto"/>
              </w:rPr>
            </w:pPr>
            <w:r>
              <w:rPr>
                <w:rFonts w:ascii="Arial" w:cs="Arial" w:eastAsia="Arial" w:hAnsi="Arial"/>
                <w:sz w:val="22"/>
                <w:szCs w:val="22"/>
                <w:color w:val="0000FF"/>
              </w:rPr>
              <w:t>MISCELLANEOUS PROVISIONS</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69</w:t>
            </w:r>
          </w:p>
        </w:tc>
      </w:tr>
      <w:tr>
        <w:trPr>
          <w:trHeight w:val="270"/>
        </w:trPr>
        <w:tc>
          <w:tcPr>
            <w:tcW w:w="1720" w:type="dxa"/>
            <w:vAlign w:val="bottom"/>
          </w:tcPr>
          <w:p>
            <w:pPr>
              <w:ind w:left="340"/>
              <w:spacing w:after="0"/>
              <w:rPr>
                <w:sz w:val="20"/>
                <w:szCs w:val="20"/>
                <w:color w:val="auto"/>
              </w:rPr>
            </w:pPr>
            <w:r>
              <w:rPr>
                <w:rFonts w:ascii="Arial" w:cs="Arial" w:eastAsia="Arial" w:hAnsi="Arial"/>
                <w:sz w:val="22"/>
                <w:szCs w:val="22"/>
                <w:color w:val="0000FF"/>
                <w:w w:val="92"/>
              </w:rPr>
              <w:t>SECTION 10.1</w:t>
            </w:r>
          </w:p>
        </w:tc>
        <w:tc>
          <w:tcPr>
            <w:tcW w:w="440" w:type="dxa"/>
            <w:vAlign w:val="bottom"/>
          </w:tcPr>
          <w:p>
            <w:pPr>
              <w:spacing w:after="0"/>
              <w:rPr>
                <w:sz w:val="23"/>
                <w:szCs w:val="23"/>
                <w:color w:val="auto"/>
              </w:rPr>
            </w:pPr>
          </w:p>
        </w:tc>
        <w:tc>
          <w:tcPr>
            <w:tcW w:w="7440" w:type="dxa"/>
            <w:vAlign w:val="bottom"/>
          </w:tcPr>
          <w:p>
            <w:pPr>
              <w:ind w:left="380"/>
              <w:spacing w:after="0"/>
              <w:rPr>
                <w:sz w:val="20"/>
                <w:szCs w:val="20"/>
                <w:color w:val="auto"/>
              </w:rPr>
            </w:pPr>
            <w:r>
              <w:rPr>
                <w:rFonts w:ascii="Arial" w:cs="Arial" w:eastAsia="Arial" w:hAnsi="Arial"/>
                <w:sz w:val="22"/>
                <w:szCs w:val="22"/>
                <w:color w:val="0000FF"/>
              </w:rPr>
              <w:t>Waivers, Amendments, Etc.</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69</w:t>
            </w:r>
          </w:p>
        </w:tc>
      </w:tr>
      <w:tr>
        <w:trPr>
          <w:trHeight w:val="270"/>
        </w:trPr>
        <w:tc>
          <w:tcPr>
            <w:tcW w:w="1720" w:type="dxa"/>
            <w:vAlign w:val="bottom"/>
          </w:tcPr>
          <w:p>
            <w:pPr>
              <w:ind w:left="340"/>
              <w:spacing w:after="0"/>
              <w:rPr>
                <w:sz w:val="20"/>
                <w:szCs w:val="20"/>
                <w:color w:val="auto"/>
              </w:rPr>
            </w:pPr>
            <w:r>
              <w:rPr>
                <w:rFonts w:ascii="Arial" w:cs="Arial" w:eastAsia="Arial" w:hAnsi="Arial"/>
                <w:sz w:val="22"/>
                <w:szCs w:val="22"/>
                <w:color w:val="0000FF"/>
                <w:w w:val="92"/>
              </w:rPr>
              <w:t>SECTION 10.2</w:t>
            </w:r>
          </w:p>
        </w:tc>
        <w:tc>
          <w:tcPr>
            <w:tcW w:w="440" w:type="dxa"/>
            <w:vAlign w:val="bottom"/>
          </w:tcPr>
          <w:p>
            <w:pPr>
              <w:spacing w:after="0"/>
              <w:rPr>
                <w:sz w:val="23"/>
                <w:szCs w:val="23"/>
                <w:color w:val="auto"/>
              </w:rPr>
            </w:pPr>
          </w:p>
        </w:tc>
        <w:tc>
          <w:tcPr>
            <w:tcW w:w="7440" w:type="dxa"/>
            <w:vAlign w:val="bottom"/>
          </w:tcPr>
          <w:p>
            <w:pPr>
              <w:ind w:left="380"/>
              <w:spacing w:after="0"/>
              <w:rPr>
                <w:sz w:val="20"/>
                <w:szCs w:val="20"/>
                <w:color w:val="auto"/>
              </w:rPr>
            </w:pPr>
            <w:r>
              <w:rPr>
                <w:rFonts w:ascii="Arial" w:cs="Arial" w:eastAsia="Arial" w:hAnsi="Arial"/>
                <w:sz w:val="22"/>
                <w:szCs w:val="22"/>
                <w:color w:val="0000FF"/>
              </w:rPr>
              <w:t>Notices; Time</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69</w:t>
            </w:r>
          </w:p>
        </w:tc>
      </w:tr>
      <w:tr>
        <w:trPr>
          <w:trHeight w:val="270"/>
        </w:trPr>
        <w:tc>
          <w:tcPr>
            <w:tcW w:w="1720" w:type="dxa"/>
            <w:vAlign w:val="bottom"/>
          </w:tcPr>
          <w:p>
            <w:pPr>
              <w:ind w:left="340"/>
              <w:spacing w:after="0"/>
              <w:rPr>
                <w:sz w:val="20"/>
                <w:szCs w:val="20"/>
                <w:color w:val="auto"/>
              </w:rPr>
            </w:pPr>
            <w:r>
              <w:rPr>
                <w:rFonts w:ascii="Arial" w:cs="Arial" w:eastAsia="Arial" w:hAnsi="Arial"/>
                <w:sz w:val="22"/>
                <w:szCs w:val="22"/>
                <w:color w:val="0000FF"/>
                <w:w w:val="92"/>
              </w:rPr>
              <w:t>SECTION 10.3</w:t>
            </w:r>
          </w:p>
        </w:tc>
        <w:tc>
          <w:tcPr>
            <w:tcW w:w="440" w:type="dxa"/>
            <w:vAlign w:val="bottom"/>
          </w:tcPr>
          <w:p>
            <w:pPr>
              <w:spacing w:after="0"/>
              <w:rPr>
                <w:sz w:val="23"/>
                <w:szCs w:val="23"/>
                <w:color w:val="auto"/>
              </w:rPr>
            </w:pPr>
          </w:p>
        </w:tc>
        <w:tc>
          <w:tcPr>
            <w:tcW w:w="7440" w:type="dxa"/>
            <w:vAlign w:val="bottom"/>
          </w:tcPr>
          <w:p>
            <w:pPr>
              <w:ind w:left="380"/>
              <w:spacing w:after="0"/>
              <w:rPr>
                <w:sz w:val="20"/>
                <w:szCs w:val="20"/>
                <w:color w:val="auto"/>
              </w:rPr>
            </w:pPr>
            <w:r>
              <w:rPr>
                <w:rFonts w:ascii="Arial" w:cs="Arial" w:eastAsia="Arial" w:hAnsi="Arial"/>
                <w:sz w:val="22"/>
                <w:szCs w:val="22"/>
                <w:color w:val="0000FF"/>
              </w:rPr>
              <w:t>Payment of Costs and Expenses</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70</w:t>
            </w:r>
          </w:p>
        </w:tc>
      </w:tr>
      <w:tr>
        <w:trPr>
          <w:trHeight w:val="270"/>
        </w:trPr>
        <w:tc>
          <w:tcPr>
            <w:tcW w:w="1720" w:type="dxa"/>
            <w:vAlign w:val="bottom"/>
          </w:tcPr>
          <w:p>
            <w:pPr>
              <w:ind w:left="340"/>
              <w:spacing w:after="0"/>
              <w:rPr>
                <w:sz w:val="20"/>
                <w:szCs w:val="20"/>
                <w:color w:val="auto"/>
              </w:rPr>
            </w:pPr>
            <w:r>
              <w:rPr>
                <w:rFonts w:ascii="Arial" w:cs="Arial" w:eastAsia="Arial" w:hAnsi="Arial"/>
                <w:sz w:val="22"/>
                <w:szCs w:val="22"/>
                <w:color w:val="0000FF"/>
                <w:w w:val="92"/>
              </w:rPr>
              <w:t>SECTION 10.4</w:t>
            </w:r>
          </w:p>
        </w:tc>
        <w:tc>
          <w:tcPr>
            <w:tcW w:w="440" w:type="dxa"/>
            <w:vAlign w:val="bottom"/>
          </w:tcPr>
          <w:p>
            <w:pPr>
              <w:spacing w:after="0"/>
              <w:rPr>
                <w:sz w:val="23"/>
                <w:szCs w:val="23"/>
                <w:color w:val="auto"/>
              </w:rPr>
            </w:pPr>
          </w:p>
        </w:tc>
        <w:tc>
          <w:tcPr>
            <w:tcW w:w="7440" w:type="dxa"/>
            <w:vAlign w:val="bottom"/>
          </w:tcPr>
          <w:p>
            <w:pPr>
              <w:ind w:left="380"/>
              <w:spacing w:after="0"/>
              <w:rPr>
                <w:sz w:val="20"/>
                <w:szCs w:val="20"/>
                <w:color w:val="auto"/>
              </w:rPr>
            </w:pPr>
            <w:r>
              <w:rPr>
                <w:rFonts w:ascii="Arial" w:cs="Arial" w:eastAsia="Arial" w:hAnsi="Arial"/>
                <w:sz w:val="22"/>
                <w:szCs w:val="22"/>
                <w:color w:val="0000FF"/>
              </w:rPr>
              <w:t>Indemnification</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71</w:t>
            </w:r>
          </w:p>
        </w:tc>
      </w:tr>
      <w:tr>
        <w:trPr>
          <w:trHeight w:val="270"/>
        </w:trPr>
        <w:tc>
          <w:tcPr>
            <w:tcW w:w="1720" w:type="dxa"/>
            <w:vAlign w:val="bottom"/>
          </w:tcPr>
          <w:p>
            <w:pPr>
              <w:ind w:left="340"/>
              <w:spacing w:after="0"/>
              <w:rPr>
                <w:sz w:val="20"/>
                <w:szCs w:val="20"/>
                <w:color w:val="auto"/>
              </w:rPr>
            </w:pPr>
            <w:r>
              <w:rPr>
                <w:rFonts w:ascii="Arial" w:cs="Arial" w:eastAsia="Arial" w:hAnsi="Arial"/>
                <w:sz w:val="22"/>
                <w:szCs w:val="22"/>
                <w:color w:val="0000FF"/>
                <w:w w:val="92"/>
              </w:rPr>
              <w:t>SECTION 10.5</w:t>
            </w:r>
          </w:p>
        </w:tc>
        <w:tc>
          <w:tcPr>
            <w:tcW w:w="440" w:type="dxa"/>
            <w:vAlign w:val="bottom"/>
          </w:tcPr>
          <w:p>
            <w:pPr>
              <w:spacing w:after="0"/>
              <w:rPr>
                <w:sz w:val="23"/>
                <w:szCs w:val="23"/>
                <w:color w:val="auto"/>
              </w:rPr>
            </w:pPr>
          </w:p>
        </w:tc>
        <w:tc>
          <w:tcPr>
            <w:tcW w:w="7440" w:type="dxa"/>
            <w:vAlign w:val="bottom"/>
          </w:tcPr>
          <w:p>
            <w:pPr>
              <w:ind w:left="380"/>
              <w:spacing w:after="0"/>
              <w:rPr>
                <w:sz w:val="20"/>
                <w:szCs w:val="20"/>
                <w:color w:val="auto"/>
              </w:rPr>
            </w:pPr>
            <w:r>
              <w:rPr>
                <w:rFonts w:ascii="Arial" w:cs="Arial" w:eastAsia="Arial" w:hAnsi="Arial"/>
                <w:sz w:val="22"/>
                <w:szCs w:val="22"/>
                <w:color w:val="0000FF"/>
              </w:rPr>
              <w:t>Survival</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72</w:t>
            </w:r>
          </w:p>
        </w:tc>
      </w:tr>
      <w:tr>
        <w:trPr>
          <w:trHeight w:val="270"/>
        </w:trPr>
        <w:tc>
          <w:tcPr>
            <w:tcW w:w="1720" w:type="dxa"/>
            <w:vAlign w:val="bottom"/>
          </w:tcPr>
          <w:p>
            <w:pPr>
              <w:ind w:left="340"/>
              <w:spacing w:after="0"/>
              <w:rPr>
                <w:sz w:val="20"/>
                <w:szCs w:val="20"/>
                <w:color w:val="auto"/>
              </w:rPr>
            </w:pPr>
            <w:r>
              <w:rPr>
                <w:rFonts w:ascii="Arial" w:cs="Arial" w:eastAsia="Arial" w:hAnsi="Arial"/>
                <w:sz w:val="22"/>
                <w:szCs w:val="22"/>
                <w:color w:val="0000FF"/>
                <w:w w:val="92"/>
              </w:rPr>
              <w:t>SECTION 10.6</w:t>
            </w:r>
          </w:p>
        </w:tc>
        <w:tc>
          <w:tcPr>
            <w:tcW w:w="440" w:type="dxa"/>
            <w:vAlign w:val="bottom"/>
          </w:tcPr>
          <w:p>
            <w:pPr>
              <w:spacing w:after="0"/>
              <w:rPr>
                <w:sz w:val="23"/>
                <w:szCs w:val="23"/>
                <w:color w:val="auto"/>
              </w:rPr>
            </w:pPr>
          </w:p>
        </w:tc>
        <w:tc>
          <w:tcPr>
            <w:tcW w:w="7440" w:type="dxa"/>
            <w:vAlign w:val="bottom"/>
          </w:tcPr>
          <w:p>
            <w:pPr>
              <w:ind w:left="380"/>
              <w:spacing w:after="0"/>
              <w:rPr>
                <w:sz w:val="20"/>
                <w:szCs w:val="20"/>
                <w:color w:val="auto"/>
              </w:rPr>
            </w:pPr>
            <w:r>
              <w:rPr>
                <w:rFonts w:ascii="Arial" w:cs="Arial" w:eastAsia="Arial" w:hAnsi="Arial"/>
                <w:sz w:val="22"/>
                <w:szCs w:val="22"/>
                <w:color w:val="0000FF"/>
              </w:rPr>
              <w:t>Severability</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73</w:t>
            </w:r>
          </w:p>
        </w:tc>
      </w:tr>
      <w:tr>
        <w:trPr>
          <w:trHeight w:val="270"/>
        </w:trPr>
        <w:tc>
          <w:tcPr>
            <w:tcW w:w="1720" w:type="dxa"/>
            <w:vAlign w:val="bottom"/>
          </w:tcPr>
          <w:p>
            <w:pPr>
              <w:ind w:left="340"/>
              <w:spacing w:after="0"/>
              <w:rPr>
                <w:sz w:val="20"/>
                <w:szCs w:val="20"/>
                <w:color w:val="auto"/>
              </w:rPr>
            </w:pPr>
            <w:r>
              <w:rPr>
                <w:rFonts w:ascii="Arial" w:cs="Arial" w:eastAsia="Arial" w:hAnsi="Arial"/>
                <w:sz w:val="22"/>
                <w:szCs w:val="22"/>
                <w:color w:val="0000FF"/>
                <w:w w:val="92"/>
              </w:rPr>
              <w:t>SECTION 10.7</w:t>
            </w:r>
          </w:p>
        </w:tc>
        <w:tc>
          <w:tcPr>
            <w:tcW w:w="440" w:type="dxa"/>
            <w:vAlign w:val="bottom"/>
          </w:tcPr>
          <w:p>
            <w:pPr>
              <w:spacing w:after="0"/>
              <w:rPr>
                <w:sz w:val="23"/>
                <w:szCs w:val="23"/>
                <w:color w:val="auto"/>
              </w:rPr>
            </w:pPr>
          </w:p>
        </w:tc>
        <w:tc>
          <w:tcPr>
            <w:tcW w:w="7440" w:type="dxa"/>
            <w:vAlign w:val="bottom"/>
          </w:tcPr>
          <w:p>
            <w:pPr>
              <w:ind w:left="380"/>
              <w:spacing w:after="0"/>
              <w:rPr>
                <w:sz w:val="20"/>
                <w:szCs w:val="20"/>
                <w:color w:val="auto"/>
              </w:rPr>
            </w:pPr>
            <w:r>
              <w:rPr>
                <w:rFonts w:ascii="Arial" w:cs="Arial" w:eastAsia="Arial" w:hAnsi="Arial"/>
                <w:sz w:val="22"/>
                <w:szCs w:val="22"/>
                <w:color w:val="0000FF"/>
              </w:rPr>
              <w:t>Headings</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73</w:t>
            </w:r>
          </w:p>
        </w:tc>
      </w:tr>
      <w:tr>
        <w:trPr>
          <w:trHeight w:val="270"/>
        </w:trPr>
        <w:tc>
          <w:tcPr>
            <w:tcW w:w="1720" w:type="dxa"/>
            <w:vAlign w:val="bottom"/>
          </w:tcPr>
          <w:p>
            <w:pPr>
              <w:ind w:left="340"/>
              <w:spacing w:after="0"/>
              <w:rPr>
                <w:sz w:val="20"/>
                <w:szCs w:val="20"/>
                <w:color w:val="auto"/>
              </w:rPr>
            </w:pPr>
            <w:r>
              <w:rPr>
                <w:rFonts w:ascii="Arial" w:cs="Arial" w:eastAsia="Arial" w:hAnsi="Arial"/>
                <w:sz w:val="22"/>
                <w:szCs w:val="22"/>
                <w:color w:val="0000FF"/>
                <w:w w:val="92"/>
              </w:rPr>
              <w:t>SECTION 10.8</w:t>
            </w:r>
          </w:p>
        </w:tc>
        <w:tc>
          <w:tcPr>
            <w:tcW w:w="440" w:type="dxa"/>
            <w:vAlign w:val="bottom"/>
          </w:tcPr>
          <w:p>
            <w:pPr>
              <w:spacing w:after="0"/>
              <w:rPr>
                <w:sz w:val="23"/>
                <w:szCs w:val="23"/>
                <w:color w:val="auto"/>
              </w:rPr>
            </w:pPr>
          </w:p>
        </w:tc>
        <w:tc>
          <w:tcPr>
            <w:tcW w:w="7440" w:type="dxa"/>
            <w:vAlign w:val="bottom"/>
          </w:tcPr>
          <w:p>
            <w:pPr>
              <w:ind w:left="380"/>
              <w:spacing w:after="0"/>
              <w:rPr>
                <w:sz w:val="20"/>
                <w:szCs w:val="20"/>
                <w:color w:val="auto"/>
              </w:rPr>
            </w:pPr>
            <w:r>
              <w:rPr>
                <w:rFonts w:ascii="Arial" w:cs="Arial" w:eastAsia="Arial" w:hAnsi="Arial"/>
                <w:sz w:val="22"/>
                <w:szCs w:val="22"/>
                <w:color w:val="0000FF"/>
              </w:rPr>
              <w:t>Execution in Counterparts, Effectiveness, Etc.</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73</w:t>
            </w:r>
          </w:p>
        </w:tc>
      </w:tr>
      <w:tr>
        <w:trPr>
          <w:trHeight w:val="270"/>
        </w:trPr>
        <w:tc>
          <w:tcPr>
            <w:tcW w:w="1720" w:type="dxa"/>
            <w:vAlign w:val="bottom"/>
          </w:tcPr>
          <w:p>
            <w:pPr>
              <w:ind w:left="340"/>
              <w:spacing w:after="0"/>
              <w:rPr>
                <w:sz w:val="20"/>
                <w:szCs w:val="20"/>
                <w:color w:val="auto"/>
              </w:rPr>
            </w:pPr>
            <w:r>
              <w:rPr>
                <w:rFonts w:ascii="Arial" w:cs="Arial" w:eastAsia="Arial" w:hAnsi="Arial"/>
                <w:sz w:val="22"/>
                <w:szCs w:val="22"/>
                <w:color w:val="0000FF"/>
                <w:w w:val="92"/>
              </w:rPr>
              <w:t>SECTION 10.9</w:t>
            </w:r>
          </w:p>
        </w:tc>
        <w:tc>
          <w:tcPr>
            <w:tcW w:w="440" w:type="dxa"/>
            <w:vAlign w:val="bottom"/>
          </w:tcPr>
          <w:p>
            <w:pPr>
              <w:spacing w:after="0"/>
              <w:rPr>
                <w:sz w:val="23"/>
                <w:szCs w:val="23"/>
                <w:color w:val="auto"/>
              </w:rPr>
            </w:pPr>
          </w:p>
        </w:tc>
        <w:tc>
          <w:tcPr>
            <w:tcW w:w="7440" w:type="dxa"/>
            <w:vAlign w:val="bottom"/>
          </w:tcPr>
          <w:p>
            <w:pPr>
              <w:ind w:left="380"/>
              <w:spacing w:after="0"/>
              <w:rPr>
                <w:sz w:val="20"/>
                <w:szCs w:val="20"/>
                <w:color w:val="auto"/>
              </w:rPr>
            </w:pPr>
            <w:r>
              <w:rPr>
                <w:rFonts w:ascii="Arial" w:cs="Arial" w:eastAsia="Arial" w:hAnsi="Arial"/>
                <w:sz w:val="22"/>
                <w:szCs w:val="22"/>
                <w:color w:val="0000FF"/>
              </w:rPr>
              <w:t>Governing Law; Entire Agreement</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73</w:t>
            </w:r>
          </w:p>
        </w:tc>
      </w:tr>
      <w:tr>
        <w:trPr>
          <w:trHeight w:val="270"/>
        </w:trPr>
        <w:tc>
          <w:tcPr>
            <w:tcW w:w="2160" w:type="dxa"/>
            <w:vAlign w:val="bottom"/>
            <w:gridSpan w:val="2"/>
          </w:tcPr>
          <w:p>
            <w:pPr>
              <w:ind w:left="340"/>
              <w:spacing w:after="0"/>
              <w:rPr>
                <w:sz w:val="20"/>
                <w:szCs w:val="20"/>
                <w:color w:val="auto"/>
              </w:rPr>
            </w:pPr>
            <w:r>
              <w:rPr>
                <w:rFonts w:ascii="Arial" w:cs="Arial" w:eastAsia="Arial" w:hAnsi="Arial"/>
                <w:sz w:val="22"/>
                <w:szCs w:val="22"/>
                <w:color w:val="0000FF"/>
              </w:rPr>
              <w:t>SECTION 10.10</w:t>
            </w:r>
          </w:p>
        </w:tc>
        <w:tc>
          <w:tcPr>
            <w:tcW w:w="7440" w:type="dxa"/>
            <w:vAlign w:val="bottom"/>
          </w:tcPr>
          <w:p>
            <w:pPr>
              <w:ind w:left="380"/>
              <w:spacing w:after="0"/>
              <w:rPr>
                <w:sz w:val="20"/>
                <w:szCs w:val="20"/>
                <w:color w:val="auto"/>
              </w:rPr>
            </w:pPr>
            <w:r>
              <w:rPr>
                <w:rFonts w:ascii="Arial" w:cs="Arial" w:eastAsia="Arial" w:hAnsi="Arial"/>
                <w:sz w:val="22"/>
                <w:szCs w:val="22"/>
                <w:color w:val="0000FF"/>
              </w:rPr>
              <w:t>Successors and Assigns</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73</w:t>
            </w:r>
          </w:p>
        </w:tc>
      </w:tr>
      <w:tr>
        <w:trPr>
          <w:trHeight w:val="270"/>
        </w:trPr>
        <w:tc>
          <w:tcPr>
            <w:tcW w:w="2160" w:type="dxa"/>
            <w:vAlign w:val="bottom"/>
            <w:gridSpan w:val="2"/>
          </w:tcPr>
          <w:p>
            <w:pPr>
              <w:ind w:left="340"/>
              <w:spacing w:after="0"/>
              <w:rPr>
                <w:sz w:val="20"/>
                <w:szCs w:val="20"/>
                <w:color w:val="auto"/>
              </w:rPr>
            </w:pPr>
            <w:r>
              <w:rPr>
                <w:rFonts w:ascii="Arial" w:cs="Arial" w:eastAsia="Arial" w:hAnsi="Arial"/>
                <w:sz w:val="22"/>
                <w:szCs w:val="22"/>
                <w:color w:val="0000FF"/>
              </w:rPr>
              <w:t>SECTION 10.11</w:t>
            </w:r>
          </w:p>
        </w:tc>
        <w:tc>
          <w:tcPr>
            <w:tcW w:w="7440" w:type="dxa"/>
            <w:vAlign w:val="bottom"/>
          </w:tcPr>
          <w:p>
            <w:pPr>
              <w:ind w:left="380"/>
              <w:spacing w:after="0"/>
              <w:rPr>
                <w:sz w:val="20"/>
                <w:szCs w:val="20"/>
                <w:color w:val="auto"/>
              </w:rPr>
            </w:pPr>
            <w:r>
              <w:rPr>
                <w:rFonts w:ascii="Arial" w:cs="Arial" w:eastAsia="Arial" w:hAnsi="Arial"/>
                <w:sz w:val="22"/>
                <w:szCs w:val="22"/>
                <w:color w:val="0000FF"/>
              </w:rPr>
              <w:t>Other Transactions</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75</w:t>
            </w:r>
          </w:p>
        </w:tc>
      </w:tr>
      <w:tr>
        <w:trPr>
          <w:trHeight w:val="270"/>
        </w:trPr>
        <w:tc>
          <w:tcPr>
            <w:tcW w:w="2160" w:type="dxa"/>
            <w:vAlign w:val="bottom"/>
            <w:gridSpan w:val="2"/>
          </w:tcPr>
          <w:p>
            <w:pPr>
              <w:ind w:left="340"/>
              <w:spacing w:after="0"/>
              <w:rPr>
                <w:sz w:val="20"/>
                <w:szCs w:val="20"/>
                <w:color w:val="auto"/>
              </w:rPr>
            </w:pPr>
            <w:r>
              <w:rPr>
                <w:rFonts w:ascii="Arial" w:cs="Arial" w:eastAsia="Arial" w:hAnsi="Arial"/>
                <w:sz w:val="22"/>
                <w:szCs w:val="22"/>
                <w:color w:val="0000FF"/>
              </w:rPr>
              <w:t>SECTION 10.12</w:t>
            </w:r>
          </w:p>
        </w:tc>
        <w:tc>
          <w:tcPr>
            <w:tcW w:w="7440" w:type="dxa"/>
            <w:vAlign w:val="bottom"/>
          </w:tcPr>
          <w:p>
            <w:pPr>
              <w:ind w:left="380"/>
              <w:spacing w:after="0"/>
              <w:rPr>
                <w:sz w:val="20"/>
                <w:szCs w:val="20"/>
                <w:color w:val="auto"/>
              </w:rPr>
            </w:pPr>
            <w:r>
              <w:rPr>
                <w:rFonts w:ascii="Arial" w:cs="Arial" w:eastAsia="Arial" w:hAnsi="Arial"/>
                <w:sz w:val="22"/>
                <w:szCs w:val="22"/>
                <w:color w:val="0000FF"/>
              </w:rPr>
              <w:t>Forum Selection and Consent to Jurisdiction</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75</w:t>
            </w:r>
          </w:p>
        </w:tc>
      </w:tr>
      <w:tr>
        <w:trPr>
          <w:trHeight w:val="270"/>
        </w:trPr>
        <w:tc>
          <w:tcPr>
            <w:tcW w:w="2160" w:type="dxa"/>
            <w:vAlign w:val="bottom"/>
            <w:gridSpan w:val="2"/>
          </w:tcPr>
          <w:p>
            <w:pPr>
              <w:ind w:left="340"/>
              <w:spacing w:after="0"/>
              <w:rPr>
                <w:sz w:val="20"/>
                <w:szCs w:val="20"/>
                <w:color w:val="auto"/>
              </w:rPr>
            </w:pPr>
            <w:r>
              <w:rPr>
                <w:rFonts w:ascii="Arial" w:cs="Arial" w:eastAsia="Arial" w:hAnsi="Arial"/>
                <w:sz w:val="22"/>
                <w:szCs w:val="22"/>
                <w:color w:val="0000FF"/>
              </w:rPr>
              <w:t>SECTION 10.13</w:t>
            </w:r>
          </w:p>
        </w:tc>
        <w:tc>
          <w:tcPr>
            <w:tcW w:w="7440" w:type="dxa"/>
            <w:vAlign w:val="bottom"/>
          </w:tcPr>
          <w:p>
            <w:pPr>
              <w:ind w:left="380"/>
              <w:spacing w:after="0"/>
              <w:rPr>
                <w:sz w:val="20"/>
                <w:szCs w:val="20"/>
                <w:color w:val="auto"/>
              </w:rPr>
            </w:pPr>
            <w:r>
              <w:rPr>
                <w:rFonts w:ascii="Arial" w:cs="Arial" w:eastAsia="Arial" w:hAnsi="Arial"/>
                <w:sz w:val="22"/>
                <w:szCs w:val="22"/>
                <w:color w:val="0000FF"/>
              </w:rPr>
              <w:t>Waiver of Jury Trial</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76</w:t>
            </w:r>
          </w:p>
        </w:tc>
      </w:tr>
      <w:tr>
        <w:trPr>
          <w:trHeight w:val="270"/>
        </w:trPr>
        <w:tc>
          <w:tcPr>
            <w:tcW w:w="2160" w:type="dxa"/>
            <w:vAlign w:val="bottom"/>
            <w:gridSpan w:val="2"/>
          </w:tcPr>
          <w:p>
            <w:pPr>
              <w:ind w:left="340"/>
              <w:spacing w:after="0"/>
              <w:rPr>
                <w:sz w:val="20"/>
                <w:szCs w:val="20"/>
                <w:color w:val="auto"/>
              </w:rPr>
            </w:pPr>
            <w:r>
              <w:rPr>
                <w:rFonts w:ascii="Arial" w:cs="Arial" w:eastAsia="Arial" w:hAnsi="Arial"/>
                <w:sz w:val="22"/>
                <w:szCs w:val="22"/>
                <w:color w:val="0000FF"/>
              </w:rPr>
              <w:t>SECTION 10.14</w:t>
            </w:r>
          </w:p>
        </w:tc>
        <w:tc>
          <w:tcPr>
            <w:tcW w:w="7440" w:type="dxa"/>
            <w:vAlign w:val="bottom"/>
          </w:tcPr>
          <w:p>
            <w:pPr>
              <w:ind w:left="380"/>
              <w:spacing w:after="0"/>
              <w:rPr>
                <w:sz w:val="20"/>
                <w:szCs w:val="20"/>
                <w:color w:val="auto"/>
              </w:rPr>
            </w:pPr>
            <w:r>
              <w:rPr>
                <w:rFonts w:ascii="Arial" w:cs="Arial" w:eastAsia="Arial" w:hAnsi="Arial"/>
                <w:sz w:val="22"/>
                <w:szCs w:val="22"/>
                <w:color w:val="0000FF"/>
              </w:rPr>
              <w:t>Confidential Information</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76</w:t>
            </w:r>
          </w:p>
        </w:tc>
      </w:tr>
      <w:tr>
        <w:trPr>
          <w:trHeight w:val="270"/>
        </w:trPr>
        <w:tc>
          <w:tcPr>
            <w:tcW w:w="2160" w:type="dxa"/>
            <w:vAlign w:val="bottom"/>
            <w:gridSpan w:val="2"/>
          </w:tcPr>
          <w:p>
            <w:pPr>
              <w:ind w:left="340"/>
              <w:spacing w:after="0"/>
              <w:rPr>
                <w:sz w:val="20"/>
                <w:szCs w:val="20"/>
                <w:color w:val="auto"/>
              </w:rPr>
            </w:pPr>
            <w:r>
              <w:rPr>
                <w:rFonts w:ascii="Arial" w:cs="Arial" w:eastAsia="Arial" w:hAnsi="Arial"/>
                <w:sz w:val="22"/>
                <w:szCs w:val="22"/>
                <w:color w:val="0000FF"/>
              </w:rPr>
              <w:t>SECTION 10.15</w:t>
            </w:r>
          </w:p>
        </w:tc>
        <w:tc>
          <w:tcPr>
            <w:tcW w:w="7440" w:type="dxa"/>
            <w:vAlign w:val="bottom"/>
          </w:tcPr>
          <w:p>
            <w:pPr>
              <w:ind w:left="380"/>
              <w:spacing w:after="0"/>
              <w:rPr>
                <w:sz w:val="20"/>
                <w:szCs w:val="20"/>
                <w:color w:val="auto"/>
              </w:rPr>
            </w:pPr>
            <w:r>
              <w:rPr>
                <w:rFonts w:ascii="Arial" w:cs="Arial" w:eastAsia="Arial" w:hAnsi="Arial"/>
                <w:sz w:val="22"/>
                <w:szCs w:val="22"/>
                <w:color w:val="0000FF"/>
              </w:rPr>
              <w:t>Exceptions to Confidentiality</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77</w:t>
            </w:r>
          </w:p>
        </w:tc>
      </w:tr>
      <w:tr>
        <w:trPr>
          <w:trHeight w:val="270"/>
        </w:trPr>
        <w:tc>
          <w:tcPr>
            <w:tcW w:w="2160" w:type="dxa"/>
            <w:vAlign w:val="bottom"/>
            <w:gridSpan w:val="2"/>
          </w:tcPr>
          <w:p>
            <w:pPr>
              <w:ind w:left="340"/>
              <w:spacing w:after="0"/>
              <w:rPr>
                <w:sz w:val="20"/>
                <w:szCs w:val="20"/>
                <w:color w:val="auto"/>
              </w:rPr>
            </w:pPr>
            <w:r>
              <w:rPr>
                <w:rFonts w:ascii="Arial" w:cs="Arial" w:eastAsia="Arial" w:hAnsi="Arial"/>
                <w:sz w:val="22"/>
                <w:szCs w:val="22"/>
                <w:color w:val="0000FF"/>
              </w:rPr>
              <w:t>SECTION 10.16</w:t>
            </w:r>
          </w:p>
        </w:tc>
        <w:tc>
          <w:tcPr>
            <w:tcW w:w="7440" w:type="dxa"/>
            <w:vAlign w:val="bottom"/>
          </w:tcPr>
          <w:p>
            <w:pPr>
              <w:ind w:left="380"/>
              <w:spacing w:after="0"/>
              <w:rPr>
                <w:sz w:val="20"/>
                <w:szCs w:val="20"/>
                <w:color w:val="auto"/>
              </w:rPr>
            </w:pPr>
            <w:r>
              <w:rPr>
                <w:rFonts w:ascii="Arial" w:cs="Arial" w:eastAsia="Arial" w:hAnsi="Arial"/>
                <w:sz w:val="22"/>
                <w:szCs w:val="22"/>
                <w:color w:val="0000FF"/>
              </w:rPr>
              <w:t>No Waiver; Cumulative Remedies; Enforcement</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77</w:t>
            </w:r>
          </w:p>
        </w:tc>
      </w:tr>
      <w:tr>
        <w:trPr>
          <w:trHeight w:val="270"/>
        </w:trPr>
        <w:tc>
          <w:tcPr>
            <w:tcW w:w="2160" w:type="dxa"/>
            <w:vAlign w:val="bottom"/>
            <w:gridSpan w:val="2"/>
          </w:tcPr>
          <w:p>
            <w:pPr>
              <w:ind w:left="340"/>
              <w:spacing w:after="0"/>
              <w:rPr>
                <w:sz w:val="20"/>
                <w:szCs w:val="20"/>
                <w:color w:val="auto"/>
              </w:rPr>
            </w:pPr>
            <w:r>
              <w:rPr>
                <w:rFonts w:ascii="Arial" w:cs="Arial" w:eastAsia="Arial" w:hAnsi="Arial"/>
                <w:sz w:val="22"/>
                <w:szCs w:val="22"/>
                <w:color w:val="0000FF"/>
              </w:rPr>
              <w:t>SECTION 10.17</w:t>
            </w:r>
          </w:p>
        </w:tc>
        <w:tc>
          <w:tcPr>
            <w:tcW w:w="7440" w:type="dxa"/>
            <w:vAlign w:val="bottom"/>
          </w:tcPr>
          <w:p>
            <w:pPr>
              <w:ind w:left="380"/>
              <w:spacing w:after="0"/>
              <w:rPr>
                <w:sz w:val="20"/>
                <w:szCs w:val="20"/>
                <w:color w:val="auto"/>
              </w:rPr>
            </w:pPr>
            <w:r>
              <w:rPr>
                <w:rFonts w:ascii="Arial" w:cs="Arial" w:eastAsia="Arial" w:hAnsi="Arial"/>
                <w:sz w:val="22"/>
                <w:szCs w:val="22"/>
                <w:color w:val="0000FF"/>
              </w:rPr>
              <w:t>Payments Set Aside</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78</w:t>
            </w:r>
          </w:p>
        </w:tc>
      </w:tr>
      <w:tr>
        <w:trPr>
          <w:trHeight w:val="274"/>
        </w:trPr>
        <w:tc>
          <w:tcPr>
            <w:tcW w:w="2160" w:type="dxa"/>
            <w:vAlign w:val="bottom"/>
            <w:gridSpan w:val="2"/>
          </w:tcPr>
          <w:p>
            <w:pPr>
              <w:ind w:left="340"/>
              <w:spacing w:after="0"/>
              <w:rPr>
                <w:sz w:val="20"/>
                <w:szCs w:val="20"/>
                <w:color w:val="auto"/>
              </w:rPr>
            </w:pPr>
            <w:r>
              <w:rPr>
                <w:rFonts w:ascii="Arial" w:cs="Arial" w:eastAsia="Arial" w:hAnsi="Arial"/>
                <w:sz w:val="22"/>
                <w:szCs w:val="22"/>
                <w:color w:val="0000FF"/>
              </w:rPr>
              <w:t>SECTION 10.18</w:t>
            </w:r>
          </w:p>
        </w:tc>
        <w:tc>
          <w:tcPr>
            <w:tcW w:w="7440" w:type="dxa"/>
            <w:vAlign w:val="bottom"/>
          </w:tcPr>
          <w:p>
            <w:pPr>
              <w:ind w:left="380"/>
              <w:spacing w:after="0"/>
              <w:rPr>
                <w:sz w:val="20"/>
                <w:szCs w:val="20"/>
                <w:color w:val="auto"/>
              </w:rPr>
            </w:pPr>
            <w:r>
              <w:rPr>
                <w:rFonts w:ascii="Arial" w:cs="Arial" w:eastAsia="Arial" w:hAnsi="Arial"/>
                <w:sz w:val="22"/>
                <w:szCs w:val="22"/>
                <w:color w:val="0000FF"/>
              </w:rPr>
              <w:t>Electronic Execution of Assignments and Certain Other Documents</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78</w:t>
            </w:r>
          </w:p>
        </w:tc>
      </w:tr>
      <w:tr>
        <w:trPr>
          <w:trHeight w:val="536"/>
        </w:trPr>
        <w:tc>
          <w:tcPr>
            <w:tcW w:w="1720" w:type="dxa"/>
            <w:vAlign w:val="bottom"/>
          </w:tcPr>
          <w:p>
            <w:pPr>
              <w:ind w:left="20"/>
              <w:spacing w:after="0"/>
              <w:rPr>
                <w:sz w:val="20"/>
                <w:szCs w:val="20"/>
                <w:color w:val="auto"/>
              </w:rPr>
            </w:pPr>
            <w:r>
              <w:rPr>
                <w:rFonts w:ascii="Arial" w:cs="Arial" w:eastAsia="Arial" w:hAnsi="Arial"/>
                <w:sz w:val="22"/>
                <w:szCs w:val="22"/>
                <w:color w:val="0000FF"/>
              </w:rPr>
              <w:t>ARTICLE XI</w:t>
            </w:r>
          </w:p>
        </w:tc>
        <w:tc>
          <w:tcPr>
            <w:tcW w:w="440" w:type="dxa"/>
            <w:vAlign w:val="bottom"/>
          </w:tcPr>
          <w:p>
            <w:pPr>
              <w:spacing w:after="0"/>
              <w:rPr>
                <w:sz w:val="24"/>
                <w:szCs w:val="24"/>
                <w:color w:val="auto"/>
              </w:rPr>
            </w:pPr>
          </w:p>
        </w:tc>
        <w:tc>
          <w:tcPr>
            <w:tcW w:w="7440" w:type="dxa"/>
            <w:vAlign w:val="bottom"/>
          </w:tcPr>
          <w:p>
            <w:pPr>
              <w:ind w:left="380"/>
              <w:spacing w:after="0"/>
              <w:rPr>
                <w:sz w:val="20"/>
                <w:szCs w:val="20"/>
                <w:color w:val="auto"/>
              </w:rPr>
            </w:pPr>
            <w:r>
              <w:rPr>
                <w:rFonts w:ascii="Arial" w:cs="Arial" w:eastAsia="Arial" w:hAnsi="Arial"/>
                <w:sz w:val="22"/>
                <w:szCs w:val="22"/>
                <w:color w:val="0000FF"/>
              </w:rPr>
              <w:t>ADMINISTRATIVE AGENT</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79</w:t>
            </w:r>
          </w:p>
        </w:tc>
      </w:tr>
      <w:tr>
        <w:trPr>
          <w:trHeight w:val="270"/>
        </w:trPr>
        <w:tc>
          <w:tcPr>
            <w:tcW w:w="1720" w:type="dxa"/>
            <w:vAlign w:val="bottom"/>
          </w:tcPr>
          <w:p>
            <w:pPr>
              <w:ind w:left="340"/>
              <w:spacing w:after="0"/>
              <w:rPr>
                <w:sz w:val="20"/>
                <w:szCs w:val="20"/>
                <w:color w:val="auto"/>
              </w:rPr>
            </w:pPr>
            <w:r>
              <w:rPr>
                <w:rFonts w:ascii="Arial" w:cs="Arial" w:eastAsia="Arial" w:hAnsi="Arial"/>
                <w:sz w:val="22"/>
                <w:szCs w:val="22"/>
                <w:color w:val="0000FF"/>
                <w:w w:val="92"/>
              </w:rPr>
              <w:t>SECTION 11.1</w:t>
            </w:r>
          </w:p>
        </w:tc>
        <w:tc>
          <w:tcPr>
            <w:tcW w:w="440" w:type="dxa"/>
            <w:vAlign w:val="bottom"/>
          </w:tcPr>
          <w:p>
            <w:pPr>
              <w:spacing w:after="0"/>
              <w:rPr>
                <w:sz w:val="23"/>
                <w:szCs w:val="23"/>
                <w:color w:val="auto"/>
              </w:rPr>
            </w:pPr>
          </w:p>
        </w:tc>
        <w:tc>
          <w:tcPr>
            <w:tcW w:w="7440" w:type="dxa"/>
            <w:vAlign w:val="bottom"/>
          </w:tcPr>
          <w:p>
            <w:pPr>
              <w:ind w:left="380"/>
              <w:spacing w:after="0"/>
              <w:rPr>
                <w:sz w:val="20"/>
                <w:szCs w:val="20"/>
                <w:color w:val="auto"/>
              </w:rPr>
            </w:pPr>
            <w:r>
              <w:rPr>
                <w:rFonts w:ascii="Arial" w:cs="Arial" w:eastAsia="Arial" w:hAnsi="Arial"/>
                <w:sz w:val="22"/>
                <w:szCs w:val="22"/>
                <w:color w:val="0000FF"/>
              </w:rPr>
              <w:t>Appointment and Authority</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79</w:t>
            </w:r>
          </w:p>
        </w:tc>
      </w:tr>
      <w:tr>
        <w:trPr>
          <w:trHeight w:val="270"/>
        </w:trPr>
        <w:tc>
          <w:tcPr>
            <w:tcW w:w="1720" w:type="dxa"/>
            <w:vAlign w:val="bottom"/>
          </w:tcPr>
          <w:p>
            <w:pPr>
              <w:ind w:left="340"/>
              <w:spacing w:after="0"/>
              <w:rPr>
                <w:sz w:val="20"/>
                <w:szCs w:val="20"/>
                <w:color w:val="auto"/>
              </w:rPr>
            </w:pPr>
            <w:r>
              <w:rPr>
                <w:rFonts w:ascii="Arial" w:cs="Arial" w:eastAsia="Arial" w:hAnsi="Arial"/>
                <w:sz w:val="22"/>
                <w:szCs w:val="22"/>
                <w:color w:val="0000FF"/>
                <w:w w:val="92"/>
              </w:rPr>
              <w:t>SECTION 11.2</w:t>
            </w:r>
          </w:p>
        </w:tc>
        <w:tc>
          <w:tcPr>
            <w:tcW w:w="440" w:type="dxa"/>
            <w:vAlign w:val="bottom"/>
          </w:tcPr>
          <w:p>
            <w:pPr>
              <w:spacing w:after="0"/>
              <w:rPr>
                <w:sz w:val="23"/>
                <w:szCs w:val="23"/>
                <w:color w:val="auto"/>
              </w:rPr>
            </w:pPr>
          </w:p>
        </w:tc>
        <w:tc>
          <w:tcPr>
            <w:tcW w:w="7440" w:type="dxa"/>
            <w:vAlign w:val="bottom"/>
          </w:tcPr>
          <w:p>
            <w:pPr>
              <w:ind w:left="380"/>
              <w:spacing w:after="0"/>
              <w:rPr>
                <w:sz w:val="20"/>
                <w:szCs w:val="20"/>
                <w:color w:val="auto"/>
              </w:rPr>
            </w:pPr>
            <w:r>
              <w:rPr>
                <w:rFonts w:ascii="Arial" w:cs="Arial" w:eastAsia="Arial" w:hAnsi="Arial"/>
                <w:sz w:val="22"/>
                <w:szCs w:val="22"/>
                <w:color w:val="0000FF"/>
              </w:rPr>
              <w:t>Rights as a Lender</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80</w:t>
            </w:r>
          </w:p>
        </w:tc>
      </w:tr>
      <w:tr>
        <w:trPr>
          <w:trHeight w:val="270"/>
        </w:trPr>
        <w:tc>
          <w:tcPr>
            <w:tcW w:w="1720" w:type="dxa"/>
            <w:vAlign w:val="bottom"/>
          </w:tcPr>
          <w:p>
            <w:pPr>
              <w:ind w:left="340"/>
              <w:spacing w:after="0"/>
              <w:rPr>
                <w:sz w:val="20"/>
                <w:szCs w:val="20"/>
                <w:color w:val="auto"/>
              </w:rPr>
            </w:pPr>
            <w:r>
              <w:rPr>
                <w:rFonts w:ascii="Arial" w:cs="Arial" w:eastAsia="Arial" w:hAnsi="Arial"/>
                <w:sz w:val="22"/>
                <w:szCs w:val="22"/>
                <w:color w:val="0000FF"/>
                <w:w w:val="92"/>
              </w:rPr>
              <w:t>SECTION 11.3</w:t>
            </w:r>
          </w:p>
        </w:tc>
        <w:tc>
          <w:tcPr>
            <w:tcW w:w="440" w:type="dxa"/>
            <w:vAlign w:val="bottom"/>
          </w:tcPr>
          <w:p>
            <w:pPr>
              <w:spacing w:after="0"/>
              <w:rPr>
                <w:sz w:val="23"/>
                <w:szCs w:val="23"/>
                <w:color w:val="auto"/>
              </w:rPr>
            </w:pPr>
          </w:p>
        </w:tc>
        <w:tc>
          <w:tcPr>
            <w:tcW w:w="7440" w:type="dxa"/>
            <w:vAlign w:val="bottom"/>
          </w:tcPr>
          <w:p>
            <w:pPr>
              <w:ind w:left="380"/>
              <w:spacing w:after="0"/>
              <w:rPr>
                <w:sz w:val="20"/>
                <w:szCs w:val="20"/>
                <w:color w:val="auto"/>
              </w:rPr>
            </w:pPr>
            <w:r>
              <w:rPr>
                <w:rFonts w:ascii="Arial" w:cs="Arial" w:eastAsia="Arial" w:hAnsi="Arial"/>
                <w:sz w:val="22"/>
                <w:szCs w:val="22"/>
                <w:color w:val="0000FF"/>
              </w:rPr>
              <w:t>Exculpatory Provisions</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80</w:t>
            </w:r>
          </w:p>
        </w:tc>
      </w:tr>
      <w:tr>
        <w:trPr>
          <w:trHeight w:val="270"/>
        </w:trPr>
        <w:tc>
          <w:tcPr>
            <w:tcW w:w="1720" w:type="dxa"/>
            <w:vAlign w:val="bottom"/>
          </w:tcPr>
          <w:p>
            <w:pPr>
              <w:ind w:left="340"/>
              <w:spacing w:after="0"/>
              <w:rPr>
                <w:sz w:val="20"/>
                <w:szCs w:val="20"/>
                <w:color w:val="auto"/>
              </w:rPr>
            </w:pPr>
            <w:r>
              <w:rPr>
                <w:rFonts w:ascii="Arial" w:cs="Arial" w:eastAsia="Arial" w:hAnsi="Arial"/>
                <w:sz w:val="22"/>
                <w:szCs w:val="22"/>
                <w:color w:val="0000FF"/>
                <w:w w:val="92"/>
              </w:rPr>
              <w:t>SECTION 11.4</w:t>
            </w:r>
          </w:p>
        </w:tc>
        <w:tc>
          <w:tcPr>
            <w:tcW w:w="440" w:type="dxa"/>
            <w:vAlign w:val="bottom"/>
          </w:tcPr>
          <w:p>
            <w:pPr>
              <w:spacing w:after="0"/>
              <w:rPr>
                <w:sz w:val="23"/>
                <w:szCs w:val="23"/>
                <w:color w:val="auto"/>
              </w:rPr>
            </w:pPr>
          </w:p>
        </w:tc>
        <w:tc>
          <w:tcPr>
            <w:tcW w:w="7440" w:type="dxa"/>
            <w:vAlign w:val="bottom"/>
          </w:tcPr>
          <w:p>
            <w:pPr>
              <w:ind w:left="380"/>
              <w:spacing w:after="0"/>
              <w:rPr>
                <w:sz w:val="20"/>
                <w:szCs w:val="20"/>
                <w:color w:val="auto"/>
              </w:rPr>
            </w:pPr>
            <w:r>
              <w:rPr>
                <w:rFonts w:ascii="Arial" w:cs="Arial" w:eastAsia="Arial" w:hAnsi="Arial"/>
                <w:sz w:val="22"/>
                <w:szCs w:val="22"/>
                <w:color w:val="0000FF"/>
              </w:rPr>
              <w:t>Reliance by the Administrative Agent</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82</w:t>
            </w:r>
          </w:p>
        </w:tc>
      </w:tr>
      <w:tr>
        <w:trPr>
          <w:trHeight w:val="270"/>
        </w:trPr>
        <w:tc>
          <w:tcPr>
            <w:tcW w:w="1720" w:type="dxa"/>
            <w:vAlign w:val="bottom"/>
          </w:tcPr>
          <w:p>
            <w:pPr>
              <w:ind w:left="340"/>
              <w:spacing w:after="0"/>
              <w:rPr>
                <w:sz w:val="20"/>
                <w:szCs w:val="20"/>
                <w:color w:val="auto"/>
              </w:rPr>
            </w:pPr>
            <w:r>
              <w:rPr>
                <w:rFonts w:ascii="Arial" w:cs="Arial" w:eastAsia="Arial" w:hAnsi="Arial"/>
                <w:sz w:val="22"/>
                <w:szCs w:val="22"/>
                <w:color w:val="0000FF"/>
                <w:w w:val="92"/>
              </w:rPr>
              <w:t>SECTION 11.5</w:t>
            </w:r>
          </w:p>
        </w:tc>
        <w:tc>
          <w:tcPr>
            <w:tcW w:w="440" w:type="dxa"/>
            <w:vAlign w:val="bottom"/>
          </w:tcPr>
          <w:p>
            <w:pPr>
              <w:spacing w:after="0"/>
              <w:rPr>
                <w:sz w:val="23"/>
                <w:szCs w:val="23"/>
                <w:color w:val="auto"/>
              </w:rPr>
            </w:pPr>
          </w:p>
        </w:tc>
        <w:tc>
          <w:tcPr>
            <w:tcW w:w="7440" w:type="dxa"/>
            <w:vAlign w:val="bottom"/>
          </w:tcPr>
          <w:p>
            <w:pPr>
              <w:ind w:left="380"/>
              <w:spacing w:after="0"/>
              <w:rPr>
                <w:sz w:val="20"/>
                <w:szCs w:val="20"/>
                <w:color w:val="auto"/>
              </w:rPr>
            </w:pPr>
            <w:r>
              <w:rPr>
                <w:rFonts w:ascii="Arial" w:cs="Arial" w:eastAsia="Arial" w:hAnsi="Arial"/>
                <w:sz w:val="22"/>
                <w:szCs w:val="22"/>
                <w:color w:val="0000FF"/>
              </w:rPr>
              <w:t>Delegation of Duties</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82</w:t>
            </w:r>
          </w:p>
        </w:tc>
      </w:tr>
      <w:tr>
        <w:trPr>
          <w:trHeight w:val="270"/>
        </w:trPr>
        <w:tc>
          <w:tcPr>
            <w:tcW w:w="1720" w:type="dxa"/>
            <w:vAlign w:val="bottom"/>
          </w:tcPr>
          <w:p>
            <w:pPr>
              <w:ind w:left="340"/>
              <w:spacing w:after="0"/>
              <w:rPr>
                <w:sz w:val="20"/>
                <w:szCs w:val="20"/>
                <w:color w:val="auto"/>
              </w:rPr>
            </w:pPr>
            <w:r>
              <w:rPr>
                <w:rFonts w:ascii="Arial" w:cs="Arial" w:eastAsia="Arial" w:hAnsi="Arial"/>
                <w:sz w:val="22"/>
                <w:szCs w:val="22"/>
                <w:color w:val="0000FF"/>
                <w:w w:val="92"/>
              </w:rPr>
              <w:t>SECTION 11.6</w:t>
            </w:r>
          </w:p>
        </w:tc>
        <w:tc>
          <w:tcPr>
            <w:tcW w:w="440" w:type="dxa"/>
            <w:vAlign w:val="bottom"/>
          </w:tcPr>
          <w:p>
            <w:pPr>
              <w:spacing w:after="0"/>
              <w:rPr>
                <w:sz w:val="23"/>
                <w:szCs w:val="23"/>
                <w:color w:val="auto"/>
              </w:rPr>
            </w:pPr>
          </w:p>
        </w:tc>
        <w:tc>
          <w:tcPr>
            <w:tcW w:w="7440" w:type="dxa"/>
            <w:vAlign w:val="bottom"/>
          </w:tcPr>
          <w:p>
            <w:pPr>
              <w:ind w:left="380"/>
              <w:spacing w:after="0"/>
              <w:rPr>
                <w:sz w:val="20"/>
                <w:szCs w:val="20"/>
                <w:color w:val="auto"/>
              </w:rPr>
            </w:pPr>
            <w:r>
              <w:rPr>
                <w:rFonts w:ascii="Arial" w:cs="Arial" w:eastAsia="Arial" w:hAnsi="Arial"/>
                <w:sz w:val="22"/>
                <w:szCs w:val="22"/>
                <w:color w:val="0000FF"/>
              </w:rPr>
              <w:t>Resignation or Removal of the Administrative Agent</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83</w:t>
            </w:r>
          </w:p>
        </w:tc>
      </w:tr>
      <w:tr>
        <w:trPr>
          <w:trHeight w:val="270"/>
        </w:trPr>
        <w:tc>
          <w:tcPr>
            <w:tcW w:w="1720" w:type="dxa"/>
            <w:vAlign w:val="bottom"/>
          </w:tcPr>
          <w:p>
            <w:pPr>
              <w:ind w:left="340"/>
              <w:spacing w:after="0"/>
              <w:rPr>
                <w:sz w:val="20"/>
                <w:szCs w:val="20"/>
                <w:color w:val="auto"/>
              </w:rPr>
            </w:pPr>
            <w:r>
              <w:rPr>
                <w:rFonts w:ascii="Arial" w:cs="Arial" w:eastAsia="Arial" w:hAnsi="Arial"/>
                <w:sz w:val="22"/>
                <w:szCs w:val="22"/>
                <w:color w:val="0000FF"/>
                <w:w w:val="92"/>
              </w:rPr>
              <w:t>SECTION 11.7</w:t>
            </w:r>
          </w:p>
        </w:tc>
        <w:tc>
          <w:tcPr>
            <w:tcW w:w="440" w:type="dxa"/>
            <w:vAlign w:val="bottom"/>
          </w:tcPr>
          <w:p>
            <w:pPr>
              <w:spacing w:after="0"/>
              <w:rPr>
                <w:sz w:val="23"/>
                <w:szCs w:val="23"/>
                <w:color w:val="auto"/>
              </w:rPr>
            </w:pPr>
          </w:p>
        </w:tc>
        <w:tc>
          <w:tcPr>
            <w:tcW w:w="7440" w:type="dxa"/>
            <w:vAlign w:val="bottom"/>
          </w:tcPr>
          <w:p>
            <w:pPr>
              <w:ind w:left="380"/>
              <w:spacing w:after="0"/>
              <w:rPr>
                <w:sz w:val="20"/>
                <w:szCs w:val="20"/>
                <w:color w:val="auto"/>
              </w:rPr>
            </w:pPr>
            <w:r>
              <w:rPr>
                <w:rFonts w:ascii="Arial" w:cs="Arial" w:eastAsia="Arial" w:hAnsi="Arial"/>
                <w:sz w:val="22"/>
                <w:szCs w:val="22"/>
                <w:color w:val="0000FF"/>
              </w:rPr>
              <w:t>Non-Reliance on the Administrative Agent and Other Lenders</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84</w:t>
            </w:r>
          </w:p>
        </w:tc>
      </w:tr>
      <w:tr>
        <w:trPr>
          <w:trHeight w:val="270"/>
        </w:trPr>
        <w:tc>
          <w:tcPr>
            <w:tcW w:w="1720" w:type="dxa"/>
            <w:vAlign w:val="bottom"/>
          </w:tcPr>
          <w:p>
            <w:pPr>
              <w:ind w:left="340"/>
              <w:spacing w:after="0"/>
              <w:rPr>
                <w:sz w:val="20"/>
                <w:szCs w:val="20"/>
                <w:color w:val="auto"/>
              </w:rPr>
            </w:pPr>
            <w:r>
              <w:rPr>
                <w:rFonts w:ascii="Arial" w:cs="Arial" w:eastAsia="Arial" w:hAnsi="Arial"/>
                <w:sz w:val="22"/>
                <w:szCs w:val="22"/>
                <w:color w:val="0000FF"/>
                <w:w w:val="92"/>
              </w:rPr>
              <w:t>SECTION 11.8</w:t>
            </w:r>
          </w:p>
        </w:tc>
        <w:tc>
          <w:tcPr>
            <w:tcW w:w="440" w:type="dxa"/>
            <w:vAlign w:val="bottom"/>
          </w:tcPr>
          <w:p>
            <w:pPr>
              <w:spacing w:after="0"/>
              <w:rPr>
                <w:sz w:val="23"/>
                <w:szCs w:val="23"/>
                <w:color w:val="auto"/>
              </w:rPr>
            </w:pPr>
          </w:p>
        </w:tc>
        <w:tc>
          <w:tcPr>
            <w:tcW w:w="7440" w:type="dxa"/>
            <w:vAlign w:val="bottom"/>
          </w:tcPr>
          <w:p>
            <w:pPr>
              <w:ind w:left="380"/>
              <w:spacing w:after="0"/>
              <w:rPr>
                <w:sz w:val="20"/>
                <w:szCs w:val="20"/>
                <w:color w:val="auto"/>
              </w:rPr>
            </w:pPr>
            <w:r>
              <w:rPr>
                <w:rFonts w:ascii="Arial" w:cs="Arial" w:eastAsia="Arial" w:hAnsi="Arial"/>
                <w:sz w:val="22"/>
                <w:szCs w:val="22"/>
                <w:color w:val="0000FF"/>
              </w:rPr>
              <w:t>Administrative Agent May File Proofs of Claim</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84</w:t>
            </w:r>
          </w:p>
        </w:tc>
      </w:tr>
      <w:tr>
        <w:trPr>
          <w:trHeight w:val="270"/>
        </w:trPr>
        <w:tc>
          <w:tcPr>
            <w:tcW w:w="1720" w:type="dxa"/>
            <w:vAlign w:val="bottom"/>
          </w:tcPr>
          <w:p>
            <w:pPr>
              <w:ind w:left="340"/>
              <w:spacing w:after="0"/>
              <w:rPr>
                <w:sz w:val="20"/>
                <w:szCs w:val="20"/>
                <w:color w:val="auto"/>
              </w:rPr>
            </w:pPr>
            <w:r>
              <w:rPr>
                <w:rFonts w:ascii="Arial" w:cs="Arial" w:eastAsia="Arial" w:hAnsi="Arial"/>
                <w:sz w:val="22"/>
                <w:szCs w:val="22"/>
                <w:color w:val="0000FF"/>
                <w:w w:val="92"/>
              </w:rPr>
              <w:t>SECTION 11.9</w:t>
            </w:r>
          </w:p>
        </w:tc>
        <w:tc>
          <w:tcPr>
            <w:tcW w:w="440" w:type="dxa"/>
            <w:vAlign w:val="bottom"/>
          </w:tcPr>
          <w:p>
            <w:pPr>
              <w:spacing w:after="0"/>
              <w:rPr>
                <w:sz w:val="23"/>
                <w:szCs w:val="23"/>
                <w:color w:val="auto"/>
              </w:rPr>
            </w:pPr>
          </w:p>
        </w:tc>
        <w:tc>
          <w:tcPr>
            <w:tcW w:w="7440" w:type="dxa"/>
            <w:vAlign w:val="bottom"/>
          </w:tcPr>
          <w:p>
            <w:pPr>
              <w:ind w:left="380"/>
              <w:spacing w:after="0"/>
              <w:rPr>
                <w:sz w:val="20"/>
                <w:szCs w:val="20"/>
                <w:color w:val="auto"/>
              </w:rPr>
            </w:pPr>
            <w:r>
              <w:rPr>
                <w:rFonts w:ascii="Arial" w:cs="Arial" w:eastAsia="Arial" w:hAnsi="Arial"/>
                <w:sz w:val="22"/>
                <w:szCs w:val="22"/>
                <w:color w:val="0000FF"/>
              </w:rPr>
              <w:t>Collateral and Guarantee Matters</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85</w:t>
            </w:r>
          </w:p>
        </w:tc>
      </w:tr>
      <w:tr>
        <w:trPr>
          <w:trHeight w:val="274"/>
        </w:trPr>
        <w:tc>
          <w:tcPr>
            <w:tcW w:w="2160" w:type="dxa"/>
            <w:vAlign w:val="bottom"/>
            <w:gridSpan w:val="2"/>
          </w:tcPr>
          <w:p>
            <w:pPr>
              <w:ind w:left="340"/>
              <w:spacing w:after="0"/>
              <w:rPr>
                <w:sz w:val="20"/>
                <w:szCs w:val="20"/>
                <w:color w:val="auto"/>
              </w:rPr>
            </w:pPr>
            <w:r>
              <w:rPr>
                <w:rFonts w:ascii="Arial" w:cs="Arial" w:eastAsia="Arial" w:hAnsi="Arial"/>
                <w:sz w:val="22"/>
                <w:szCs w:val="22"/>
                <w:color w:val="0000FF"/>
              </w:rPr>
              <w:t>SECTION 11.10</w:t>
            </w:r>
          </w:p>
        </w:tc>
        <w:tc>
          <w:tcPr>
            <w:tcW w:w="7440" w:type="dxa"/>
            <w:vAlign w:val="bottom"/>
          </w:tcPr>
          <w:p>
            <w:pPr>
              <w:ind w:left="380"/>
              <w:spacing w:after="0"/>
              <w:rPr>
                <w:sz w:val="20"/>
                <w:szCs w:val="20"/>
                <w:color w:val="auto"/>
              </w:rPr>
            </w:pPr>
            <w:r>
              <w:rPr>
                <w:rFonts w:ascii="Arial" w:cs="Arial" w:eastAsia="Arial" w:hAnsi="Arial"/>
                <w:sz w:val="22"/>
                <w:szCs w:val="22"/>
                <w:color w:val="0000FF"/>
              </w:rPr>
              <w:t>Erroneous Payments</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86</w:t>
            </w:r>
          </w:p>
        </w:tc>
      </w:tr>
      <w:tr>
        <w:trPr>
          <w:trHeight w:val="688"/>
        </w:trPr>
        <w:tc>
          <w:tcPr>
            <w:tcW w:w="1720" w:type="dxa"/>
            <w:vAlign w:val="bottom"/>
          </w:tcPr>
          <w:p>
            <w:pPr>
              <w:spacing w:after="0"/>
              <w:rPr>
                <w:sz w:val="20"/>
                <w:szCs w:val="20"/>
                <w:color w:val="auto"/>
              </w:rPr>
            </w:pPr>
            <w:r>
              <w:rPr>
                <w:rFonts w:ascii="Arial" w:cs="Arial" w:eastAsia="Arial" w:hAnsi="Arial"/>
                <w:sz w:val="22"/>
                <w:szCs w:val="22"/>
                <w:color w:val="auto"/>
              </w:rPr>
              <w:t>SCHEDULES:</w:t>
            </w:r>
          </w:p>
        </w:tc>
        <w:tc>
          <w:tcPr>
            <w:tcW w:w="4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28"/>
        </w:trPr>
        <w:tc>
          <w:tcPr>
            <w:tcW w:w="1720" w:type="dxa"/>
            <w:vAlign w:val="bottom"/>
          </w:tcPr>
          <w:p>
            <w:pPr>
              <w:spacing w:after="0"/>
              <w:rPr>
                <w:sz w:val="20"/>
                <w:szCs w:val="20"/>
                <w:color w:val="auto"/>
              </w:rPr>
            </w:pPr>
            <w:r>
              <w:rPr>
                <w:rFonts w:ascii="Arial" w:cs="Arial" w:eastAsia="Arial" w:hAnsi="Arial"/>
                <w:sz w:val="22"/>
                <w:szCs w:val="22"/>
                <w:color w:val="auto"/>
              </w:rPr>
              <w:t>Schedule 1.1</w:t>
            </w:r>
          </w:p>
        </w:tc>
        <w:tc>
          <w:tcPr>
            <w:tcW w:w="7880" w:type="dxa"/>
            <w:vAlign w:val="bottom"/>
            <w:gridSpan w:val="2"/>
          </w:tcPr>
          <w:p>
            <w:pPr>
              <w:ind w:left="20"/>
              <w:spacing w:after="0"/>
              <w:rPr>
                <w:sz w:val="20"/>
                <w:szCs w:val="20"/>
                <w:color w:val="auto"/>
              </w:rPr>
            </w:pPr>
            <w:r>
              <w:rPr>
                <w:rFonts w:ascii="Arial" w:cs="Arial" w:eastAsia="Arial" w:hAnsi="Arial"/>
                <w:sz w:val="22"/>
                <w:szCs w:val="22"/>
                <w:color w:val="auto"/>
              </w:rPr>
              <w:t>Key Contracts</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43"/>
        </w:trPr>
        <w:tc>
          <w:tcPr>
            <w:tcW w:w="1720" w:type="dxa"/>
            <w:vAlign w:val="bottom"/>
          </w:tcPr>
          <w:p>
            <w:pPr>
              <w:spacing w:after="0" w:line="243" w:lineRule="exact"/>
              <w:rPr>
                <w:sz w:val="20"/>
                <w:szCs w:val="20"/>
                <w:color w:val="auto"/>
              </w:rPr>
            </w:pPr>
            <w:r>
              <w:rPr>
                <w:rFonts w:ascii="Arial" w:cs="Arial" w:eastAsia="Arial" w:hAnsi="Arial"/>
                <w:sz w:val="22"/>
                <w:szCs w:val="22"/>
                <w:color w:val="auto"/>
              </w:rPr>
              <w:t>Schedule 2.1</w:t>
            </w:r>
          </w:p>
        </w:tc>
        <w:tc>
          <w:tcPr>
            <w:tcW w:w="78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Commitments and Applicable Percentages</w:t>
            </w: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1720" w:type="dxa"/>
            <w:vAlign w:val="bottom"/>
          </w:tcPr>
          <w:p>
            <w:pPr>
              <w:spacing w:after="0" w:line="243" w:lineRule="exact"/>
              <w:rPr>
                <w:sz w:val="20"/>
                <w:szCs w:val="20"/>
                <w:color w:val="auto"/>
              </w:rPr>
            </w:pPr>
            <w:r>
              <w:rPr>
                <w:rFonts w:ascii="Arial" w:cs="Arial" w:eastAsia="Arial" w:hAnsi="Arial"/>
                <w:sz w:val="22"/>
                <w:szCs w:val="22"/>
                <w:color w:val="auto"/>
              </w:rPr>
              <w:t>Schedule 6.7(a)</w:t>
            </w:r>
          </w:p>
        </w:tc>
        <w:tc>
          <w:tcPr>
            <w:tcW w:w="78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Litigation</w:t>
            </w: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1720" w:type="dxa"/>
            <w:vAlign w:val="bottom"/>
          </w:tcPr>
          <w:p>
            <w:pPr>
              <w:spacing w:after="0" w:line="243" w:lineRule="exact"/>
              <w:rPr>
                <w:sz w:val="20"/>
                <w:szCs w:val="20"/>
                <w:color w:val="auto"/>
              </w:rPr>
            </w:pPr>
            <w:r>
              <w:rPr>
                <w:rFonts w:ascii="Arial" w:cs="Arial" w:eastAsia="Arial" w:hAnsi="Arial"/>
                <w:sz w:val="22"/>
                <w:szCs w:val="22"/>
                <w:color w:val="auto"/>
              </w:rPr>
              <w:t>Schedule 6.8</w:t>
            </w:r>
          </w:p>
        </w:tc>
        <w:tc>
          <w:tcPr>
            <w:tcW w:w="78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Existing Subsidiaries</w:t>
            </w: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1720" w:type="dxa"/>
            <w:vAlign w:val="bottom"/>
          </w:tcPr>
          <w:p>
            <w:pPr>
              <w:spacing w:after="0" w:line="243" w:lineRule="exact"/>
              <w:rPr>
                <w:sz w:val="20"/>
                <w:szCs w:val="20"/>
                <w:color w:val="auto"/>
              </w:rPr>
            </w:pPr>
            <w:r>
              <w:rPr>
                <w:rFonts w:ascii="Arial" w:cs="Arial" w:eastAsia="Arial" w:hAnsi="Arial"/>
                <w:sz w:val="22"/>
                <w:szCs w:val="22"/>
                <w:color w:val="auto"/>
              </w:rPr>
              <w:t>Schedule 6.11</w:t>
            </w:r>
          </w:p>
        </w:tc>
        <w:tc>
          <w:tcPr>
            <w:tcW w:w="78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Non-Third Party Insured Benefit Plans</w:t>
            </w: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74"/>
        </w:trPr>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40" w:type="dxa"/>
            <w:vAlign w:val="bottom"/>
          </w:tcPr>
          <w:p>
            <w:pPr>
              <w:ind w:left="3260"/>
              <w:spacing w:after="0"/>
              <w:rPr>
                <w:sz w:val="20"/>
                <w:szCs w:val="20"/>
                <w:color w:val="auto"/>
              </w:rPr>
            </w:pPr>
            <w:r>
              <w:rPr>
                <w:rFonts w:ascii="Arial" w:cs="Arial" w:eastAsia="Arial" w:hAnsi="Arial"/>
                <w:sz w:val="22"/>
                <w:szCs w:val="22"/>
                <w:color w:val="auto"/>
              </w:rPr>
              <w:t>- iv -</w:t>
            </w: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645"/>
        </w:trPr>
        <w:tc>
          <w:tcPr>
            <w:tcW w:w="1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4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53"/>
        </w:trPr>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40" w:type="dxa"/>
            <w:vAlign w:val="bottom"/>
            <w:gridSpan w:val="2"/>
          </w:tcPr>
          <w:p>
            <w:pPr>
              <w:jc w:val="center"/>
              <w:ind w:right="1492"/>
              <w:spacing w:after="0"/>
              <w:rPr>
                <w:sz w:val="20"/>
                <w:szCs w:val="20"/>
                <w:color w:val="auto"/>
              </w:rPr>
            </w:pPr>
            <w:r>
              <w:rPr>
                <w:rFonts w:ascii="Arial" w:cs="Arial" w:eastAsia="Arial" w:hAnsi="Arial"/>
                <w:sz w:val="22"/>
                <w:szCs w:val="22"/>
                <w:color w:val="auto"/>
                <w:w w:val="94"/>
              </w:rPr>
              <w:t>TABLE OF CONTENTS</w:t>
            </w:r>
          </w:p>
        </w:tc>
      </w:tr>
      <w:tr>
        <w:trPr>
          <w:trHeight w:val="243"/>
        </w:trPr>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40" w:type="dxa"/>
            <w:vAlign w:val="bottom"/>
            <w:gridSpan w:val="2"/>
          </w:tcPr>
          <w:p>
            <w:pPr>
              <w:jc w:val="center"/>
              <w:ind w:right="1492"/>
              <w:spacing w:after="0" w:line="243" w:lineRule="exact"/>
              <w:rPr>
                <w:sz w:val="20"/>
                <w:szCs w:val="20"/>
                <w:color w:val="auto"/>
              </w:rPr>
            </w:pPr>
            <w:r>
              <w:rPr>
                <w:rFonts w:ascii="Arial" w:cs="Arial" w:eastAsia="Arial" w:hAnsi="Arial"/>
                <w:sz w:val="22"/>
                <w:szCs w:val="22"/>
                <w:color w:val="auto"/>
                <w:w w:val="90"/>
              </w:rPr>
              <w:t>(continued)</w:t>
            </w:r>
          </w:p>
        </w:tc>
      </w:tr>
      <w:tr>
        <w:trPr>
          <w:trHeight w:val="224"/>
        </w:trPr>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4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77"/>
              </w:rPr>
              <w:t>Page</w:t>
            </w:r>
          </w:p>
        </w:tc>
      </w:tr>
      <w:tr>
        <w:trPr>
          <w:trHeight w:val="458"/>
        </w:trPr>
        <w:tc>
          <w:tcPr>
            <w:tcW w:w="1600" w:type="dxa"/>
            <w:vAlign w:val="bottom"/>
            <w:gridSpan w:val="2"/>
          </w:tcPr>
          <w:p>
            <w:pPr>
              <w:spacing w:after="0"/>
              <w:rPr>
                <w:sz w:val="20"/>
                <w:szCs w:val="20"/>
                <w:color w:val="auto"/>
              </w:rPr>
            </w:pPr>
            <w:r>
              <w:rPr>
                <w:rFonts w:ascii="Arial" w:cs="Arial" w:eastAsia="Arial" w:hAnsi="Arial"/>
                <w:sz w:val="22"/>
                <w:szCs w:val="22"/>
                <w:color w:val="auto"/>
                <w:w w:val="94"/>
              </w:rPr>
              <w:t>Schedule 6.15(a)</w:t>
            </w:r>
          </w:p>
        </w:tc>
        <w:tc>
          <w:tcPr>
            <w:tcW w:w="9640" w:type="dxa"/>
            <w:vAlign w:val="bottom"/>
            <w:gridSpan w:val="2"/>
          </w:tcPr>
          <w:p>
            <w:pPr>
              <w:ind w:left="140"/>
              <w:spacing w:after="0"/>
              <w:rPr>
                <w:sz w:val="20"/>
                <w:szCs w:val="20"/>
                <w:color w:val="auto"/>
              </w:rPr>
            </w:pPr>
            <w:r>
              <w:rPr>
                <w:rFonts w:ascii="Arial" w:cs="Arial" w:eastAsia="Arial" w:hAnsi="Arial"/>
                <w:sz w:val="22"/>
                <w:szCs w:val="22"/>
                <w:color w:val="auto"/>
              </w:rPr>
              <w:t>Intellectual Property</w:t>
            </w: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w w:val="88"/>
              </w:rPr>
              <w:t>Schedule 6.16</w:t>
            </w:r>
          </w:p>
        </w:tc>
        <w:tc>
          <w:tcPr>
            <w:tcW w:w="340" w:type="dxa"/>
            <w:vAlign w:val="bottom"/>
          </w:tcPr>
          <w:p>
            <w:pPr>
              <w:spacing w:after="0"/>
              <w:rPr>
                <w:sz w:val="21"/>
                <w:szCs w:val="21"/>
                <w:color w:val="auto"/>
              </w:rPr>
            </w:pPr>
          </w:p>
        </w:tc>
        <w:tc>
          <w:tcPr>
            <w:tcW w:w="964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Material Agreements</w:t>
            </w: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w w:val="88"/>
              </w:rPr>
              <w:t>Schedule 6.22</w:t>
            </w:r>
          </w:p>
        </w:tc>
        <w:tc>
          <w:tcPr>
            <w:tcW w:w="340" w:type="dxa"/>
            <w:vAlign w:val="bottom"/>
          </w:tcPr>
          <w:p>
            <w:pPr>
              <w:spacing w:after="0"/>
              <w:rPr>
                <w:sz w:val="21"/>
                <w:szCs w:val="21"/>
                <w:color w:val="auto"/>
              </w:rPr>
            </w:pPr>
          </w:p>
        </w:tc>
        <w:tc>
          <w:tcPr>
            <w:tcW w:w="964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Deposit and Disbursement Accounts</w:t>
            </w:r>
          </w:p>
        </w:tc>
      </w:tr>
      <w:tr>
        <w:trPr>
          <w:trHeight w:val="243"/>
        </w:trPr>
        <w:tc>
          <w:tcPr>
            <w:tcW w:w="1600" w:type="dxa"/>
            <w:vAlign w:val="bottom"/>
            <w:gridSpan w:val="2"/>
          </w:tcPr>
          <w:p>
            <w:pPr>
              <w:spacing w:after="0" w:line="243" w:lineRule="exact"/>
              <w:rPr>
                <w:sz w:val="20"/>
                <w:szCs w:val="20"/>
                <w:color w:val="auto"/>
              </w:rPr>
            </w:pPr>
            <w:r>
              <w:rPr>
                <w:rFonts w:ascii="Arial" w:cs="Arial" w:eastAsia="Arial" w:hAnsi="Arial"/>
                <w:sz w:val="22"/>
                <w:szCs w:val="22"/>
                <w:color w:val="auto"/>
                <w:w w:val="94"/>
              </w:rPr>
              <w:t>Schedule 6.23(a)</w:t>
            </w:r>
          </w:p>
        </w:tc>
        <w:tc>
          <w:tcPr>
            <w:tcW w:w="964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Data Privacy</w:t>
            </w:r>
          </w:p>
        </w:tc>
      </w:tr>
      <w:tr>
        <w:trPr>
          <w:trHeight w:val="243"/>
        </w:trPr>
        <w:tc>
          <w:tcPr>
            <w:tcW w:w="1600" w:type="dxa"/>
            <w:vAlign w:val="bottom"/>
            <w:gridSpan w:val="2"/>
          </w:tcPr>
          <w:p>
            <w:pPr>
              <w:spacing w:after="0" w:line="243" w:lineRule="exact"/>
              <w:rPr>
                <w:sz w:val="20"/>
                <w:szCs w:val="20"/>
                <w:color w:val="auto"/>
              </w:rPr>
            </w:pPr>
            <w:r>
              <w:rPr>
                <w:rFonts w:ascii="Arial" w:cs="Arial" w:eastAsia="Arial" w:hAnsi="Arial"/>
                <w:sz w:val="22"/>
                <w:szCs w:val="22"/>
                <w:color w:val="auto"/>
              </w:rPr>
              <w:t>Schedule 8.2(a)</w:t>
            </w:r>
          </w:p>
        </w:tc>
        <w:tc>
          <w:tcPr>
            <w:tcW w:w="964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Indebtedness to be Paid</w:t>
            </w:r>
          </w:p>
        </w:tc>
      </w:tr>
      <w:tr>
        <w:trPr>
          <w:trHeight w:val="243"/>
        </w:trPr>
        <w:tc>
          <w:tcPr>
            <w:tcW w:w="1600" w:type="dxa"/>
            <w:vAlign w:val="bottom"/>
            <w:gridSpan w:val="2"/>
          </w:tcPr>
          <w:p>
            <w:pPr>
              <w:spacing w:after="0" w:line="243" w:lineRule="exact"/>
              <w:rPr>
                <w:sz w:val="20"/>
                <w:szCs w:val="20"/>
                <w:color w:val="auto"/>
              </w:rPr>
            </w:pPr>
            <w:r>
              <w:rPr>
                <w:rFonts w:ascii="Arial" w:cs="Arial" w:eastAsia="Arial" w:hAnsi="Arial"/>
                <w:sz w:val="22"/>
                <w:szCs w:val="22"/>
                <w:color w:val="auto"/>
              </w:rPr>
              <w:t>Schedule 8.2(b)</w:t>
            </w:r>
          </w:p>
        </w:tc>
        <w:tc>
          <w:tcPr>
            <w:tcW w:w="964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Existing Indebtedness</w:t>
            </w:r>
          </w:p>
        </w:tc>
      </w:tr>
      <w:tr>
        <w:trPr>
          <w:trHeight w:val="243"/>
        </w:trPr>
        <w:tc>
          <w:tcPr>
            <w:tcW w:w="1600" w:type="dxa"/>
            <w:vAlign w:val="bottom"/>
            <w:gridSpan w:val="2"/>
          </w:tcPr>
          <w:p>
            <w:pPr>
              <w:spacing w:after="0" w:line="243" w:lineRule="exact"/>
              <w:rPr>
                <w:sz w:val="20"/>
                <w:szCs w:val="20"/>
                <w:color w:val="auto"/>
              </w:rPr>
            </w:pPr>
            <w:r>
              <w:rPr>
                <w:rFonts w:ascii="Arial" w:cs="Arial" w:eastAsia="Arial" w:hAnsi="Arial"/>
                <w:sz w:val="22"/>
                <w:szCs w:val="22"/>
                <w:color w:val="auto"/>
              </w:rPr>
              <w:t>Schedule 8.3(b)</w:t>
            </w:r>
          </w:p>
        </w:tc>
        <w:tc>
          <w:tcPr>
            <w:tcW w:w="964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Existing Liens</w:t>
            </w:r>
          </w:p>
        </w:tc>
      </w:tr>
      <w:tr>
        <w:trPr>
          <w:trHeight w:val="243"/>
        </w:trPr>
        <w:tc>
          <w:tcPr>
            <w:tcW w:w="1600" w:type="dxa"/>
            <w:vAlign w:val="bottom"/>
            <w:gridSpan w:val="2"/>
          </w:tcPr>
          <w:p>
            <w:pPr>
              <w:spacing w:after="0" w:line="243" w:lineRule="exact"/>
              <w:rPr>
                <w:sz w:val="20"/>
                <w:szCs w:val="20"/>
                <w:color w:val="auto"/>
              </w:rPr>
            </w:pPr>
            <w:r>
              <w:rPr>
                <w:rFonts w:ascii="Arial" w:cs="Arial" w:eastAsia="Arial" w:hAnsi="Arial"/>
                <w:sz w:val="22"/>
                <w:szCs w:val="22"/>
                <w:color w:val="auto"/>
              </w:rPr>
              <w:t>Schedule 8.5(a)</w:t>
            </w:r>
          </w:p>
        </w:tc>
        <w:tc>
          <w:tcPr>
            <w:tcW w:w="964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Investments</w:t>
            </w:r>
          </w:p>
        </w:tc>
      </w:tr>
      <w:tr>
        <w:trPr>
          <w:trHeight w:val="243"/>
        </w:trPr>
        <w:tc>
          <w:tcPr>
            <w:tcW w:w="1600" w:type="dxa"/>
            <w:vAlign w:val="bottom"/>
            <w:gridSpan w:val="2"/>
          </w:tcPr>
          <w:p>
            <w:pPr>
              <w:spacing w:after="0" w:line="243" w:lineRule="exact"/>
              <w:rPr>
                <w:sz w:val="20"/>
                <w:szCs w:val="20"/>
                <w:color w:val="auto"/>
              </w:rPr>
            </w:pPr>
            <w:r>
              <w:rPr>
                <w:rFonts w:ascii="Arial" w:cs="Arial" w:eastAsia="Arial" w:hAnsi="Arial"/>
                <w:sz w:val="22"/>
                <w:szCs w:val="22"/>
                <w:color w:val="auto"/>
              </w:rPr>
              <w:t>Schedule 8.5(h)</w:t>
            </w:r>
          </w:p>
        </w:tc>
        <w:tc>
          <w:tcPr>
            <w:tcW w:w="964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Excluded Subsidiary Investments</w:t>
            </w: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w w:val="88"/>
              </w:rPr>
              <w:t>Schedule 10.2</w:t>
            </w:r>
          </w:p>
        </w:tc>
        <w:tc>
          <w:tcPr>
            <w:tcW w:w="340" w:type="dxa"/>
            <w:vAlign w:val="bottom"/>
          </w:tcPr>
          <w:p>
            <w:pPr>
              <w:spacing w:after="0"/>
              <w:rPr>
                <w:sz w:val="23"/>
                <w:szCs w:val="23"/>
                <w:color w:val="auto"/>
              </w:rPr>
            </w:pPr>
          </w:p>
        </w:tc>
        <w:tc>
          <w:tcPr>
            <w:tcW w:w="9640" w:type="dxa"/>
            <w:vAlign w:val="bottom"/>
            <w:gridSpan w:val="2"/>
          </w:tcPr>
          <w:p>
            <w:pPr>
              <w:ind w:left="140"/>
              <w:spacing w:after="0"/>
              <w:rPr>
                <w:sz w:val="20"/>
                <w:szCs w:val="20"/>
                <w:color w:val="auto"/>
              </w:rPr>
            </w:pPr>
            <w:r>
              <w:rPr>
                <w:rFonts w:ascii="Arial" w:cs="Arial" w:eastAsia="Arial" w:hAnsi="Arial"/>
                <w:sz w:val="22"/>
                <w:szCs w:val="22"/>
                <w:color w:val="auto"/>
              </w:rPr>
              <w:t>Notice Information</w:t>
            </w:r>
          </w:p>
        </w:tc>
      </w:tr>
      <w:tr>
        <w:trPr>
          <w:trHeight w:val="459"/>
        </w:trPr>
        <w:tc>
          <w:tcPr>
            <w:tcW w:w="1260" w:type="dxa"/>
            <w:vAlign w:val="bottom"/>
          </w:tcPr>
          <w:p>
            <w:pPr>
              <w:spacing w:after="0"/>
              <w:rPr>
                <w:sz w:val="20"/>
                <w:szCs w:val="20"/>
                <w:color w:val="auto"/>
              </w:rPr>
            </w:pPr>
            <w:r>
              <w:rPr>
                <w:rFonts w:ascii="Arial" w:cs="Arial" w:eastAsia="Arial" w:hAnsi="Arial"/>
                <w:sz w:val="22"/>
                <w:szCs w:val="22"/>
                <w:color w:val="auto"/>
              </w:rPr>
              <w:t>EXHIBITS:</w:t>
            </w:r>
          </w:p>
        </w:tc>
        <w:tc>
          <w:tcPr>
            <w:tcW w:w="34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28"/>
        </w:trPr>
        <w:tc>
          <w:tcPr>
            <w:tcW w:w="1260" w:type="dxa"/>
            <w:vAlign w:val="bottom"/>
          </w:tcPr>
          <w:p>
            <w:pPr>
              <w:spacing w:after="0"/>
              <w:rPr>
                <w:sz w:val="20"/>
                <w:szCs w:val="20"/>
                <w:color w:val="auto"/>
              </w:rPr>
            </w:pPr>
            <w:r>
              <w:rPr>
                <w:rFonts w:ascii="Arial" w:cs="Arial" w:eastAsia="Arial" w:hAnsi="Arial"/>
                <w:sz w:val="22"/>
                <w:szCs w:val="22"/>
                <w:color w:val="auto"/>
              </w:rPr>
              <w:t>Exhibit A</w:t>
            </w:r>
          </w:p>
        </w:tc>
        <w:tc>
          <w:tcPr>
            <w:tcW w:w="340" w:type="dxa"/>
            <w:vAlign w:val="bottom"/>
          </w:tcPr>
          <w:p>
            <w:pPr>
              <w:ind w:left="40"/>
              <w:spacing w:after="0"/>
              <w:rPr>
                <w:sz w:val="20"/>
                <w:szCs w:val="20"/>
                <w:color w:val="auto"/>
              </w:rPr>
            </w:pPr>
            <w:r>
              <w:rPr>
                <w:rFonts w:ascii="Arial" w:cs="Arial" w:eastAsia="Arial" w:hAnsi="Arial"/>
                <w:sz w:val="22"/>
                <w:szCs w:val="22"/>
                <w:color w:val="auto"/>
              </w:rPr>
              <w:t>-</w:t>
            </w:r>
          </w:p>
        </w:tc>
        <w:tc>
          <w:tcPr>
            <w:tcW w:w="9640" w:type="dxa"/>
            <w:vAlign w:val="bottom"/>
            <w:gridSpan w:val="2"/>
          </w:tcPr>
          <w:p>
            <w:pPr>
              <w:ind w:left="140"/>
              <w:spacing w:after="0"/>
              <w:rPr>
                <w:sz w:val="20"/>
                <w:szCs w:val="20"/>
                <w:color w:val="auto"/>
              </w:rPr>
            </w:pPr>
            <w:r>
              <w:rPr>
                <w:rFonts w:ascii="Arial" w:cs="Arial" w:eastAsia="Arial" w:hAnsi="Arial"/>
                <w:sz w:val="22"/>
                <w:szCs w:val="22"/>
                <w:color w:val="auto"/>
              </w:rPr>
              <w:t>Form of Promissory Note</w:t>
            </w: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Exhibit B -</w:t>
            </w:r>
          </w:p>
        </w:tc>
        <w:tc>
          <w:tcPr>
            <w:tcW w:w="998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Form of Loan Request</w:t>
            </w: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Exhibit C -</w:t>
            </w:r>
          </w:p>
        </w:tc>
        <w:tc>
          <w:tcPr>
            <w:tcW w:w="998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Form of Compliance Certificate</w:t>
            </w: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Exhibit D</w:t>
            </w:r>
          </w:p>
        </w:tc>
        <w:tc>
          <w:tcPr>
            <w:tcW w:w="340" w:type="dxa"/>
            <w:vAlign w:val="bottom"/>
          </w:tcPr>
          <w:p>
            <w:pPr>
              <w:ind w:left="40"/>
              <w:spacing w:after="0" w:line="243" w:lineRule="exact"/>
              <w:rPr>
                <w:sz w:val="20"/>
                <w:szCs w:val="20"/>
                <w:color w:val="auto"/>
              </w:rPr>
            </w:pPr>
            <w:r>
              <w:rPr>
                <w:rFonts w:ascii="Arial" w:cs="Arial" w:eastAsia="Arial" w:hAnsi="Arial"/>
                <w:sz w:val="22"/>
                <w:szCs w:val="22"/>
                <w:color w:val="auto"/>
              </w:rPr>
              <w:t>-</w:t>
            </w:r>
          </w:p>
        </w:tc>
        <w:tc>
          <w:tcPr>
            <w:tcW w:w="964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Form of Guarantee</w:t>
            </w: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Exhibit E -</w:t>
            </w:r>
          </w:p>
        </w:tc>
        <w:tc>
          <w:tcPr>
            <w:tcW w:w="998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Form of Security Agreement</w:t>
            </w: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Exhibit F</w:t>
            </w:r>
          </w:p>
        </w:tc>
        <w:tc>
          <w:tcPr>
            <w:tcW w:w="340" w:type="dxa"/>
            <w:vAlign w:val="bottom"/>
          </w:tcPr>
          <w:p>
            <w:pPr>
              <w:ind w:left="40"/>
              <w:spacing w:after="0" w:line="243" w:lineRule="exact"/>
              <w:rPr>
                <w:sz w:val="20"/>
                <w:szCs w:val="20"/>
                <w:color w:val="auto"/>
              </w:rPr>
            </w:pPr>
            <w:r>
              <w:rPr>
                <w:rFonts w:ascii="Arial" w:cs="Arial" w:eastAsia="Arial" w:hAnsi="Arial"/>
                <w:sz w:val="22"/>
                <w:szCs w:val="22"/>
                <w:color w:val="auto"/>
              </w:rPr>
              <w:t>-</w:t>
            </w:r>
          </w:p>
        </w:tc>
        <w:tc>
          <w:tcPr>
            <w:tcW w:w="964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Form of Assignment and Assumption</w:t>
            </w: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Exhibit G</w:t>
            </w:r>
          </w:p>
        </w:tc>
        <w:tc>
          <w:tcPr>
            <w:tcW w:w="340" w:type="dxa"/>
            <w:vAlign w:val="bottom"/>
          </w:tcPr>
          <w:p>
            <w:pPr>
              <w:ind w:left="40"/>
              <w:spacing w:after="0" w:line="243" w:lineRule="exact"/>
              <w:rPr>
                <w:sz w:val="20"/>
                <w:szCs w:val="20"/>
                <w:color w:val="auto"/>
              </w:rPr>
            </w:pPr>
            <w:r>
              <w:rPr>
                <w:rFonts w:ascii="Arial" w:cs="Arial" w:eastAsia="Arial" w:hAnsi="Arial"/>
                <w:sz w:val="22"/>
                <w:szCs w:val="22"/>
                <w:color w:val="auto"/>
              </w:rPr>
              <w:t>-</w:t>
            </w:r>
          </w:p>
        </w:tc>
        <w:tc>
          <w:tcPr>
            <w:tcW w:w="964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Form of Warrants</w:t>
            </w:r>
          </w:p>
        </w:tc>
      </w:tr>
      <w:tr>
        <w:trPr>
          <w:trHeight w:val="274"/>
        </w:trPr>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40" w:type="dxa"/>
            <w:vAlign w:val="bottom"/>
            <w:gridSpan w:val="2"/>
          </w:tcPr>
          <w:p>
            <w:pPr>
              <w:jc w:val="center"/>
              <w:ind w:right="1492"/>
              <w:spacing w:after="0"/>
              <w:rPr>
                <w:sz w:val="20"/>
                <w:szCs w:val="20"/>
                <w:color w:val="auto"/>
              </w:rPr>
            </w:pPr>
            <w:r>
              <w:rPr>
                <w:rFonts w:ascii="Arial" w:cs="Arial" w:eastAsia="Arial" w:hAnsi="Arial"/>
                <w:sz w:val="22"/>
                <w:szCs w:val="22"/>
                <w:color w:val="auto"/>
                <w:w w:val="94"/>
              </w:rPr>
              <w:t>- v -</w:t>
            </w:r>
          </w:p>
        </w:tc>
      </w:tr>
      <w:tr>
        <w:trPr>
          <w:trHeight w:val="645"/>
        </w:trPr>
        <w:tc>
          <w:tcPr>
            <w:tcW w:w="1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color w:val="auto"/>
        </w:rPr>
        <w:t>CREDIT AGREEMENT</w:t>
      </w:r>
    </w:p>
    <w:p>
      <w:pPr>
        <w:spacing w:after="0" w:line="20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THIS CREDIT AGREEMENT dated as of October 18, 2023 (as amended, supplemented or otherwise modified from time to time, this “</w:t>
      </w:r>
      <w:r>
        <w:rPr>
          <w:rFonts w:ascii="Arial" w:cs="Arial" w:eastAsia="Arial" w:hAnsi="Arial"/>
          <w:sz w:val="22"/>
          <w:szCs w:val="22"/>
          <w:u w:val="single" w:color="auto"/>
          <w:color w:val="auto"/>
        </w:rPr>
        <w:t>Agreement</w:t>
      </w:r>
      <w:r>
        <w:rPr>
          <w:rFonts w:ascii="Arial" w:cs="Arial" w:eastAsia="Arial" w:hAnsi="Arial"/>
          <w:sz w:val="22"/>
          <w:szCs w:val="22"/>
          <w:color w:val="auto"/>
        </w:rPr>
        <w:t>”), is by and among AVITA MEDICAL,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ORCO IV LLC, a Delaware limited liability company (the “</w:t>
      </w:r>
      <w:r>
        <w:rPr>
          <w:rFonts w:ascii="Arial" w:cs="Arial" w:eastAsia="Arial" w:hAnsi="Arial"/>
          <w:sz w:val="22"/>
          <w:szCs w:val="22"/>
          <w:u w:val="single" w:color="auto"/>
          <w:color w:val="auto"/>
        </w:rPr>
        <w:t>Initial Lender</w:t>
      </w:r>
      <w:r>
        <w:rPr>
          <w:rFonts w:ascii="Arial" w:cs="Arial" w:eastAsia="Arial" w:hAnsi="Arial"/>
          <w:sz w:val="22"/>
          <w:szCs w:val="22"/>
          <w:color w:val="auto"/>
        </w:rPr>
        <w:t>”) and each other lender that may from time to time become a party hereto (each, including the Initial Lender, and together with their Affiliates, successors, transferees and assignees, the “</w:t>
      </w:r>
      <w:r>
        <w:rPr>
          <w:rFonts w:ascii="Arial" w:cs="Arial" w:eastAsia="Arial" w:hAnsi="Arial"/>
          <w:sz w:val="22"/>
          <w:szCs w:val="22"/>
          <w:u w:val="single" w:color="auto"/>
          <w:color w:val="auto"/>
        </w:rPr>
        <w:t>Lenders</w:t>
      </w:r>
      <w:r>
        <w:rPr>
          <w:rFonts w:ascii="Arial" w:cs="Arial" w:eastAsia="Arial" w:hAnsi="Arial"/>
          <w:sz w:val="22"/>
          <w:szCs w:val="22"/>
          <w:color w:val="auto"/>
        </w:rPr>
        <w:t>”), and ORCO IV LLC, as administrative agent for the Lenders (in such capacity,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The Borrower, Lenders and the Administrative Agent are sometimes referred to herein individually as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WHEREAS, the Borrower has requested that the Lenders provide a senior term loan facility to the Borrower in an aggregate principal amount of $90,000,000 (with $40,000,000 available on the Closing Date, $25,000,000 available on or prior to the First Delayed Draw Closing Date and an additional $25,000,000 available on or prior to the Second Delayed Draw Closing Date, in each case, subject to the terms and conditions set forth herein); and</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WHEREAS, the Lenders are willing, on the terms and subject to the conditions hereinafter set forth, to extend the Commitment and make the Loans to the Borrower;</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NOW, THEREFORE, the parties hereto agree as follows.</w:t>
      </w:r>
    </w:p>
    <w:p>
      <w:pPr>
        <w:spacing w:after="0" w:line="206"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ARTICLE I</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DEFINITIONS AND ACCOUNTING TERMS</w:t>
      </w:r>
    </w:p>
    <w:p>
      <w:pPr>
        <w:spacing w:after="0" w:line="188"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Defined Terms</w:t>
      </w:r>
      <w:r>
        <w:rPr>
          <w:rFonts w:ascii="Arial" w:cs="Arial" w:eastAsia="Arial" w:hAnsi="Arial"/>
          <w:sz w:val="22"/>
          <w:szCs w:val="22"/>
          <w:color w:val="auto"/>
        </w:rPr>
        <w:t>. The following terms (whether or not underscored) when used in this Agreement, including its preamble and recitals, shall, except where the context otherwise requires, have the following meanings (such meanings to be equally applicable to the singular and plural forms thereof):</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Administration Fee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3.11</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is defined in the preamble.</w:t>
      </w:r>
    </w:p>
    <w:p>
      <w:pPr>
        <w:spacing w:after="0" w:line="20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of any Person means any other Person which, directly or indirectly, Controls, is Controlled by or is under common Control with such Person. “</w:t>
      </w:r>
      <w:r>
        <w:rPr>
          <w:rFonts w:ascii="Arial" w:cs="Arial" w:eastAsia="Arial" w:hAnsi="Arial"/>
          <w:sz w:val="21"/>
          <w:szCs w:val="21"/>
          <w:u w:val="single" w:color="auto"/>
          <w:color w:val="auto"/>
        </w:rPr>
        <w:t>Control</w:t>
      </w:r>
      <w:r>
        <w:rPr>
          <w:rFonts w:ascii="Arial" w:cs="Arial" w:eastAsia="Arial" w:hAnsi="Arial"/>
          <w:sz w:val="21"/>
          <w:szCs w:val="21"/>
          <w:color w:val="auto"/>
        </w:rPr>
        <w:t>” (and its correlatives) by any Person means (a) the power of such Person, directly or indirectly, (i) to vote 10% or more of the Voting Securities (determined on a fully diluted basis) of another Person, or (ii) to direct or cause the direction of the management and policies of such other Person (whether by contract or otherwise) or (b) ownership by such Person of 10% or more of the Capital Securities of another Person.</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is defined in the preamble.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Amortization Payment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3.2</w:t>
      </w:r>
      <w:r>
        <w:rPr>
          <w:rFonts w:ascii="Arial" w:cs="Arial" w:eastAsia="Arial" w:hAnsi="Arial"/>
          <w:sz w:val="22"/>
          <w:szCs w:val="22"/>
          <w:color w:val="auto"/>
        </w:rPr>
        <w:t>.</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7" w:name="page38"/>
    <w:bookmarkEnd w:id="37"/>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Amortization Payment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3.2</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means 8.00%.</w:t>
      </w:r>
    </w:p>
    <w:p>
      <w:pPr>
        <w:spacing w:after="0" w:line="20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Percentage</w:t>
      </w:r>
      <w:r>
        <w:rPr>
          <w:rFonts w:ascii="Arial" w:cs="Arial" w:eastAsia="Arial" w:hAnsi="Arial"/>
          <w:sz w:val="22"/>
          <w:szCs w:val="22"/>
          <w:color w:val="auto"/>
        </w:rPr>
        <w:t>” means, with respect to any Lender at any time, with respect to such Lender’s portion of the outstanding Loans and Delayed Draw Commitments at any time, the percentage of the outstanding principal amount of the Loans and Delayed Draw Commitments held by such Lender at such time. The initial Applicable Percentage of each Lender is set forth opposite the name of such Lender on Schedule 2.1 or in the Assignment and Assumption pursuant to which such Lender becomes a party hereto, as applicable.</w:t>
      </w:r>
    </w:p>
    <w:p>
      <w:pPr>
        <w:spacing w:after="0" w:line="187"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means an assignment and assumption entered into by a Lender and an assignee, and accepted by the Administrative Agent, in substantially the form of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hereto or any other form approved by the Administrative Agent and such Lender in its reasonable discretion.</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Authorized Officer</w:t>
      </w:r>
      <w:r>
        <w:rPr>
          <w:rFonts w:ascii="Arial" w:cs="Arial" w:eastAsia="Arial" w:hAnsi="Arial"/>
          <w:sz w:val="22"/>
          <w:szCs w:val="22"/>
          <w:color w:val="auto"/>
        </w:rPr>
        <w:t xml:space="preserve">” means, relative to the Borrower or any of the Subsidiaries, those of its officers, general partners or managing members (as applicable) whose signatures and incumbency shall have been certified to the Administrative Agent and the Lenders pursuant to </w:t>
      </w:r>
      <w:r>
        <w:rPr>
          <w:rFonts w:ascii="Arial" w:cs="Arial" w:eastAsia="Arial" w:hAnsi="Arial"/>
          <w:sz w:val="22"/>
          <w:szCs w:val="22"/>
          <w:u w:val="single" w:color="auto"/>
          <w:color w:val="auto"/>
        </w:rPr>
        <w:t>Section 5.2</w:t>
      </w:r>
      <w:r>
        <w:rPr>
          <w:rFonts w:ascii="Arial" w:cs="Arial" w:eastAsia="Arial" w:hAnsi="Arial"/>
          <w:sz w:val="22"/>
          <w:szCs w:val="22"/>
          <w:color w:val="auto"/>
        </w:rPr>
        <w:t>.</w:t>
      </w:r>
    </w:p>
    <w:p>
      <w:pPr>
        <w:spacing w:after="0" w:line="18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means any employee benefit plan, as defined in section 3(3) of ERISA, that either: (i) is a “multiemployer plan,” as defined in section 3(37) of ERISA, (ii) is subject to section 412 of the Code, section 302 of ERISA or Title IV of ERISA, (iii) has assets that are invested in Capital Securities of the Borrower or any Subsidiaries or any of their respective ERISA Affiliates, (iv) provides welfare benefits to terminated employees, other than to the extent required by section 4980B(f) of the Code and the corresponding provisions of ERISA or similar local law; (v) provides medical insurance, dental insurance, vision insurance, life insurance or long-term disability benefits and is not fully insured by a third-party insurance company, or</w:t>
      </w:r>
    </w:p>
    <w:p>
      <w:pPr>
        <w:spacing w:after="0" w:line="1" w:lineRule="exact"/>
        <w:rPr>
          <w:sz w:val="20"/>
          <w:szCs w:val="20"/>
          <w:color w:val="auto"/>
        </w:rPr>
      </w:pPr>
    </w:p>
    <w:p>
      <w:pPr>
        <w:ind w:firstLine="8"/>
        <w:spacing w:after="0" w:line="256" w:lineRule="auto"/>
        <w:tabs>
          <w:tab w:leader="none" w:pos="369" w:val="left"/>
        </w:tabs>
        <w:numPr>
          <w:ilvl w:val="0"/>
          <w:numId w:val="27"/>
        </w:numPr>
        <w:rPr>
          <w:rFonts w:ascii="Arial" w:cs="Arial" w:eastAsia="Arial" w:hAnsi="Arial"/>
          <w:sz w:val="21"/>
          <w:szCs w:val="21"/>
          <w:color w:val="auto"/>
        </w:rPr>
      </w:pPr>
      <w:r>
        <w:rPr>
          <w:rFonts w:ascii="Arial" w:cs="Arial" w:eastAsia="Arial" w:hAnsi="Arial"/>
          <w:sz w:val="21"/>
          <w:szCs w:val="21"/>
          <w:color w:val="auto"/>
        </w:rPr>
        <w:t>provides benefits to employees whose primary place of employment is outside the United States (other than a plan sponsored by a governmental entity to which the employer’s only obligation is to make legally required contributions).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is defined in the preamble.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Associate</w:t>
      </w:r>
      <w:r>
        <w:rPr>
          <w:rFonts w:ascii="Arial" w:cs="Arial" w:eastAsia="Arial" w:hAnsi="Arial"/>
          <w:sz w:val="22"/>
          <w:szCs w:val="22"/>
          <w:color w:val="auto"/>
        </w:rPr>
        <w:t>” has the same meaning as the term “business associate” in 45 C.F.R. § 160.103.</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which is neither a Saturday or Sunday nor a legal holiday on which banks are authorized or required to be closed in New York, New York.</w:t>
      </w:r>
    </w:p>
    <w:p>
      <w:pPr>
        <w:spacing w:after="0" w:line="17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Securities</w:t>
      </w:r>
      <w:r>
        <w:rPr>
          <w:rFonts w:ascii="Arial" w:cs="Arial" w:eastAsia="Arial" w:hAnsi="Arial"/>
          <w:sz w:val="22"/>
          <w:szCs w:val="22"/>
          <w:color w:val="auto"/>
        </w:rPr>
        <w:t>” means, with respect to any Person, all shares of, interests or participations in, or other equivalents in respect of (in each case however designated, whether voting or non-voting), of such Person’s capital stock, and any warrants, options, or other rights entitling the holder thereof to purchase or acquire any such capital stock, in each case whether now outstanding or issued on or after the Closing 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8" w:name="page39"/>
    <w:bookmarkEnd w:id="38"/>
    <w:p>
      <w:pPr>
        <w:jc w:val="both"/>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Capitalized Lease Liabilities</w:t>
      </w:r>
      <w:r>
        <w:rPr>
          <w:rFonts w:ascii="Arial" w:cs="Arial" w:eastAsia="Arial" w:hAnsi="Arial"/>
          <w:sz w:val="22"/>
          <w:szCs w:val="22"/>
          <w:color w:val="auto"/>
        </w:rPr>
        <w:t>” means, with respect to any Person, all monetary obligations of such Person and its Subsidiaries under any leasing or similar arrangement which have been (or, in accordance with GAAP, should be) classified as finance leases, and for purposes of each Loan Document the amount of such obligations shall be the capitalized amount thereof, determined in accordance with GAAP, and the stated maturity thereof shall be the date of the last payment of rent or any other amount due under such lease prior to the first date upon which such lease may be terminated by the lessee without payment of a premium or a penalty.</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 Investment</w:t>
      </w:r>
      <w:r>
        <w:rPr>
          <w:rFonts w:ascii="Arial" w:cs="Arial" w:eastAsia="Arial" w:hAnsi="Arial"/>
          <w:sz w:val="22"/>
          <w:szCs w:val="22"/>
          <w:color w:val="auto"/>
        </w:rPr>
        <w:t>” means, at any time:</w:t>
      </w:r>
    </w:p>
    <w:p>
      <w:pPr>
        <w:spacing w:after="0" w:line="206" w:lineRule="exact"/>
        <w:rPr>
          <w:sz w:val="20"/>
          <w:szCs w:val="20"/>
          <w:color w:val="auto"/>
        </w:rPr>
      </w:pPr>
    </w:p>
    <w:p>
      <w:pPr>
        <w:jc w:val="both"/>
        <w:ind w:left="1140" w:firstLine="740"/>
        <w:spacing w:after="0"/>
        <w:tabs>
          <w:tab w:leader="none" w:pos="2321" w:val="left"/>
        </w:tabs>
        <w:numPr>
          <w:ilvl w:val="0"/>
          <w:numId w:val="28"/>
        </w:numPr>
        <w:rPr>
          <w:rFonts w:ascii="Arial" w:cs="Arial" w:eastAsia="Arial" w:hAnsi="Arial"/>
          <w:sz w:val="22"/>
          <w:szCs w:val="22"/>
          <w:color w:val="auto"/>
        </w:rPr>
      </w:pPr>
      <w:r>
        <w:rPr>
          <w:rFonts w:ascii="Arial" w:cs="Arial" w:eastAsia="Arial" w:hAnsi="Arial"/>
          <w:sz w:val="22"/>
          <w:szCs w:val="22"/>
          <w:color w:val="auto"/>
        </w:rPr>
        <w:t>any direct obligation of (or unconditionally guaranteed by) the United States (or any agency or political subdivision thereof, to the extent such obligations are supported by the full faith and credit of the United States) maturing not more than one year after such time;</w:t>
      </w:r>
    </w:p>
    <w:p>
      <w:pPr>
        <w:spacing w:after="0" w:line="186" w:lineRule="exact"/>
        <w:rPr>
          <w:rFonts w:ascii="Arial" w:cs="Arial" w:eastAsia="Arial" w:hAnsi="Arial"/>
          <w:sz w:val="22"/>
          <w:szCs w:val="22"/>
          <w:color w:val="auto"/>
        </w:rPr>
      </w:pPr>
    </w:p>
    <w:p>
      <w:pPr>
        <w:jc w:val="both"/>
        <w:ind w:left="1140" w:right="20" w:firstLine="740"/>
        <w:spacing w:after="0" w:line="254" w:lineRule="exact"/>
        <w:tabs>
          <w:tab w:leader="none" w:pos="2321" w:val="left"/>
        </w:tabs>
        <w:numPr>
          <w:ilvl w:val="0"/>
          <w:numId w:val="28"/>
        </w:numPr>
        <w:rPr>
          <w:rFonts w:ascii="Arial" w:cs="Arial" w:eastAsia="Arial" w:hAnsi="Arial"/>
          <w:sz w:val="19"/>
          <w:szCs w:val="19"/>
          <w:color w:val="auto"/>
        </w:rPr>
      </w:pPr>
      <w:r>
        <w:rPr>
          <w:rFonts w:ascii="Arial" w:cs="Arial" w:eastAsia="Arial" w:hAnsi="Arial"/>
          <w:sz w:val="19"/>
          <w:szCs w:val="19"/>
          <w:color w:val="auto"/>
        </w:rPr>
        <w:t>commercial paper maturing not more than one year from the date of issue, which is issued by a corporation (other than an Affiliate of the Borrower or any of its Subsidiaries) organized under the laws of any state of the United States or of the District of Columbia and rated A</w:t>
      </w:r>
      <w:r>
        <w:rPr>
          <w:rFonts w:ascii="MS PGothic" w:cs="MS PGothic" w:eastAsia="MS PGothic" w:hAnsi="MS PGothic"/>
          <w:sz w:val="19"/>
          <w:szCs w:val="19"/>
          <w:color w:val="auto"/>
        </w:rPr>
        <w:t>‑</w:t>
      </w:r>
      <w:r>
        <w:rPr>
          <w:rFonts w:ascii="Arial" w:cs="Arial" w:eastAsia="Arial" w:hAnsi="Arial"/>
          <w:sz w:val="19"/>
          <w:szCs w:val="19"/>
          <w:color w:val="auto"/>
        </w:rPr>
        <w:t>1 or higher by S&amp;P or P</w:t>
      </w:r>
      <w:r>
        <w:rPr>
          <w:rFonts w:ascii="MS PGothic" w:cs="MS PGothic" w:eastAsia="MS PGothic" w:hAnsi="MS PGothic"/>
          <w:sz w:val="19"/>
          <w:szCs w:val="19"/>
          <w:color w:val="auto"/>
        </w:rPr>
        <w:t>‑</w:t>
      </w:r>
      <w:r>
        <w:rPr>
          <w:rFonts w:ascii="Arial" w:cs="Arial" w:eastAsia="Arial" w:hAnsi="Arial"/>
          <w:sz w:val="19"/>
          <w:szCs w:val="19"/>
          <w:color w:val="auto"/>
        </w:rPr>
        <w:t>1 or higher by Moody’s; or</w:t>
      </w:r>
    </w:p>
    <w:p>
      <w:pPr>
        <w:spacing w:after="0" w:line="185" w:lineRule="exact"/>
        <w:rPr>
          <w:rFonts w:ascii="Arial" w:cs="Arial" w:eastAsia="Arial" w:hAnsi="Arial"/>
          <w:sz w:val="19"/>
          <w:szCs w:val="19"/>
          <w:color w:val="auto"/>
        </w:rPr>
      </w:pPr>
    </w:p>
    <w:p>
      <w:pPr>
        <w:jc w:val="both"/>
        <w:ind w:left="1140" w:firstLine="740"/>
        <w:spacing w:after="0" w:line="287" w:lineRule="auto"/>
        <w:tabs>
          <w:tab w:leader="none" w:pos="2321" w:val="left"/>
        </w:tabs>
        <w:numPr>
          <w:ilvl w:val="0"/>
          <w:numId w:val="28"/>
        </w:numPr>
        <w:rPr>
          <w:rFonts w:ascii="Arial" w:cs="Arial" w:eastAsia="Arial" w:hAnsi="Arial"/>
          <w:sz w:val="19"/>
          <w:szCs w:val="19"/>
          <w:color w:val="auto"/>
        </w:rPr>
      </w:pPr>
      <w:r>
        <w:rPr>
          <w:rFonts w:ascii="Arial" w:cs="Arial" w:eastAsia="Arial" w:hAnsi="Arial"/>
          <w:sz w:val="19"/>
          <w:szCs w:val="19"/>
          <w:color w:val="auto"/>
        </w:rPr>
        <w:t>any certificate of deposit, demand or time deposit or bankers acceptance, maturing not more than 180 days after its date of issuance, which is issued by or placed with any bank or trust company organized under the laws of the United States (or any state thereof) and which has (x) a credit rating of A2 or higher from Moody’s or A or higher from S&amp;P and (y) a combined capital and surplus greater than $500,000,000; or</w:t>
      </w:r>
    </w:p>
    <w:p>
      <w:pPr>
        <w:spacing w:after="0" w:line="142" w:lineRule="exact"/>
        <w:rPr>
          <w:rFonts w:ascii="Arial" w:cs="Arial" w:eastAsia="Arial" w:hAnsi="Arial"/>
          <w:sz w:val="19"/>
          <w:szCs w:val="19"/>
          <w:color w:val="auto"/>
        </w:rPr>
      </w:pPr>
    </w:p>
    <w:p>
      <w:pPr>
        <w:ind w:left="1140" w:right="40" w:firstLine="740"/>
        <w:spacing w:after="0" w:line="250" w:lineRule="auto"/>
        <w:tabs>
          <w:tab w:leader="none" w:pos="2321"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investments in money market mutual funds at least 95% of the assets of which are comprised of securities of the types described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of this definition.</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Casualty Event</w:t>
      </w:r>
      <w:r>
        <w:rPr>
          <w:rFonts w:ascii="Arial" w:cs="Arial" w:eastAsia="Arial" w:hAnsi="Arial"/>
          <w:sz w:val="22"/>
          <w:szCs w:val="22"/>
          <w:color w:val="auto"/>
        </w:rPr>
        <w:t>” means the damage, destruction or condemnation, as the case may be, of property of the Borrower or any of the Subsidiaries.</w:t>
      </w:r>
    </w:p>
    <w:p>
      <w:pPr>
        <w:spacing w:after="0" w:line="175" w:lineRule="exact"/>
        <w:rPr>
          <w:sz w:val="20"/>
          <w:szCs w:val="20"/>
          <w:color w:val="auto"/>
        </w:rPr>
      </w:pPr>
    </w:p>
    <w:p>
      <w:pPr>
        <w:jc w:val="both"/>
        <w:ind w:firstLine="749"/>
        <w:spacing w:after="0" w:line="247"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and shall be deemed to have occurred if (i) any “person” or “group” (within the meaning of Rule 13d</w:t>
      </w:r>
      <w:r>
        <w:rPr>
          <w:rFonts w:ascii="MS PGothic" w:cs="MS PGothic" w:eastAsia="MS PGothic" w:hAnsi="MS PGothic"/>
          <w:sz w:val="19"/>
          <w:szCs w:val="19"/>
          <w:color w:val="auto"/>
        </w:rPr>
        <w:t>‑</w:t>
      </w:r>
      <w:r>
        <w:rPr>
          <w:rFonts w:ascii="Arial" w:cs="Arial" w:eastAsia="Arial" w:hAnsi="Arial"/>
          <w:sz w:val="19"/>
          <w:szCs w:val="19"/>
          <w:color w:val="auto"/>
        </w:rPr>
        <w:t xml:space="preserve">5 of the Exchange Act), shall own, directly or indirectly, beneficially or of record, determined on a fully diluted basis, more than 30% of the Voting Securities of the Borrower; (ii) a majority of the seats (other than vacant seats) on the board of directors (or equivalent) of the Borrower shall at any time be occupied by persons who were neither (x) nominated by the board of directors of the Borrower nor (y) appointed by directors so nominated, or (iii) except as a result of any transaction approved by the Lenders or as permitted under </w:t>
      </w:r>
      <w:r>
        <w:rPr>
          <w:rFonts w:ascii="Arial" w:cs="Arial" w:eastAsia="Arial" w:hAnsi="Arial"/>
          <w:sz w:val="19"/>
          <w:szCs w:val="19"/>
          <w:u w:val="single" w:color="auto"/>
          <w:color w:val="auto"/>
        </w:rPr>
        <w:t>Section 8.7</w:t>
      </w:r>
      <w:r>
        <w:rPr>
          <w:rFonts w:ascii="Arial" w:cs="Arial" w:eastAsia="Arial" w:hAnsi="Arial"/>
          <w:sz w:val="19"/>
          <w:szCs w:val="19"/>
          <w:color w:val="auto"/>
        </w:rPr>
        <w:t>, the Borrower shall cease to own, directly or indirectly through other wholly-owned Subsidiaries, beneficially and of record, 100% of the issued and outstanding Capital Securities of the Subsidiaries.</w:t>
      </w:r>
    </w:p>
    <w:p>
      <w:pPr>
        <w:spacing w:after="0" w:line="190"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Law</w:t>
      </w:r>
      <w:r>
        <w:rPr>
          <w:rFonts w:ascii="Arial" w:cs="Arial" w:eastAsia="Arial" w:hAnsi="Arial"/>
          <w:sz w:val="22"/>
          <w:szCs w:val="22"/>
          <w:color w:val="auto"/>
        </w:rPr>
        <w:t>” means the occurrence, after the date of this Agreement, of any of the following: (i) the adoption or taking effect of any law, rule, regulation or treaty, (ii) any change in any law, rule, regulation or treaty or in the administration, interpretation, implementation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9" w:name="page40"/>
    <w:bookmarkEnd w:id="39"/>
    <w:p>
      <w:pPr>
        <w:jc w:val="both"/>
        <w:spacing w:after="0" w:line="246" w:lineRule="auto"/>
        <w:rPr>
          <w:sz w:val="20"/>
          <w:szCs w:val="20"/>
          <w:color w:val="auto"/>
        </w:rPr>
      </w:pPr>
      <w:r>
        <w:rPr>
          <w:rFonts w:ascii="Arial" w:cs="Arial" w:eastAsia="Arial" w:hAnsi="Arial"/>
          <w:sz w:val="21"/>
          <w:szCs w:val="21"/>
          <w:color w:val="auto"/>
        </w:rPr>
        <w:t xml:space="preserve">application thereof by any Governmental Authority or (iii) the making or issuance of any request, rule, guideline or directive (whether or not having the force of law) by any Governmental Authority;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means the date of this Agreement.</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Certificate</w:t>
      </w:r>
      <w:r>
        <w:rPr>
          <w:rFonts w:ascii="Arial" w:cs="Arial" w:eastAsia="Arial" w:hAnsi="Arial"/>
          <w:sz w:val="22"/>
          <w:szCs w:val="22"/>
          <w:color w:val="auto"/>
        </w:rPr>
        <w:t>” means a closing date certificate executed and delivered by an Authorized Officer of the Borrower in form and substance satisfactory to the Administrative Agent and the Lenders.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from time to time.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has the meaning set forth in the Security Agreement.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means, as to each Lender, such Lender’s obligation (if any) to make Loans hereunder.</w:t>
      </w:r>
    </w:p>
    <w:p>
      <w:pPr>
        <w:spacing w:after="0" w:line="206"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Amount</w:t>
      </w:r>
      <w:r>
        <w:rPr>
          <w:rFonts w:ascii="Arial" w:cs="Arial" w:eastAsia="Arial" w:hAnsi="Arial"/>
          <w:sz w:val="19"/>
          <w:szCs w:val="19"/>
          <w:color w:val="auto"/>
        </w:rPr>
        <w:t>” means the Initial Commitment Amount plus the Delayed Draw Commitment Amount. The aggregate principal amount of the Commitment Amount of all of the Lenders as in effect on the date hereof is $90,000,000.</w:t>
      </w:r>
    </w:p>
    <w:p>
      <w:pPr>
        <w:spacing w:after="0" w:line="10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Compliance Certificate</w:t>
      </w:r>
      <w:r>
        <w:rPr>
          <w:rFonts w:ascii="Arial" w:cs="Arial" w:eastAsia="Arial" w:hAnsi="Arial"/>
          <w:sz w:val="21"/>
          <w:szCs w:val="21"/>
          <w:color w:val="auto"/>
        </w:rPr>
        <w:t xml:space="preserve">” means a certificate duly completed and executed by an Authorized Officer of the Borrower, substantially in the form of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hereto, together with such changes thereto as the Administrative Agent may from time to time request for the purpose of monitoring compliance with the financial covenant contained herein.</w:t>
      </w:r>
    </w:p>
    <w:p>
      <w:pPr>
        <w:spacing w:after="0" w:line="16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Confidential Business Information</w:t>
      </w:r>
      <w:r>
        <w:rPr>
          <w:rFonts w:ascii="Arial" w:cs="Arial" w:eastAsia="Arial" w:hAnsi="Arial"/>
          <w:sz w:val="21"/>
          <w:szCs w:val="21"/>
          <w:color w:val="auto"/>
        </w:rPr>
        <w:t>” means, whether patentable or unpatentable and whether or not reduced to practice, trade secrets, confidential business information, know-how, inventions, manufacturing processes and techniques, financial, marketing and business data, pricing and cost information, business, finance and marketing plans, customer and prospective customer lists and information, and supplier and prospective supplier lists and information, research and development information, data and other information included in or supporting Regulatory Authorizations.</w:t>
      </w:r>
    </w:p>
    <w:p>
      <w:pPr>
        <w:spacing w:after="0" w:line="17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means any and all non-public information or material (whether written or oral, or in electronic or other form) that, at any time before, on or after the Closing Date, has been or is provided or communicated to the Receiving Party by or on behalf of the Disclosing Party pursuant to this Agreement or in connection with the transactions contemplated hereby.</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Contingent Liability</w:t>
      </w:r>
      <w:r>
        <w:rPr>
          <w:rFonts w:ascii="Arial" w:cs="Arial" w:eastAsia="Arial" w:hAnsi="Arial"/>
          <w:sz w:val="22"/>
          <w:szCs w:val="22"/>
          <w:color w:val="auto"/>
        </w:rPr>
        <w:t>” means any agreement, undertaking or arrangement by which any Person guarantees, endorses or otherwise becomes or is contingently liable upon (by direct 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0" w:name="page41"/>
    <w:bookmarkEnd w:id="40"/>
    <w:p>
      <w:pPr>
        <w:jc w:val="both"/>
        <w:spacing w:after="0" w:line="282" w:lineRule="auto"/>
        <w:rPr>
          <w:sz w:val="20"/>
          <w:szCs w:val="20"/>
          <w:color w:val="auto"/>
        </w:rPr>
      </w:pPr>
      <w:r>
        <w:rPr>
          <w:rFonts w:ascii="Arial" w:cs="Arial" w:eastAsia="Arial" w:hAnsi="Arial"/>
          <w:sz w:val="19"/>
          <w:szCs w:val="19"/>
          <w:color w:val="auto"/>
        </w:rPr>
        <w:t>indirect agreement, contingent or otherwise, to provide funds for payment, to supply funds to, or otherwise to invest in, a debtor, or otherwise to assure a creditor against loss) the Indebtedness of any other Person (other than by endorsements of instruments in the course of collection), or guarantees the payment of dividends or other distributions upon the Capital Securities of any other Person. The amount of any Person’s obligation under any Contingent Liability shall (subject to any limitation set forth therein) be deemed to be the outstanding amount of the debt, obligation or other liability guaranteed thereby.</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is defined within the definition of “</w:t>
      </w:r>
      <w:r>
        <w:rPr>
          <w:rFonts w:ascii="Arial" w:cs="Arial" w:eastAsia="Arial" w:hAnsi="Arial"/>
          <w:sz w:val="22"/>
          <w:szCs w:val="22"/>
          <w:u w:val="single" w:color="auto"/>
          <w:color w:val="auto"/>
        </w:rPr>
        <w:t>Affiliate</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Controlled Account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7.12</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 Security Agreement</w:t>
      </w:r>
      <w:r>
        <w:rPr>
          <w:rFonts w:ascii="Arial" w:cs="Arial" w:eastAsia="Arial" w:hAnsi="Arial"/>
          <w:sz w:val="22"/>
          <w:szCs w:val="22"/>
          <w:color w:val="auto"/>
        </w:rPr>
        <w:t>” means any Copyright Security Agreement executed and delivered to the Administrative Agent by the Borrower or any of the Guarantors in substantially the form of Exhibit C to the Security Agreement, as amended, supplemented, amended and restated or otherwise modified from time to time.</w:t>
      </w:r>
    </w:p>
    <w:p>
      <w:pPr>
        <w:spacing w:after="0" w:line="186" w:lineRule="exact"/>
        <w:rPr>
          <w:sz w:val="20"/>
          <w:szCs w:val="20"/>
          <w:color w:val="auto"/>
        </w:rPr>
      </w:pPr>
    </w:p>
    <w:p>
      <w:pPr>
        <w:jc w:val="both"/>
        <w:ind w:firstLine="843"/>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Copyrights</w:t>
      </w:r>
      <w:r>
        <w:rPr>
          <w:rFonts w:ascii="Arial" w:cs="Arial" w:eastAsia="Arial" w:hAnsi="Arial"/>
          <w:sz w:val="21"/>
          <w:szCs w:val="21"/>
          <w:color w:val="auto"/>
        </w:rPr>
        <w:t>” means all copyrights, whether statutory or common law, and all (i) renewals, revisions, extensions, derivative works, enhancements, modifications, updates and new releases thereof, (ii) income, royalties, damages, claims and payments now and hereafter due and/or payable with respect thereto, including, without limitation, damages and payments for past, present or future Infringements thereof, (iii) rights to sue for past, present and future Infringements thereof, and (iv) foreign copyrights and any other rights corresponding thereto throughout the world.</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has the same meaning as the term “covered entity” in 45 C.F.R. § 160.103.</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Data Processors</w:t>
      </w:r>
      <w:r>
        <w:rPr>
          <w:rFonts w:ascii="Arial" w:cs="Arial" w:eastAsia="Arial" w:hAnsi="Arial"/>
          <w:sz w:val="22"/>
          <w:szCs w:val="22"/>
          <w:color w:val="auto"/>
        </w:rPr>
        <w:t>” means any Third Party service providers, software developers, outsourcers, or others to which the Borrower or any of the Subsidiaries engage and allow access to Personal Data or IT Assets (including, for clarity, all information and transactions stored or contained therein or transmitted thereby).</w:t>
      </w:r>
    </w:p>
    <w:p>
      <w:pPr>
        <w:spacing w:after="0" w:line="18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Debtor Relief Laws</w:t>
      </w:r>
      <w:r>
        <w:rPr>
          <w:rFonts w:ascii="Arial" w:cs="Arial" w:eastAsia="Arial" w:hAnsi="Arial"/>
          <w:sz w:val="21"/>
          <w:szCs w:val="21"/>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6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of Default or any condition, occurrence or event which, after notice or lapse of time or both, would constitute an Event of Default.</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Delayed Draw Closing Date</w:t>
      </w:r>
      <w:r>
        <w:rPr>
          <w:rFonts w:ascii="Arial" w:cs="Arial" w:eastAsia="Arial" w:hAnsi="Arial"/>
          <w:sz w:val="22"/>
          <w:szCs w:val="22"/>
          <w:color w:val="auto"/>
        </w:rPr>
        <w:t>” means each of the First Delayed Draw Closing Date and the Second Delayed Draw Closing Date.</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Delayed Draw Commitment Amount</w:t>
      </w:r>
      <w:r>
        <w:rPr>
          <w:rFonts w:ascii="Arial" w:cs="Arial" w:eastAsia="Arial" w:hAnsi="Arial"/>
          <w:sz w:val="22"/>
          <w:szCs w:val="22"/>
          <w:color w:val="auto"/>
        </w:rPr>
        <w:t>” means each of the First Delayed Draw Commitment Amount and the Second Delayed Draw Commitment Amount.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1" w:name="page42"/>
    <w:bookmarkEnd w:id="41"/>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Delayed Draw Loan</w:t>
      </w:r>
      <w:r>
        <w:rPr>
          <w:rFonts w:ascii="Arial" w:cs="Arial" w:eastAsia="Arial" w:hAnsi="Arial"/>
          <w:sz w:val="22"/>
          <w:szCs w:val="22"/>
          <w:color w:val="auto"/>
        </w:rPr>
        <w:t>” means each of the First Delayed Draw Loan and the Second Delayed Draw Loan.</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Jurisdiction</w:t>
      </w:r>
      <w:r>
        <w:rPr>
          <w:rFonts w:ascii="Arial" w:cs="Arial" w:eastAsia="Arial" w:hAnsi="Arial"/>
          <w:sz w:val="22"/>
          <w:szCs w:val="22"/>
          <w:color w:val="auto"/>
        </w:rPr>
        <w:t>” means any country or territory to the extent that such country or territory is the subject of any Sanction.</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Disclosing Party</w:t>
      </w:r>
      <w:r>
        <w:rPr>
          <w:rFonts w:ascii="Arial" w:cs="Arial" w:eastAsia="Arial" w:hAnsi="Arial"/>
          <w:sz w:val="22"/>
          <w:szCs w:val="22"/>
          <w:color w:val="auto"/>
        </w:rPr>
        <w:t>” means the Party disclosing Confidential Information.</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Disposition</w:t>
      </w:r>
      <w:r>
        <w:rPr>
          <w:rFonts w:ascii="Arial" w:cs="Arial" w:eastAsia="Arial" w:hAnsi="Arial"/>
          <w:sz w:val="22"/>
          <w:szCs w:val="22"/>
          <w:color w:val="auto"/>
        </w:rPr>
        <w:t>” (or similar words such as “</w:t>
      </w:r>
      <w:r>
        <w:rPr>
          <w:rFonts w:ascii="Arial" w:cs="Arial" w:eastAsia="Arial" w:hAnsi="Arial"/>
          <w:sz w:val="22"/>
          <w:szCs w:val="22"/>
          <w:u w:val="single" w:color="auto"/>
          <w:color w:val="auto"/>
        </w:rPr>
        <w:t>Dispose</w:t>
      </w:r>
      <w:r>
        <w:rPr>
          <w:rFonts w:ascii="Arial" w:cs="Arial" w:eastAsia="Arial" w:hAnsi="Arial"/>
          <w:sz w:val="22"/>
          <w:szCs w:val="22"/>
          <w:color w:val="auto"/>
        </w:rPr>
        <w:t>”) means any sale, transfer, lease, license, contribution or other conveyance (including by way of merger) of, or the granting of options, warrants or other rights to, any of the Borrower’s or any Subsidiary’s assets (including accounts receivable and Capital Securities of Subsidiaries) to any other Person (other than to the Borrower or any Guarantor) in a single transaction or series of transactions.</w:t>
      </w:r>
    </w:p>
    <w:p>
      <w:pPr>
        <w:spacing w:after="0" w:line="18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Capital Securities</w:t>
      </w:r>
      <w:r>
        <w:rPr>
          <w:rFonts w:ascii="Arial" w:cs="Arial" w:eastAsia="Arial" w:hAnsi="Arial"/>
          <w:sz w:val="19"/>
          <w:szCs w:val="19"/>
          <w:color w:val="auto"/>
        </w:rPr>
        <w:t xml:space="preserve">” shall mean any Capital Securities that, by their terms (or by the terms of any security or other Capital Securities into which they are convertible or for which they are exchangeable) or upon the happening of any event or condition, (a) mature or are mandatorily redeemable (other than solely for Qualified Capital Securities), pursuant to a sinking fund obligation or otherwise (except as a result of a Change in Control or asset sale so long as any rights of the holders thereof upon the occurrence of a Change in Control or asset sale event shall be subject to the prior repayment in full of the Loans and all other Obligations that are accrued and payable and the termination of the Commitment), (b) are redeemable at the option of the holder thereof (other than solely for Qualified Capital Securities) (except as a result of a Change in Control or asset sale so long as any rights of the holders thereof upon the occurrence of a Change in Control or asset sale event shall be subject to the prior repayment in full of the Loans and all other Obligations that are accrued and payable and the termination of the Commitment), in whole or in part, (c) provide for the scheduled payment of dividends in cash or (d) are or become convertible into or exchangeable for Indebtedness or any other Capital Securities that would constitute Disqualified Capital Securities, in each case, prior to the date that is one hundred and eighty-one (181) days after the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Capital Securities are issued pursuant to a plan for the benefit of employees of the Borrower or any of the Subsidiaries, or by any such plan to such employees, such Capital Securities shall not constitute Disqualified Capital Securities solely because they may be required to be repurchased by the Borrower or any of the Subsidiaries in order to satisfy applicable statutory or regulatory obligations.</w:t>
      </w:r>
    </w:p>
    <w:p>
      <w:pPr>
        <w:spacing w:after="0" w:line="160"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Division/Series Transaction</w:t>
      </w:r>
      <w:r>
        <w:rPr>
          <w:rFonts w:ascii="Arial" w:cs="Arial" w:eastAsia="Arial" w:hAnsi="Arial"/>
          <w:sz w:val="22"/>
          <w:szCs w:val="22"/>
          <w:color w:val="auto"/>
        </w:rPr>
        <w:t>” means, with respect to any Person that is a limited liability company organized under the Laws of the State of Delaware, that any such Person (a) divides into two or more Persons (whether or not the original Person survives such division) or (b) creates, or reorganizes into, one or more series, in each case, as contemplated under the Laws of the State of Delaware.</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any direct or indirect Subsidiary of the Borrower that is organized under the Laws of the United States, any state thereof or the District of Columbia.</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means all federal, state, local or international laws, statutes, rules, regulations, codes, directives, treaties, requirements, ordinances, orders, decrees, judgments, injunctions, notices or binding agreements issued, promulgated or entered into by 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2" w:name="page43"/>
    <w:bookmarkEnd w:id="42"/>
    <w:p>
      <w:pPr>
        <w:jc w:val="both"/>
        <w:spacing w:after="0" w:line="250" w:lineRule="auto"/>
        <w:rPr>
          <w:sz w:val="20"/>
          <w:szCs w:val="20"/>
          <w:color w:val="auto"/>
        </w:rPr>
      </w:pPr>
      <w:r>
        <w:rPr>
          <w:rFonts w:ascii="Arial" w:cs="Arial" w:eastAsia="Arial" w:hAnsi="Arial"/>
          <w:sz w:val="22"/>
          <w:szCs w:val="22"/>
          <w:color w:val="auto"/>
        </w:rPr>
        <w:t>Governmental Authority, relating in any way to the environment, natural resources, Hazardous Material or health and safety matters.</w:t>
      </w:r>
    </w:p>
    <w:p>
      <w:pPr>
        <w:spacing w:after="0" w:line="17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Liability</w:t>
      </w:r>
      <w:r>
        <w:rPr>
          <w:rFonts w:ascii="Arial" w:cs="Arial" w:eastAsia="Arial" w:hAnsi="Arial"/>
          <w:sz w:val="19"/>
          <w:szCs w:val="19"/>
          <w:color w:val="auto"/>
        </w:rPr>
        <w:t>” means any liability, loss, claim, suit, action, investigation, proceeding, damage, commitment or obligation, contingent or otherwise (including any liability for damages, costs of environmental remediation, fines, penalties or indemnities), of or affecting the Borrower or any Subsidiary directly or indirectly arising from, in connection with or based upon</w:t>
      </w:r>
    </w:p>
    <w:p>
      <w:pPr>
        <w:spacing w:after="0" w:line="1" w:lineRule="exact"/>
        <w:rPr>
          <w:sz w:val="20"/>
          <w:szCs w:val="20"/>
          <w:color w:val="auto"/>
        </w:rPr>
      </w:pPr>
    </w:p>
    <w:p>
      <w:pPr>
        <w:jc w:val="both"/>
        <w:ind w:firstLine="8"/>
        <w:spacing w:after="0" w:line="246" w:lineRule="auto"/>
        <w:tabs>
          <w:tab w:leader="none" w:pos="311" w:val="left"/>
        </w:tabs>
        <w:numPr>
          <w:ilvl w:val="0"/>
          <w:numId w:val="29"/>
        </w:numPr>
        <w:rPr>
          <w:rFonts w:ascii="Arial" w:cs="Arial" w:eastAsia="Arial" w:hAnsi="Arial"/>
          <w:sz w:val="21"/>
          <w:szCs w:val="21"/>
          <w:color w:val="auto"/>
        </w:rPr>
      </w:pPr>
      <w:r>
        <w:rPr>
          <w:rFonts w:ascii="Arial" w:cs="Arial" w:eastAsia="Arial" w:hAnsi="Arial"/>
          <w:sz w:val="21"/>
          <w:szCs w:val="21"/>
          <w:color w:val="auto"/>
        </w:rPr>
        <w:t>any Environmental Law or Environmental Permit, (ii) the generation, use, handling, transportation, storage, treatment, recycling, presence, disposal, Release or threatened Release of, or exposure to, any Hazardous Materials, or (iii) any contract, agreement, penalty, order, decree, settlement, injunction or other arrangement (including operation of law) pursuant to which liability is assumed, entered into, inherited or imposed with respect to any of the foregoing.</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6.7</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from time to time.</w:t>
      </w:r>
    </w:p>
    <w:p>
      <w:pPr>
        <w:spacing w:after="0" w:line="206"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as applied to any Person, (i) any corporation that is a member of a controlled group of corporations within the meaning of section 414(b) of the Code of which that Person is a member, (ii) any trade or business (whether or not incorporated) that is a member of a group of trades or businesses under common control within the meaning of section 414(c) of the Code of which that Person is a member, or (iii) any member of an affiliated service group within the meaning of section 414(m) or 414(o) of the Code of which that Person, any corporation described in clause (i) above or any trade or business described in clause (ii) above is a member.</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11.10</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Accoun</w:t>
      </w:r>
      <w:r>
        <w:rPr>
          <w:rFonts w:ascii="Arial" w:cs="Arial" w:eastAsia="Arial" w:hAnsi="Arial"/>
          <w:sz w:val="22"/>
          <w:szCs w:val="22"/>
          <w:color w:val="auto"/>
        </w:rPr>
        <w:t xml:space="preserve">t” is defined in </w:t>
      </w:r>
      <w:r>
        <w:rPr>
          <w:rFonts w:ascii="Arial" w:cs="Arial" w:eastAsia="Arial" w:hAnsi="Arial"/>
          <w:sz w:val="22"/>
          <w:szCs w:val="22"/>
          <w:u w:val="single" w:color="auto"/>
          <w:color w:val="auto"/>
        </w:rPr>
        <w:t>Section 7.12</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Property</w:t>
      </w:r>
      <w:r>
        <w:rPr>
          <w:rFonts w:ascii="Arial" w:cs="Arial" w:eastAsia="Arial" w:hAnsi="Arial"/>
          <w:sz w:val="22"/>
          <w:szCs w:val="22"/>
          <w:color w:val="auto"/>
        </w:rPr>
        <w:t>” has the meaning given thereto in the Security Agreement.</w:t>
      </w:r>
    </w:p>
    <w:p>
      <w:pPr>
        <w:spacing w:after="0" w:line="20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Subsidiaries</w:t>
      </w:r>
      <w:r>
        <w:rPr>
          <w:rFonts w:ascii="Arial" w:cs="Arial" w:eastAsia="Arial" w:hAnsi="Arial"/>
          <w:sz w:val="21"/>
          <w:szCs w:val="21"/>
          <w:color w:val="auto"/>
        </w:rPr>
        <w:t xml:space="preserve">” means any Foreign Subsidiary that: (i) subject to </w:t>
      </w:r>
      <w:r>
        <w:rPr>
          <w:rFonts w:ascii="Arial" w:cs="Arial" w:eastAsia="Arial" w:hAnsi="Arial"/>
          <w:sz w:val="21"/>
          <w:szCs w:val="21"/>
          <w:u w:val="single" w:color="auto"/>
          <w:color w:val="auto"/>
        </w:rPr>
        <w:t>Section 7.16(d)</w:t>
      </w:r>
      <w:r>
        <w:rPr>
          <w:rFonts w:ascii="Arial" w:cs="Arial" w:eastAsia="Arial" w:hAnsi="Arial"/>
          <w:sz w:val="21"/>
          <w:szCs w:val="21"/>
          <w:color w:val="auto"/>
        </w:rPr>
        <w:t>, does not hold right, title or interest in any Intellectual Property (other than Intellectual Property that is solely used or useful in the jurisdiction of organization of such Subsidiary) after December 31, 2023, (ii) does not hold or maintain any material Regulatory Authorization, whether now in effect or hereafter issued by any Regulatory Agency (other than Regulatory Authorizations that are solely used or useful in the jurisdiction of organization of such Subsidiary), (iii) is not party to any Material Agreement, other than ordinary course contracts or agreements (including leases of or licenses to use real property) that are not material to the business of the Borrower, the Guarantors and the Subsidiaries (taken as a whole), (iv) does not, individually or together with all Excluded Subsidiaries, have cash or Cash Equivalent Investments exceeding $250,000 in the aggregate at any time, (v) as of the last day of the most recent Fiscal Quarter for which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3" w:name="page44"/>
    <w:bookmarkEnd w:id="43"/>
    <w:p>
      <w:pPr>
        <w:jc w:val="both"/>
        <w:spacing w:after="0" w:line="274" w:lineRule="auto"/>
        <w:rPr>
          <w:sz w:val="20"/>
          <w:szCs w:val="20"/>
          <w:color w:val="auto"/>
        </w:rPr>
      </w:pPr>
      <w:r>
        <w:rPr>
          <w:rFonts w:ascii="Arial" w:cs="Arial" w:eastAsia="Arial" w:hAnsi="Arial"/>
          <w:sz w:val="19"/>
          <w:szCs w:val="19"/>
          <w:color w:val="auto"/>
        </w:rPr>
        <w:t xml:space="preserve">have been delivered pursuant to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7.1(c)</w:t>
      </w:r>
      <w:r>
        <w:rPr>
          <w:rFonts w:ascii="Arial" w:cs="Arial" w:eastAsia="Arial" w:hAnsi="Arial"/>
          <w:sz w:val="19"/>
          <w:szCs w:val="19"/>
          <w:color w:val="auto"/>
        </w:rPr>
        <w:t xml:space="preserve"> (or, if prior to the date of the delivery of the first financial statements to be delivered pursuant to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7.1(c)</w:t>
      </w:r>
      <w:r>
        <w:rPr>
          <w:rFonts w:ascii="Arial" w:cs="Arial" w:eastAsia="Arial" w:hAnsi="Arial"/>
          <w:sz w:val="19"/>
          <w:szCs w:val="19"/>
          <w:color w:val="auto"/>
        </w:rPr>
        <w:t xml:space="preserve">, the most recent financial statements referred to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5.6</w:t>
      </w:r>
      <w:r>
        <w:rPr>
          <w:rFonts w:ascii="Arial" w:cs="Arial" w:eastAsia="Arial" w:hAnsi="Arial"/>
          <w:sz w:val="19"/>
          <w:szCs w:val="19"/>
          <w:color w:val="auto"/>
        </w:rPr>
        <w:t xml:space="preserve">), for the period of four consecutive Fiscal Quarters then ended, together with all other Excluded Subsidiaries, contributed less than 4.0% of the consolidated net revenue of the Borrower and its Subsidiaries for such period, (vi) as of the last day of the most recent Fiscal Quarter for which financial statements have been delivered pursuant to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7.1(c)</w:t>
      </w:r>
      <w:r>
        <w:rPr>
          <w:rFonts w:ascii="Arial" w:cs="Arial" w:eastAsia="Arial" w:hAnsi="Arial"/>
          <w:sz w:val="19"/>
          <w:szCs w:val="19"/>
          <w:color w:val="auto"/>
        </w:rPr>
        <w:t xml:space="preserve"> (or, if prior to the date of the delivery of the first financial statements to be delivered pursuant to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7.1(c)</w:t>
      </w:r>
      <w:r>
        <w:rPr>
          <w:rFonts w:ascii="Arial" w:cs="Arial" w:eastAsia="Arial" w:hAnsi="Arial"/>
          <w:sz w:val="19"/>
          <w:szCs w:val="19"/>
          <w:color w:val="auto"/>
        </w:rPr>
        <w:t xml:space="preserve">, the most recent financial statements referred to in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for the period of four consecutive Fiscal Quarters then ended, together with all other Excluded Subsidiaries, contributed less than 4.0% of the consolidated total assets of the Borrower and its Subsidiaries at such time and (vii) is in compliance with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7.16(b)</w:t>
      </w:r>
      <w:r>
        <w:rPr>
          <w:rFonts w:ascii="Arial" w:cs="Arial" w:eastAsia="Arial" w:hAnsi="Arial"/>
          <w:sz w:val="19"/>
          <w:szCs w:val="19"/>
          <w:color w:val="auto"/>
        </w:rPr>
        <w:t>.</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Exit Fee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3.8</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means Sections 1471 through 1474 of the Code, as of the Closing Date (or any amended or successor version that is substantively comparable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7"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FD&amp;C Act</w:t>
      </w:r>
      <w:r>
        <w:rPr>
          <w:rFonts w:ascii="Arial" w:cs="Arial" w:eastAsia="Arial" w:hAnsi="Arial"/>
          <w:sz w:val="19"/>
          <w:szCs w:val="19"/>
          <w:color w:val="auto"/>
        </w:rPr>
        <w:t>” means the U.S. Federal Food, Drug and Cosmetic Act (or any successor thereto), as amended from time to time, and the rules, regulations, guidelines, guidance documents and compliance policy guides issued or promulgated thereunder.</w:t>
      </w:r>
    </w:p>
    <w:p>
      <w:pPr>
        <w:spacing w:after="0" w:line="105"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FDA</w:t>
      </w:r>
      <w:r>
        <w:rPr>
          <w:rFonts w:ascii="Arial" w:cs="Arial" w:eastAsia="Arial" w:hAnsi="Arial"/>
          <w:sz w:val="19"/>
          <w:szCs w:val="19"/>
          <w:color w:val="auto"/>
        </w:rPr>
        <w:t>” means the U.S. Food and Drug Administration, any comparable state or local Governmental Authority, and comparable Governmental Authority in any non-United States jurisdiction and any successor agency of any of the foregoing.</w:t>
      </w:r>
    </w:p>
    <w:p>
      <w:pPr>
        <w:spacing w:after="0" w:line="10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Delayed Draw Closing Date</w:t>
      </w:r>
      <w:r>
        <w:rPr>
          <w:rFonts w:ascii="Arial" w:cs="Arial" w:eastAsia="Arial" w:hAnsi="Arial"/>
          <w:sz w:val="22"/>
          <w:szCs w:val="22"/>
          <w:color w:val="auto"/>
        </w:rPr>
        <w:t>” means the date of the making of the First Delayed Draw Loan hereunder, which in no event shall be later than December 31, 2024.</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Delayed Draw Commitment Amount</w:t>
      </w:r>
      <w:r>
        <w:rPr>
          <w:rFonts w:ascii="Arial" w:cs="Arial" w:eastAsia="Arial" w:hAnsi="Arial"/>
          <w:sz w:val="22"/>
          <w:szCs w:val="22"/>
          <w:color w:val="auto"/>
        </w:rPr>
        <w:t>” means $25,000,000.</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Delayed Draw Commitment Termination Date</w:t>
      </w:r>
      <w:r>
        <w:rPr>
          <w:rFonts w:ascii="Arial" w:cs="Arial" w:eastAsia="Arial" w:hAnsi="Arial"/>
          <w:sz w:val="22"/>
          <w:szCs w:val="22"/>
          <w:color w:val="auto"/>
        </w:rPr>
        <w:t>” means the earliest to occur of (i) the First Delayed Draw Closing Date (immediately after the making of the First Delayed Draw Loan on such date), (ii) December 31, 2024 and (iii) October 18, 2023, if the Initial Loan shall not have been made hereunder prior to such date.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Delayed Draw Loan”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Quarter</w:t>
      </w:r>
      <w:r>
        <w:rPr>
          <w:rFonts w:ascii="Arial" w:cs="Arial" w:eastAsia="Arial" w:hAnsi="Arial"/>
          <w:sz w:val="22"/>
          <w:szCs w:val="22"/>
          <w:color w:val="auto"/>
        </w:rPr>
        <w:t>” means a quarter ending on the last day of March, June, September or December.</w:t>
      </w:r>
    </w:p>
    <w:p>
      <w:pPr>
        <w:spacing w:after="0" w:line="206"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4" w:name="page45"/>
    <w:bookmarkEnd w:id="44"/>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means any period of twelve consecutive calendar months ending on December 31; references to a Fiscal Year with a number corresponding to any calendar year (</w:t>
      </w:r>
      <w:r>
        <w:rPr>
          <w:rFonts w:ascii="Arial" w:cs="Arial" w:eastAsia="Arial" w:hAnsi="Arial"/>
          <w:sz w:val="22"/>
          <w:szCs w:val="22"/>
          <w:u w:val="single" w:color="auto"/>
          <w:color w:val="auto"/>
        </w:rPr>
        <w:t>e.g.</w:t>
      </w:r>
      <w:r>
        <w:rPr>
          <w:rFonts w:ascii="Arial" w:cs="Arial" w:eastAsia="Arial" w:hAnsi="Arial"/>
          <w:sz w:val="22"/>
          <w:szCs w:val="22"/>
          <w:color w:val="auto"/>
        </w:rPr>
        <w:t>, the “2022 Fiscal Year”) refer to the Fiscal Year ending on December 31 of such calendar year.</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Lender</w:t>
      </w:r>
      <w:r>
        <w:rPr>
          <w:rFonts w:ascii="Arial" w:cs="Arial" w:eastAsia="Arial" w:hAnsi="Arial"/>
          <w:sz w:val="21"/>
          <w:szCs w:val="21"/>
          <w:color w:val="auto"/>
        </w:rPr>
        <w:t>” means a Lender that is organized under the laws of a jurisdiction outside of the United States.</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direct or indirect Subsidiary that is not a Domestic Subsidiary.</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F.R.S. Board</w:t>
      </w:r>
      <w:r>
        <w:rPr>
          <w:rFonts w:ascii="Arial" w:cs="Arial" w:eastAsia="Arial" w:hAnsi="Arial"/>
          <w:sz w:val="22"/>
          <w:szCs w:val="22"/>
          <w:color w:val="auto"/>
        </w:rPr>
        <w:t>” means the Board of Governors of the Federal Reserve System or any successor thereto.</w:t>
      </w:r>
    </w:p>
    <w:p>
      <w:pPr>
        <w:spacing w:after="0" w:line="206" w:lineRule="exact"/>
        <w:rPr>
          <w:sz w:val="20"/>
          <w:szCs w:val="20"/>
          <w:color w:val="auto"/>
        </w:rPr>
      </w:pPr>
    </w:p>
    <w:p>
      <w:pPr>
        <w:ind w:left="8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w:t>
      </w:r>
    </w:p>
    <w:p>
      <w:pPr>
        <w:spacing w:after="0" w:line="20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national, supranational, federal, state, county, provincial, local, municipal or other government or political subdivision thereof (including any Regulatory Agency), whether domestic or foreign, and any agency, authority, commission, ministry, instrumentality, regulatory body, court, tribunal, arbitrator, central bank or other Person exercising executive, legislative, judicial, taxing, regulatory or administrative powers or functions of or pertaining to any such government.</w:t>
      </w:r>
    </w:p>
    <w:p>
      <w:pPr>
        <w:spacing w:after="0" w:line="187"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xml:space="preserve">” means the guarantee executed and delivered by an Authorized Officer of each Guarantor, substantially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 as amended, supplemented, amended and restated or otherwise modified from time to time.</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Guarantors</w:t>
      </w:r>
      <w:r>
        <w:rPr>
          <w:rFonts w:ascii="Arial" w:cs="Arial" w:eastAsia="Arial" w:hAnsi="Arial"/>
          <w:sz w:val="22"/>
          <w:szCs w:val="22"/>
          <w:color w:val="auto"/>
        </w:rPr>
        <w:t>” means, collectively, the Subsidiaries (other than any Excluded Subsidiary).</w:t>
      </w:r>
    </w:p>
    <w:p>
      <w:pPr>
        <w:spacing w:after="0" w:line="20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Material</w:t>
      </w:r>
      <w:r>
        <w:rPr>
          <w:rFonts w:ascii="Arial" w:cs="Arial" w:eastAsia="Arial" w:hAnsi="Arial"/>
          <w:sz w:val="21"/>
          <w:szCs w:val="21"/>
          <w:color w:val="auto"/>
        </w:rPr>
        <w:t>” means any material, substance, chemical, mixture or waste which is capable of damaging or causing harm to any living organism, the environment or natural resources, including all explosive, special, hazardous, polluting, toxic, industrial, dangerous, biohazardous, medical, infectious or radioactive substances, materials or wastes, noise, odor, electricity or heat, and including petroleum or petroleum products, byproducts or distillates, asbestos or asbestos-containing materials, urea formaldehyde, polychlorinated biphenyls, radon gas, ozone-depleting substances, greenhouse gases, and all other substances or wastes of any nature regulated pursuant to any Environmental Law or as to which any Governmental Authority requires investigation, reporting or remedial action.</w:t>
      </w:r>
    </w:p>
    <w:p>
      <w:pPr>
        <w:spacing w:after="0" w:line="184"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Obligations</w:t>
      </w:r>
      <w:r>
        <w:rPr>
          <w:rFonts w:ascii="Arial" w:cs="Arial" w:eastAsia="Arial" w:hAnsi="Arial"/>
          <w:sz w:val="19"/>
          <w:szCs w:val="19"/>
          <w:color w:val="auto"/>
        </w:rPr>
        <w:t>” means, with respect to any Person, all liabilities of such Person under currency exchange agreements, interest rate swap agreements, interest rate cap agreements and interest rate collar agreements, and all other agreements or arrangements designed to protect such Person against fluctuations in interest rates or currency exchange rates.</w:t>
      </w:r>
    </w:p>
    <w:p>
      <w:pPr>
        <w:spacing w:after="0" w:line="134"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herein</w:t>
      </w:r>
      <w:r>
        <w:rPr>
          <w:rFonts w:ascii="Arial" w:cs="Arial" w:eastAsia="Arial" w:hAnsi="Arial"/>
          <w:sz w:val="22"/>
          <w:szCs w:val="22"/>
          <w:color w:val="auto"/>
        </w:rPr>
        <w:t>”, “</w:t>
      </w:r>
      <w:r>
        <w:rPr>
          <w:rFonts w:ascii="Arial" w:cs="Arial" w:eastAsia="Arial" w:hAnsi="Arial"/>
          <w:sz w:val="22"/>
          <w:szCs w:val="22"/>
          <w:u w:val="single" w:color="auto"/>
          <w:color w:val="auto"/>
        </w:rPr>
        <w:t>hereof</w:t>
      </w:r>
      <w:r>
        <w:rPr>
          <w:rFonts w:ascii="Arial" w:cs="Arial" w:eastAsia="Arial" w:hAnsi="Arial"/>
          <w:sz w:val="22"/>
          <w:szCs w:val="22"/>
          <w:color w:val="auto"/>
        </w:rPr>
        <w:t>”, “</w:t>
      </w:r>
      <w:r>
        <w:rPr>
          <w:rFonts w:ascii="Arial" w:cs="Arial" w:eastAsia="Arial" w:hAnsi="Arial"/>
          <w:sz w:val="22"/>
          <w:szCs w:val="22"/>
          <w:u w:val="single" w:color="auto"/>
          <w:color w:val="auto"/>
        </w:rPr>
        <w:t>hereto</w:t>
      </w:r>
      <w:r>
        <w:rPr>
          <w:rFonts w:ascii="Arial" w:cs="Arial" w:eastAsia="Arial" w:hAnsi="Arial"/>
          <w:sz w:val="22"/>
          <w:szCs w:val="22"/>
          <w:color w:val="auto"/>
        </w:rPr>
        <w:t>”, “</w:t>
      </w:r>
      <w:r>
        <w:rPr>
          <w:rFonts w:ascii="Arial" w:cs="Arial" w:eastAsia="Arial" w:hAnsi="Arial"/>
          <w:sz w:val="22"/>
          <w:szCs w:val="22"/>
          <w:u w:val="single" w:color="auto"/>
          <w:color w:val="auto"/>
        </w:rPr>
        <w:t>hereunder</w:t>
      </w:r>
      <w:r>
        <w:rPr>
          <w:rFonts w:ascii="Arial" w:cs="Arial" w:eastAsia="Arial" w:hAnsi="Arial"/>
          <w:sz w:val="22"/>
          <w:szCs w:val="22"/>
          <w:color w:val="auto"/>
        </w:rPr>
        <w:t>” and similar terms contained in any Loan Document refer to such Loan Document as a whole and not to any particular Section, paragraph or provision of such Loan Document.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5" w:name="page46"/>
    <w:bookmarkEnd w:id="45"/>
    <w:p>
      <w:pPr>
        <w:jc w:val="both"/>
        <w:ind w:firstLine="749"/>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HIPAA</w:t>
      </w:r>
      <w:r>
        <w:rPr>
          <w:rFonts w:ascii="Arial" w:cs="Arial" w:eastAsia="Arial" w:hAnsi="Arial"/>
          <w:sz w:val="22"/>
          <w:szCs w:val="22"/>
          <w:color w:val="auto"/>
        </w:rPr>
        <w:t>” means, collectively, the Health Insurance Portability and Accountability Act of 1996, Public Law 104-191, as amended by the Health Information Technology for Economic and Clinical Health Act, enacted as Title XIII of the American Recovery and Reinvestment Act of 2009, Public Law 111-5, and their implementing regulations, including but not limited to, the Standards for Privacy of Individually Identifiable Health Information at 45 C.F.R. Parts 160 and 164, Subparts A and E, the Security Standards for the Protection of Electronic Protected Health Information at 45 C.F.R. Parts 160 and 164, Subparts A and C, and the Notification of Breach of Unsecured Protected Health Information requirements at 45 C.F.R. Part 160 and 164, Subparts A and D.</w:t>
      </w:r>
    </w:p>
    <w:p>
      <w:pPr>
        <w:spacing w:after="0" w:line="19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Impermissible Qualification</w:t>
      </w:r>
      <w:r>
        <w:rPr>
          <w:rFonts w:ascii="Arial" w:cs="Arial" w:eastAsia="Arial" w:hAnsi="Arial"/>
          <w:sz w:val="21"/>
          <w:szCs w:val="21"/>
          <w:color w:val="auto"/>
        </w:rPr>
        <w:t>” means any qualification or exception to the opinion or certification of any independent public accountant as to any financial statement of the Borrower (i) which is of a “going concern” or similar nature, (ii) which relates to the limited scope of examination of matters relevant to such financial statement, or (iii) which relates to the treatment or classification of any item in such financial statement and which, as a condition to its removal, would require an adjustment to such item the effect of which would be to cause the Borrower to be in Default.</w:t>
      </w:r>
    </w:p>
    <w:p>
      <w:pPr>
        <w:spacing w:after="0" w:line="17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including</w:t>
      </w:r>
      <w:r>
        <w:rPr>
          <w:rFonts w:ascii="Arial" w:cs="Arial" w:eastAsia="Arial" w:hAnsi="Arial"/>
          <w:sz w:val="22"/>
          <w:szCs w:val="22"/>
          <w:color w:val="auto"/>
        </w:rPr>
        <w:t>” and “</w:t>
      </w:r>
      <w:r>
        <w:rPr>
          <w:rFonts w:ascii="Arial" w:cs="Arial" w:eastAsia="Arial" w:hAnsi="Arial"/>
          <w:sz w:val="22"/>
          <w:szCs w:val="22"/>
          <w:u w:val="single" w:color="auto"/>
          <w:color w:val="auto"/>
        </w:rPr>
        <w:t>include</w:t>
      </w:r>
      <w:r>
        <w:rPr>
          <w:rFonts w:ascii="Arial" w:cs="Arial" w:eastAsia="Arial" w:hAnsi="Arial"/>
          <w:sz w:val="22"/>
          <w:szCs w:val="22"/>
          <w:color w:val="auto"/>
        </w:rPr>
        <w:t>” means including without limiting the generality of any description preceding such term, and, for purposes of each Loan Document, the parties hereto agree that the rule of ejusdem generis shall not be applicable to limit a general statement, which is followed by or referable to an enumeration of specific matters, to matters similar to the matters specifically mentioned.</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Indebtedness</w:t>
      </w:r>
      <w:r>
        <w:rPr>
          <w:rFonts w:ascii="Arial" w:cs="Arial" w:eastAsia="Arial" w:hAnsi="Arial"/>
          <w:sz w:val="22"/>
          <w:szCs w:val="22"/>
          <w:color w:val="auto"/>
        </w:rPr>
        <w:t>” of any Person means:</w:t>
      </w:r>
    </w:p>
    <w:p>
      <w:pPr>
        <w:spacing w:after="0" w:line="206" w:lineRule="exact"/>
        <w:rPr>
          <w:sz w:val="20"/>
          <w:szCs w:val="20"/>
          <w:color w:val="auto"/>
        </w:rPr>
      </w:pPr>
    </w:p>
    <w:p>
      <w:pPr>
        <w:ind w:left="760" w:right="60" w:firstLine="745"/>
        <w:spacing w:after="0" w:line="250" w:lineRule="auto"/>
        <w:tabs>
          <w:tab w:leader="none" w:pos="1941" w:val="left"/>
        </w:tabs>
        <w:numPr>
          <w:ilvl w:val="0"/>
          <w:numId w:val="30"/>
        </w:numPr>
        <w:rPr>
          <w:rFonts w:ascii="Arial" w:cs="Arial" w:eastAsia="Arial" w:hAnsi="Arial"/>
          <w:sz w:val="22"/>
          <w:szCs w:val="22"/>
          <w:color w:val="auto"/>
        </w:rPr>
      </w:pPr>
      <w:r>
        <w:rPr>
          <w:rFonts w:ascii="Arial" w:cs="Arial" w:eastAsia="Arial" w:hAnsi="Arial"/>
          <w:sz w:val="22"/>
          <w:szCs w:val="22"/>
          <w:color w:val="auto"/>
        </w:rPr>
        <w:t>all obligations of such Person for borrowed money or advances and all obligations of such Person evidenced by bonds, debentures, notes or similar instruments;</w:t>
      </w:r>
    </w:p>
    <w:p>
      <w:pPr>
        <w:spacing w:after="0" w:line="174" w:lineRule="exact"/>
        <w:rPr>
          <w:rFonts w:ascii="Arial" w:cs="Arial" w:eastAsia="Arial" w:hAnsi="Arial"/>
          <w:sz w:val="22"/>
          <w:szCs w:val="22"/>
          <w:color w:val="auto"/>
        </w:rPr>
      </w:pPr>
    </w:p>
    <w:p>
      <w:pPr>
        <w:ind w:left="760" w:right="20" w:firstLine="745"/>
        <w:spacing w:after="0" w:line="250" w:lineRule="auto"/>
        <w:tabs>
          <w:tab w:leader="none" w:pos="1941" w:val="left"/>
        </w:tabs>
        <w:numPr>
          <w:ilvl w:val="0"/>
          <w:numId w:val="30"/>
        </w:numPr>
        <w:rPr>
          <w:rFonts w:ascii="Arial" w:cs="Arial" w:eastAsia="Arial" w:hAnsi="Arial"/>
          <w:sz w:val="22"/>
          <w:szCs w:val="22"/>
          <w:color w:val="auto"/>
        </w:rPr>
      </w:pPr>
      <w:r>
        <w:rPr>
          <w:rFonts w:ascii="Arial" w:cs="Arial" w:eastAsia="Arial" w:hAnsi="Arial"/>
          <w:sz w:val="22"/>
          <w:szCs w:val="22"/>
          <w:color w:val="auto"/>
        </w:rPr>
        <w:t>all obligations, contingent or otherwise, relative to the face amount of all letters of credit, whether or not drawn, and banker’s acceptances issued for the account of such Person;</w:t>
      </w:r>
    </w:p>
    <w:p>
      <w:pPr>
        <w:spacing w:after="0" w:line="174" w:lineRule="exact"/>
        <w:rPr>
          <w:rFonts w:ascii="Arial" w:cs="Arial" w:eastAsia="Arial" w:hAnsi="Arial"/>
          <w:sz w:val="22"/>
          <w:szCs w:val="22"/>
          <w:color w:val="auto"/>
        </w:rPr>
      </w:pPr>
    </w:p>
    <w:p>
      <w:pPr>
        <w:ind w:left="1940" w:hanging="435"/>
        <w:spacing w:after="0"/>
        <w:tabs>
          <w:tab w:leader="none" w:pos="19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all Capitalized Lease Liabilities of such Person and all obligations of such Person arising under Synthetic</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Leases;</w:t>
      </w:r>
    </w:p>
    <w:p>
      <w:pPr>
        <w:spacing w:after="0" w:line="188" w:lineRule="exact"/>
        <w:rPr>
          <w:rFonts w:ascii="Arial" w:cs="Arial" w:eastAsia="Arial" w:hAnsi="Arial"/>
          <w:sz w:val="19"/>
          <w:szCs w:val="19"/>
          <w:color w:val="auto"/>
        </w:rPr>
      </w:pPr>
    </w:p>
    <w:p>
      <w:pPr>
        <w:ind w:left="1940" w:hanging="435"/>
        <w:spacing w:after="0"/>
        <w:tabs>
          <w:tab w:leader="none" w:pos="19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net Hedging Obligations of such Person;</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all obligations of such Person in respect of Disqualified Capital Securities;</w:t>
      </w:r>
    </w:p>
    <w:p>
      <w:pPr>
        <w:spacing w:after="0" w:line="206" w:lineRule="exact"/>
        <w:rPr>
          <w:rFonts w:ascii="Arial" w:cs="Arial" w:eastAsia="Arial" w:hAnsi="Arial"/>
          <w:sz w:val="22"/>
          <w:szCs w:val="22"/>
          <w:color w:val="auto"/>
        </w:rPr>
      </w:pPr>
    </w:p>
    <w:p>
      <w:pPr>
        <w:jc w:val="both"/>
        <w:ind w:left="760" w:firstLine="745"/>
        <w:spacing w:after="0" w:line="235" w:lineRule="auto"/>
        <w:tabs>
          <w:tab w:leader="none" w:pos="1941" w:val="left"/>
        </w:tabs>
        <w:numPr>
          <w:ilvl w:val="0"/>
          <w:numId w:val="30"/>
        </w:numPr>
        <w:rPr>
          <w:rFonts w:ascii="Arial" w:cs="Arial" w:eastAsia="Arial" w:hAnsi="Arial"/>
          <w:sz w:val="22"/>
          <w:szCs w:val="22"/>
          <w:color w:val="auto"/>
        </w:rPr>
      </w:pPr>
      <w:r>
        <w:rPr>
          <w:rFonts w:ascii="Arial" w:cs="Arial" w:eastAsia="Arial" w:hAnsi="Arial"/>
          <w:sz w:val="22"/>
          <w:szCs w:val="22"/>
          <w:color w:val="auto"/>
        </w:rPr>
        <w:t>whether or not so included as liabilities in accordance with GAAP, all obligations of such Person to pay the deferred purchase price of property or services (excluding trade accounts payable in the ordinary course of business which are not overdue for a period of more than 90 days or, if overdue for more than 90 days, as to which a dispute exists and adequate reserves in conformity with GAAP have been established on the books of such Person), and indebtedness secured by (or for which the holder of such indebtedness has an existing right, contingent or otherwise, to be secured by) a Lien on property owned</w:t>
      </w:r>
    </w:p>
    <w:p>
      <w:pPr>
        <w:spacing w:after="0" w:line="187" w:lineRule="exact"/>
        <w:rPr>
          <w:rFonts w:ascii="Arial" w:cs="Arial" w:eastAsia="Arial" w:hAnsi="Arial"/>
          <w:sz w:val="22"/>
          <w:szCs w:val="22"/>
          <w:color w:val="auto"/>
        </w:rPr>
      </w:pPr>
    </w:p>
    <w:p>
      <w:pPr>
        <w:ind w:left="5520" w:hanging="130"/>
        <w:spacing w:after="0"/>
        <w:tabs>
          <w:tab w:leader="none" w:pos="5520" w:val="left"/>
        </w:tabs>
        <w:numPr>
          <w:ilvl w:val="1"/>
          <w:numId w:val="30"/>
        </w:numPr>
        <w:rPr>
          <w:rFonts w:ascii="Arial" w:cs="Arial" w:eastAsia="Arial" w:hAnsi="Arial"/>
          <w:sz w:val="22"/>
          <w:szCs w:val="22"/>
          <w:color w:val="auto"/>
        </w:rPr>
      </w:pPr>
      <w:r>
        <w:rPr>
          <w:rFonts w:ascii="Arial" w:cs="Arial" w:eastAsia="Arial" w:hAnsi="Arial"/>
          <w:sz w:val="22"/>
          <w:szCs w:val="22"/>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6" w:name="page47"/>
    <w:bookmarkEnd w:id="46"/>
    <w:p>
      <w:pPr>
        <w:ind w:left="760"/>
        <w:spacing w:after="0" w:line="328" w:lineRule="auto"/>
        <w:rPr>
          <w:sz w:val="20"/>
          <w:szCs w:val="20"/>
          <w:color w:val="auto"/>
        </w:rPr>
      </w:pPr>
      <w:r>
        <w:rPr>
          <w:rFonts w:ascii="Arial" w:cs="Arial" w:eastAsia="Arial" w:hAnsi="Arial"/>
          <w:sz w:val="19"/>
          <w:szCs w:val="19"/>
          <w:color w:val="auto"/>
        </w:rPr>
        <w:t>or being acquired by such Person (including indebtedness arising under conditional sales or other title retention agreements), whether or not such indebtedness shall have been assumed by such Person or is limited in recourse; and</w:t>
      </w:r>
    </w:p>
    <w:p>
      <w:pPr>
        <w:spacing w:after="0" w:line="105" w:lineRule="exact"/>
        <w:rPr>
          <w:sz w:val="20"/>
          <w:szCs w:val="20"/>
          <w:color w:val="auto"/>
        </w:rPr>
      </w:pPr>
    </w:p>
    <w:p>
      <w:pPr>
        <w:ind w:left="1500"/>
        <w:spacing w:after="0"/>
        <w:tabs>
          <w:tab w:leader="none" w:pos="192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all Contingent Liabilities of such Person in respect of any of the foregoing.</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Indebtedness of any Person shall include the Indebtedness of any other Person (including any partnership in which such Person is a general partner) to the extent such Person is liable therefor as a result of such Person’s ownership interest in or other relationship with such Person, except to the extent the terms of such Indebtedness provide that such Person is not liable therefor.</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Liabilities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10.4</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Parties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10.4</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Infringement</w:t>
      </w:r>
      <w:r>
        <w:rPr>
          <w:rFonts w:ascii="Arial" w:cs="Arial" w:eastAsia="Arial" w:hAnsi="Arial"/>
          <w:sz w:val="22"/>
          <w:szCs w:val="22"/>
          <w:color w:val="auto"/>
        </w:rPr>
        <w:t>” and “</w:t>
      </w:r>
      <w:r>
        <w:rPr>
          <w:rFonts w:ascii="Arial" w:cs="Arial" w:eastAsia="Arial" w:hAnsi="Arial"/>
          <w:sz w:val="22"/>
          <w:szCs w:val="22"/>
          <w:u w:val="single" w:color="auto"/>
          <w:color w:val="auto"/>
        </w:rPr>
        <w:t>Infringes</w:t>
      </w:r>
      <w:r>
        <w:rPr>
          <w:rFonts w:ascii="Arial" w:cs="Arial" w:eastAsia="Arial" w:hAnsi="Arial"/>
          <w:sz w:val="22"/>
          <w:szCs w:val="22"/>
          <w:color w:val="auto"/>
        </w:rPr>
        <w:t>” mean the infringement, misappropriation or other violation of know-how, trade secrets, confidential information and/or any other Intellectual Property.</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Commitment Amount</w:t>
      </w:r>
      <w:r>
        <w:rPr>
          <w:rFonts w:ascii="Arial" w:cs="Arial" w:eastAsia="Arial" w:hAnsi="Arial"/>
          <w:sz w:val="22"/>
          <w:szCs w:val="22"/>
          <w:color w:val="auto"/>
        </w:rPr>
        <w:t>” means $40,000,000.</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Lender</w:t>
      </w:r>
      <w:r>
        <w:rPr>
          <w:rFonts w:ascii="Arial" w:cs="Arial" w:eastAsia="Arial" w:hAnsi="Arial"/>
          <w:sz w:val="22"/>
          <w:szCs w:val="22"/>
          <w:color w:val="auto"/>
        </w:rPr>
        <w:t>” is defined in the preamble.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Loan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Insolvency Event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9.1(h)(iv)</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Intellectual Property</w:t>
      </w:r>
      <w:r>
        <w:rPr>
          <w:rFonts w:ascii="Arial" w:cs="Arial" w:eastAsia="Arial" w:hAnsi="Arial"/>
          <w:sz w:val="21"/>
          <w:szCs w:val="21"/>
          <w:color w:val="auto"/>
        </w:rPr>
        <w:t>” means all (i) Patents and all patent applications of any type, registrations and renewals, reissues, reexaminations and patent rights in any lawful form thereof; (ii) Trademarks and all applications, registrations and renewals therefor; (iii) Copyrights and other works of authorship (registered or unregistered), and all applications, registrations and renewals therefor; (iv) Product Agreements; (v) computer software, databases, data and documentation; (vi) Confidential Business Information; (vii) other intellectual property or similar proprietary rights; (viii) copies and tangible embodiments of any of the foregoing (in whatever form or medium); and (ix) any and all improvements, developments, refinements, additions or subtractions to any of the foregoing.</w:t>
      </w:r>
    </w:p>
    <w:p>
      <w:pPr>
        <w:spacing w:after="0" w:line="18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Period</w:t>
      </w:r>
      <w:r>
        <w:rPr>
          <w:rFonts w:ascii="Arial" w:cs="Arial" w:eastAsia="Arial" w:hAnsi="Arial"/>
          <w:sz w:val="21"/>
          <w:szCs w:val="21"/>
          <w:color w:val="auto"/>
        </w:rPr>
        <w:t xml:space="preserve">” means, (a) initially, the period beginning on (and including) the date on which the Initial Loan is made hereunder pursuant to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and ending on (and including) the last day of the month in which the Initial Loan was made, and (b) thereafter, the period beginning on (and including) the first day of each succeeding month and ending on the earlier of (and including) (x) the last day of such month and (y) the Maturity Date.</w:t>
      </w:r>
    </w:p>
    <w:p>
      <w:pPr>
        <w:spacing w:after="0" w:line="17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means, relative to any Person, (i) any loan, advance or extension of credit made by such Person to any other Person, including the purchase by such Person of any bonds, notes, debentures or other debt securities of any other Person,</w:t>
      </w:r>
    </w:p>
    <w:p>
      <w:pPr>
        <w:spacing w:after="0" w:line="1" w:lineRule="exact"/>
        <w:rPr>
          <w:sz w:val="20"/>
          <w:szCs w:val="20"/>
          <w:color w:val="auto"/>
        </w:rPr>
      </w:pPr>
    </w:p>
    <w:p>
      <w:pPr>
        <w:ind w:firstLine="8"/>
        <w:spacing w:after="0" w:line="236" w:lineRule="auto"/>
        <w:tabs>
          <w:tab w:leader="none" w:pos="329" w:val="left"/>
        </w:tabs>
        <w:numPr>
          <w:ilvl w:val="0"/>
          <w:numId w:val="31"/>
        </w:numPr>
        <w:rPr>
          <w:rFonts w:ascii="Arial" w:cs="Arial" w:eastAsia="Arial" w:hAnsi="Arial"/>
          <w:sz w:val="22"/>
          <w:szCs w:val="22"/>
          <w:color w:val="auto"/>
        </w:rPr>
      </w:pPr>
      <w:r>
        <w:rPr>
          <w:rFonts w:ascii="Arial" w:cs="Arial" w:eastAsia="Arial" w:hAnsi="Arial"/>
          <w:sz w:val="22"/>
          <w:szCs w:val="22"/>
          <w:color w:val="auto"/>
        </w:rPr>
        <w:t>Contingent Liabilities in favor of any other Person, and (iii) any Capital Securities held by such Person in any other Person. The amount of any Investment shall be the original principal or capital amount thereof less all returns</w:t>
      </w:r>
    </w:p>
    <w:p>
      <w:pPr>
        <w:spacing w:after="0" w:line="186" w:lineRule="exact"/>
        <w:rPr>
          <w:rFonts w:ascii="Arial" w:cs="Arial" w:eastAsia="Arial" w:hAnsi="Arial"/>
          <w:sz w:val="22"/>
          <w:szCs w:val="22"/>
          <w:color w:val="auto"/>
        </w:rPr>
      </w:pPr>
    </w:p>
    <w:p>
      <w:pPr>
        <w:ind w:left="5520" w:hanging="126"/>
        <w:spacing w:after="0"/>
        <w:tabs>
          <w:tab w:leader="none" w:pos="5520" w:val="left"/>
        </w:tabs>
        <w:numPr>
          <w:ilvl w:val="1"/>
          <w:numId w:val="31"/>
        </w:numPr>
        <w:rPr>
          <w:rFonts w:ascii="Arial" w:cs="Arial" w:eastAsia="Arial" w:hAnsi="Arial"/>
          <w:sz w:val="22"/>
          <w:szCs w:val="22"/>
          <w:color w:val="auto"/>
        </w:rPr>
      </w:pPr>
      <w:r>
        <w:rPr>
          <w:rFonts w:ascii="Arial" w:cs="Arial" w:eastAsia="Arial" w:hAnsi="Arial"/>
          <w:sz w:val="22"/>
          <w:szCs w:val="22"/>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7" w:name="page48"/>
    <w:bookmarkEnd w:id="47"/>
    <w:p>
      <w:pPr>
        <w:jc w:val="both"/>
        <w:spacing w:after="0" w:line="328" w:lineRule="auto"/>
        <w:rPr>
          <w:sz w:val="20"/>
          <w:szCs w:val="20"/>
          <w:color w:val="auto"/>
        </w:rPr>
      </w:pPr>
      <w:r>
        <w:rPr>
          <w:rFonts w:ascii="Arial" w:cs="Arial" w:eastAsia="Arial" w:hAnsi="Arial"/>
          <w:sz w:val="19"/>
          <w:szCs w:val="19"/>
          <w:color w:val="auto"/>
        </w:rPr>
        <w:t>of principal or equity thereon and shall, if made by the transfer or exchange of property other than cash, be deemed to have been made in an original principal or capital amount equal to the fair market value of such property at the time of such Investment.</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Documents</w:t>
      </w:r>
      <w:r>
        <w:rPr>
          <w:rFonts w:ascii="Arial" w:cs="Arial" w:eastAsia="Arial" w:hAnsi="Arial"/>
          <w:sz w:val="22"/>
          <w:szCs w:val="22"/>
          <w:color w:val="auto"/>
        </w:rPr>
        <w:t>” means, collectively, the Loan Documents and the Warrants.</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IT Assets</w:t>
      </w:r>
      <w:r>
        <w:rPr>
          <w:rFonts w:ascii="Arial" w:cs="Arial" w:eastAsia="Arial" w:hAnsi="Arial"/>
          <w:sz w:val="22"/>
          <w:szCs w:val="22"/>
          <w:color w:val="auto"/>
        </w:rPr>
        <w:t>” means the computers and other information technology infrastructure and assets used by the Borrower or any of the Subsidiaries.</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Key Contracts</w:t>
      </w:r>
      <w:r>
        <w:rPr>
          <w:rFonts w:ascii="Arial" w:cs="Arial" w:eastAsia="Arial" w:hAnsi="Arial"/>
          <w:sz w:val="21"/>
          <w:szCs w:val="21"/>
          <w:color w:val="auto"/>
        </w:rPr>
        <w:t xml:space="preserve">” means (i) the contracts or other agreements identified on </w:t>
      </w:r>
      <w:r>
        <w:rPr>
          <w:rFonts w:ascii="Arial" w:cs="Arial" w:eastAsia="Arial" w:hAnsi="Arial"/>
          <w:sz w:val="21"/>
          <w:szCs w:val="21"/>
          <w:u w:val="single" w:color="auto"/>
          <w:color w:val="auto"/>
        </w:rPr>
        <w:t>Schedule 1.1</w:t>
      </w:r>
      <w:r>
        <w:rPr>
          <w:rFonts w:ascii="Arial" w:cs="Arial" w:eastAsia="Arial" w:hAnsi="Arial"/>
          <w:sz w:val="21"/>
          <w:szCs w:val="21"/>
          <w:color w:val="auto"/>
        </w:rPr>
        <w:t xml:space="preserve"> and each replacement agreement entered into by the Borrower or any Subsidiary in substitution of such contracts or other agreements identified on </w:t>
      </w:r>
      <w:r>
        <w:rPr>
          <w:rFonts w:ascii="Arial" w:cs="Arial" w:eastAsia="Arial" w:hAnsi="Arial"/>
          <w:sz w:val="21"/>
          <w:szCs w:val="21"/>
          <w:u w:val="single" w:color="auto"/>
          <w:color w:val="auto"/>
        </w:rPr>
        <w:t>Schedule 1.1</w:t>
      </w:r>
      <w:r>
        <w:rPr>
          <w:rFonts w:ascii="Arial" w:cs="Arial" w:eastAsia="Arial" w:hAnsi="Arial"/>
          <w:sz w:val="21"/>
          <w:szCs w:val="21"/>
          <w:color w:val="auto"/>
        </w:rPr>
        <w:t>, in each case in compliance with Section 8.9, and (ii) each contract or agreement where the revenue received by the Borrower or any Subsidiary thereunder exceeds 10% of the total consolidated revenue of the Borrower and its Subsidiaries in a Fiscal Quarter, determined in accordance with GAAP.</w:t>
      </w:r>
    </w:p>
    <w:p>
      <w:pPr>
        <w:spacing w:after="0" w:line="17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Key Permits</w:t>
      </w:r>
      <w:r>
        <w:rPr>
          <w:rFonts w:ascii="Arial" w:cs="Arial" w:eastAsia="Arial" w:hAnsi="Arial"/>
          <w:sz w:val="22"/>
          <w:szCs w:val="22"/>
          <w:color w:val="auto"/>
        </w:rPr>
        <w:t>” means all Permits relating to the Products, including all Regulatory Authorizations, which are material to the business of the Borrower and its Subsidiaries, taken as a whole.</w:t>
      </w:r>
    </w:p>
    <w:p>
      <w:pPr>
        <w:spacing w:after="0" w:line="17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w:t>
      </w:r>
      <w:r>
        <w:rPr>
          <w:rFonts w:ascii="Arial" w:cs="Arial" w:eastAsia="Arial" w:hAnsi="Arial"/>
          <w:sz w:val="22"/>
          <w:szCs w:val="22"/>
          <w:color w:val="auto"/>
        </w:rPr>
        <w:t xml:space="preserve">” of the Borrower means the knowledge of any officer of the Borrower or any Subsidiary, after due inquiry. For avoidance of doubt, with respect to </w:t>
      </w:r>
      <w:r>
        <w:rPr>
          <w:rFonts w:ascii="Arial" w:cs="Arial" w:eastAsia="Arial" w:hAnsi="Arial"/>
          <w:sz w:val="22"/>
          <w:szCs w:val="22"/>
          <w:u w:val="single" w:color="auto"/>
          <w:color w:val="auto"/>
        </w:rPr>
        <w:t>Section 6.15</w:t>
      </w:r>
      <w:r>
        <w:rPr>
          <w:rFonts w:ascii="Arial" w:cs="Arial" w:eastAsia="Arial" w:hAnsi="Arial"/>
          <w:sz w:val="22"/>
          <w:szCs w:val="22"/>
          <w:color w:val="auto"/>
        </w:rPr>
        <w:t xml:space="preserve"> of this Agreement and </w:t>
      </w:r>
      <w:r>
        <w:rPr>
          <w:rFonts w:ascii="Arial" w:cs="Arial" w:eastAsia="Arial" w:hAnsi="Arial"/>
          <w:sz w:val="22"/>
          <w:szCs w:val="22"/>
          <w:u w:val="single" w:color="auto"/>
          <w:color w:val="auto"/>
        </w:rPr>
        <w:t>Section 3.6</w:t>
      </w:r>
      <w:r>
        <w:rPr>
          <w:rFonts w:ascii="Arial" w:cs="Arial" w:eastAsia="Arial" w:hAnsi="Arial"/>
          <w:sz w:val="22"/>
          <w:szCs w:val="22"/>
          <w:color w:val="auto"/>
        </w:rPr>
        <w:t xml:space="preserve"> of the Security Agreement, due inquiry shall not require Borrower or a Subsidiary to conduct additional intellectual property searching or obtain opinions of legal counsel.</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6.18</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is defined in the preamble.</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Intellectual Property</w:t>
      </w:r>
      <w:r>
        <w:rPr>
          <w:rFonts w:ascii="Arial" w:cs="Arial" w:eastAsia="Arial" w:hAnsi="Arial"/>
          <w:sz w:val="22"/>
          <w:szCs w:val="22"/>
          <w:color w:val="auto"/>
        </w:rPr>
        <w:t>” means all Intellectual Property that is not Owned Intellectual Property, which is licensed to, or otherwise used or held for use, by the Borrower or any Subsidiary.</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security interest, mortgage, pledge, hypothecation, assignment, deposit arrangement, encumbrance, lien (statutory or otherwise), charge against or interest in property, or other priority or preferential arrangement of any kind or nature whatsoever, to secure payment of a debt or performance of an obligation.</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Liquidity</w:t>
      </w:r>
      <w:r>
        <w:rPr>
          <w:rFonts w:ascii="Arial" w:cs="Arial" w:eastAsia="Arial" w:hAnsi="Arial"/>
          <w:sz w:val="22"/>
          <w:szCs w:val="22"/>
          <w:color w:val="auto"/>
        </w:rPr>
        <w:t xml:space="preserve">” means, at any time, an amount determined for the Borrower and the Guarantors equal to the sum of unrestricted cash-on-hand and Cash Equivalent Investments of the Borrower and the Guarantors, and, subject to </w:t>
      </w:r>
      <w:r>
        <w:rPr>
          <w:rFonts w:ascii="Arial" w:cs="Arial" w:eastAsia="Arial" w:hAnsi="Arial"/>
          <w:sz w:val="22"/>
          <w:szCs w:val="22"/>
          <w:u w:val="single" w:color="auto"/>
          <w:color w:val="auto"/>
        </w:rPr>
        <w:t>Section 7.16(e)</w:t>
      </w:r>
      <w:r>
        <w:rPr>
          <w:rFonts w:ascii="Arial" w:cs="Arial" w:eastAsia="Arial" w:hAnsi="Arial"/>
          <w:sz w:val="22"/>
          <w:szCs w:val="22"/>
          <w:color w:val="auto"/>
        </w:rPr>
        <w:t>, to the extent held in a Controlled Account located in the United States</w:t>
      </w:r>
      <w:r>
        <w:rPr>
          <w:rFonts w:ascii="Arial" w:cs="Arial" w:eastAsia="Arial" w:hAnsi="Arial"/>
          <w:sz w:val="22"/>
          <w:szCs w:val="22"/>
          <w:i w:val="1"/>
          <w:iCs w:val="1"/>
          <w:color w:val="auto"/>
        </w:rPr>
        <w:t>.</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xml:space="preserve">” means, collectively, this Agreement, the Notes, the Security Agreement, each other agreement pursuant to which the Secured Parties are granted a Lien to secure the Obligations (including any mortgages entered into pursuant to </w:t>
      </w:r>
      <w:r>
        <w:rPr>
          <w:rFonts w:ascii="Arial" w:cs="Arial" w:eastAsia="Arial" w:hAnsi="Arial"/>
          <w:sz w:val="22"/>
          <w:szCs w:val="22"/>
          <w:u w:val="single" w:color="auto"/>
          <w:color w:val="auto"/>
        </w:rPr>
        <w:t>Section 7.8</w:t>
      </w:r>
      <w:r>
        <w:rPr>
          <w:rFonts w:ascii="Arial" w:cs="Arial" w:eastAsia="Arial" w:hAnsi="Arial"/>
          <w:sz w:val="22"/>
          <w:szCs w:val="22"/>
          <w:color w:val="auto"/>
        </w:rPr>
        <w:t>),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8" w:name="page49"/>
    <w:bookmarkEnd w:id="48"/>
    <w:p>
      <w:pPr>
        <w:jc w:val="both"/>
        <w:spacing w:after="0"/>
        <w:rPr>
          <w:sz w:val="20"/>
          <w:szCs w:val="20"/>
          <w:color w:val="auto"/>
        </w:rPr>
      </w:pPr>
      <w:r>
        <w:rPr>
          <w:rFonts w:ascii="Arial" w:cs="Arial" w:eastAsia="Arial" w:hAnsi="Arial"/>
          <w:sz w:val="22"/>
          <w:szCs w:val="22"/>
          <w:color w:val="auto"/>
        </w:rPr>
        <w:t>Guarantee, and each other agreement, certificate, document or instrument delivered in connection with any Loan Document, whether or not specifically mentioned herein or therein (it being understood that the Loan Documents shall not include the Warrants).</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Request</w:t>
      </w:r>
      <w:r>
        <w:rPr>
          <w:rFonts w:ascii="Arial" w:cs="Arial" w:eastAsia="Arial" w:hAnsi="Arial"/>
          <w:sz w:val="22"/>
          <w:szCs w:val="22"/>
          <w:color w:val="auto"/>
        </w:rPr>
        <w:t xml:space="preserve">” means a loan request and certificate duly executed by an Authorized Officer of the Borrower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the Initial Loan and the Delayed Draw Loans.</w:t>
      </w:r>
    </w:p>
    <w:p>
      <w:pPr>
        <w:spacing w:after="0" w:line="20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Make-Whole Amount</w:t>
      </w:r>
      <w:r>
        <w:rPr>
          <w:rFonts w:ascii="Arial" w:cs="Arial" w:eastAsia="Arial" w:hAnsi="Arial"/>
          <w:sz w:val="19"/>
          <w:szCs w:val="19"/>
          <w:color w:val="auto"/>
        </w:rPr>
        <w:t xml:space="preserve">” means, with respect to any prepayment or repayment of the Initial Loans, First Delayed Draw Loans and Second Delayed Draw Loans borrowed hereunder or the amount of such Loans immediately coming due and payable as a result of an acceleration under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9.3</w:t>
      </w:r>
      <w:r>
        <w:rPr>
          <w:rFonts w:ascii="Arial" w:cs="Arial" w:eastAsia="Arial" w:hAnsi="Arial"/>
          <w:sz w:val="19"/>
          <w:szCs w:val="19"/>
          <w:color w:val="auto"/>
        </w:rPr>
        <w:t>, as applicable, an amount equal to the remaining scheduled payments of interest on such Loans during the period commencing on the date of such prepayment or repayment or acceleration, as applicable, through (i) with respect to the Initial Loans, the 24-month anniversary of the Closing Date, (ii) with respect to any First Delayed Draw Loans funded on the First Delayed Draw Closing Date, the 24-month anniversary of the First Delayed Draw Closing Date, and (iii) with respect to any Second Delayed Draw Loans funded on the Second Delayed Draw Closing Date, the 24-month anniversary of the Second Delayed Draw Closing Date. For purposes of making such calculation, the SOFR Rate for all future periods shall be deemed to be the SOFR Rate in effect for the Interest Period in which the Make-Whole Amount is required to be paid and the Applicable Margin for all future periods shall be deemed to be 8%.</w:t>
      </w:r>
    </w:p>
    <w:p>
      <w:pPr>
        <w:spacing w:after="0" w:line="16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means a material adverse effect on (i) the business, financial condition, results of operations, performance or properties of the Borrower or of the Borrower and the Subsidiaries, taken as a whole, (ii) the material rights and remedies of the Secured Parties under the Loan Documents, taken as a whole, or (iii) the ability of the Borrower and the Guarantors, taken as a whole, to perform their material Obligations under any Loan Document.</w:t>
      </w:r>
    </w:p>
    <w:p>
      <w:pPr>
        <w:spacing w:after="0" w:line="174"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Agreements</w:t>
      </w:r>
      <w:r>
        <w:rPr>
          <w:rFonts w:ascii="Arial" w:cs="Arial" w:eastAsia="Arial" w:hAnsi="Arial"/>
          <w:sz w:val="19"/>
          <w:szCs w:val="19"/>
          <w:color w:val="auto"/>
        </w:rPr>
        <w:t>” means (i) the Key Contracts; (ii) each contract or agreement to which the Borrower or any Subsidiary is a party involving aggregate payments of more than $1,000,000 (other than any customary engagement or similar agreement with service professionals), whether such payments are being made by the Borrower or any Subsidiary to a non-Affiliated Person, or by a non-Affiliated Person to the Borrower or any Subsidiary; (iii) each contract or agreement to which the Borrower or any Subsidiary is a party involving an exclusive license of Intellectual Property; and (iv) all other contracts or agreements that would be required to be filed by the Borrower or any Subsidiary as a “material contract” pursuant to Item 601(b)</w:t>
      </w:r>
    </w:p>
    <w:p>
      <w:pPr>
        <w:spacing w:after="0" w:line="1" w:lineRule="exact"/>
        <w:rPr>
          <w:sz w:val="20"/>
          <w:szCs w:val="20"/>
          <w:color w:val="auto"/>
        </w:rPr>
      </w:pPr>
    </w:p>
    <w:p>
      <w:pPr>
        <w:ind w:firstLine="8"/>
        <w:spacing w:after="0" w:line="236" w:lineRule="auto"/>
        <w:tabs>
          <w:tab w:leader="none" w:pos="439" w:val="left"/>
        </w:tabs>
        <w:numPr>
          <w:ilvl w:val="0"/>
          <w:numId w:val="32"/>
        </w:numPr>
        <w:rPr>
          <w:rFonts w:ascii="Arial" w:cs="Arial" w:eastAsia="Arial" w:hAnsi="Arial"/>
          <w:sz w:val="22"/>
          <w:szCs w:val="22"/>
          <w:color w:val="auto"/>
        </w:rPr>
      </w:pPr>
      <w:r>
        <w:rPr>
          <w:rFonts w:ascii="Arial" w:cs="Arial" w:eastAsia="Arial" w:hAnsi="Arial"/>
          <w:sz w:val="22"/>
          <w:szCs w:val="22"/>
          <w:color w:val="auto"/>
        </w:rPr>
        <w:t>of Regulation S-K promulgated by the SEC (whether or not the Borrower is subject to reporting requirements under the Exchange Act).</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means October 18, 2028.</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Asset Sales Proceeds</w:t>
      </w:r>
      <w:r>
        <w:rPr>
          <w:rFonts w:ascii="Arial" w:cs="Arial" w:eastAsia="Arial" w:hAnsi="Arial"/>
          <w:sz w:val="22"/>
          <w:szCs w:val="22"/>
          <w:color w:val="auto"/>
        </w:rPr>
        <w:t xml:space="preserve">” means, with respect to a Disposition (other than Dispositions of inventory permitted by </w:t>
      </w:r>
      <w:r>
        <w:rPr>
          <w:rFonts w:ascii="Arial" w:cs="Arial" w:eastAsia="Arial" w:hAnsi="Arial"/>
          <w:sz w:val="22"/>
          <w:szCs w:val="22"/>
          <w:u w:val="single" w:color="auto"/>
          <w:color w:val="auto"/>
        </w:rPr>
        <w:t>Section 8.8(i)</w:t>
      </w:r>
      <w:r>
        <w:rPr>
          <w:rFonts w:ascii="Arial" w:cs="Arial" w:eastAsia="Arial" w:hAnsi="Arial"/>
          <w:sz w:val="22"/>
          <w:szCs w:val="22"/>
          <w:color w:val="auto"/>
        </w:rPr>
        <w:t>) after the Closing Date by the Borrower or any Subsidiary to any Person of any assets of the Borrower or its Subsidiaries, the excess of gross cash proceeds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9" w:name="page50"/>
    <w:bookmarkEnd w:id="49"/>
    <w:p>
      <w:pPr>
        <w:jc w:val="both"/>
        <w:spacing w:after="0"/>
        <w:rPr>
          <w:sz w:val="20"/>
          <w:szCs w:val="20"/>
          <w:color w:val="auto"/>
        </w:rPr>
      </w:pPr>
      <w:r>
        <w:rPr>
          <w:rFonts w:ascii="Arial" w:cs="Arial" w:eastAsia="Arial" w:hAnsi="Arial"/>
          <w:sz w:val="22"/>
          <w:szCs w:val="22"/>
          <w:color w:val="auto"/>
        </w:rPr>
        <w:t>received by the Borrower or any Subsidiary from such Disposition over all reasonable and customary costs and expenses, and including Taxes payable by the recipient of such proceeds, incurred in connection with such Disposition which have not been paid to the Borrower or Affiliates of the Borrower in connection therewith.</w:t>
      </w:r>
    </w:p>
    <w:p>
      <w:pPr>
        <w:spacing w:after="0" w:line="18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Casualty Proceeds</w:t>
      </w:r>
      <w:r>
        <w:rPr>
          <w:rFonts w:ascii="Arial" w:cs="Arial" w:eastAsia="Arial" w:hAnsi="Arial"/>
          <w:sz w:val="22"/>
          <w:szCs w:val="22"/>
          <w:color w:val="auto"/>
        </w:rPr>
        <w:t xml:space="preserve">” means, with respect to any Casualty Event, the amount of any insurance proceeds or condemnation awards received by the Borrower or any of its Subsidiaries in connection with such Casualty Event, other than proceeds that are used to repair or replace the assets subject to such Casualty Event within 180 days of receipt of such proceeds with respect to such Casualty Event with like or similar assets of substantially equal or better value and utility, in excess of $200,000, individually or in the aggregate through the Termination Date (in each case net of all reasonable and customary collection expenses thereof), but excluding any proceeds or awards required to be paid to a creditor (other than to the Administrative Agent or the Lenders) which holds a first priority Lien permitted by </w:t>
      </w:r>
      <w:r>
        <w:rPr>
          <w:rFonts w:ascii="Arial" w:cs="Arial" w:eastAsia="Arial" w:hAnsi="Arial"/>
          <w:sz w:val="22"/>
          <w:szCs w:val="22"/>
          <w:u w:val="single" w:color="auto"/>
          <w:color w:val="auto"/>
        </w:rPr>
        <w:t>Section 8.3(d)</w:t>
      </w:r>
      <w:r>
        <w:rPr>
          <w:rFonts w:ascii="Arial" w:cs="Arial" w:eastAsia="Arial" w:hAnsi="Arial"/>
          <w:sz w:val="22"/>
          <w:szCs w:val="22"/>
          <w:color w:val="auto"/>
        </w:rPr>
        <w:t xml:space="preserve"> on the property which is the subject of such Casualty Event.</w:t>
      </w:r>
    </w:p>
    <w:p>
      <w:pPr>
        <w:spacing w:after="0" w:line="187"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Revenue</w:t>
      </w:r>
      <w:r>
        <w:rPr>
          <w:rFonts w:ascii="Arial" w:cs="Arial" w:eastAsia="Arial" w:hAnsi="Arial"/>
          <w:sz w:val="22"/>
          <w:szCs w:val="22"/>
          <w:color w:val="auto"/>
        </w:rPr>
        <w:t>” means consolidated net revenues received by the Borrower and the Subsidiaries from the sales of Products, as determined in accordance with GAAP, but in any event not including any royalty payments, milestone payments, distribution income, service payments, license income and other similar forms of consideration, subject to the following sentence. Net Revenue shall be determined in a manner consistent with the methodologies, practices and procedures used in developing the Borrower’s audited financial statements.</w:t>
      </w:r>
    </w:p>
    <w:p>
      <w:pPr>
        <w:spacing w:after="0" w:line="187"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Non-Excluded Taxes</w:t>
      </w:r>
      <w:r>
        <w:rPr>
          <w:rFonts w:ascii="Arial" w:cs="Arial" w:eastAsia="Arial" w:hAnsi="Arial"/>
          <w:sz w:val="19"/>
          <w:szCs w:val="19"/>
          <w:color w:val="auto"/>
        </w:rPr>
        <w:t>” means (1) any Taxes other than (a) Taxes imposed on or measured by a Person’s net income, and franchise Taxes with respect to a Lender imposed by any Governmental Authority under the laws of which such Lender is organized or in which it maintains its applicable lending office, (b) branch profits taxes imposed by the United States or any similar tax imposed by any other jurisdiction described in paragraph (a) above and (c) (i) any withholding tax that is imposed by the United States on amounts payable to a Foreign Lender at the time such Foreign Lender first becomes a party to this Agreement (or designates a new lending office), except to the extent that such Foreign Lender’s assignor immediately before the assignment (or such Foreign Lender immediately before it changed its lending office) was entitled, at the time of assignment (or designation of a new lending office), to receive additional amounts from the Borrower with respect to such withholding tax pursuant to Section 4.3(a) or (ii) any amounts imposed or payable under FATCA and (2) Other Taxes.</w:t>
      </w:r>
    </w:p>
    <w:p>
      <w:pPr>
        <w:spacing w:after="0" w:line="15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xml:space="preserve">” means a promissory note of the Borrower payable to a Lender,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(as such promissory note may be amended, endorsed or otherwise modified from time to time), evidencing the aggregate Indebtedness of the Borrower to such Lender resulting from the outstanding amount of the Loans, and also means all other promissory notes accepted from time to time in substitution therefor or renewal thereof.</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Obligations</w:t>
      </w:r>
      <w:r>
        <w:rPr>
          <w:rFonts w:ascii="Arial" w:cs="Arial" w:eastAsia="Arial" w:hAnsi="Arial"/>
          <w:sz w:val="22"/>
          <w:szCs w:val="22"/>
          <w:color w:val="auto"/>
        </w:rPr>
        <w:t>” means all obligations (monetary or otherwise, whether absolute or contingent, matured or unmatured) of the Borrower and each Subsidiary arising under or in connection with a Loan Document and the principal of and premium, if any, and interest (including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0" w:name="page51"/>
    <w:bookmarkEnd w:id="50"/>
    <w:p>
      <w:pPr>
        <w:jc w:val="both"/>
        <w:spacing w:after="0" w:line="250" w:lineRule="auto"/>
        <w:rPr>
          <w:sz w:val="20"/>
          <w:szCs w:val="20"/>
          <w:color w:val="auto"/>
        </w:rPr>
      </w:pPr>
      <w:r>
        <w:rPr>
          <w:rFonts w:ascii="Arial" w:cs="Arial" w:eastAsia="Arial" w:hAnsi="Arial"/>
          <w:sz w:val="22"/>
          <w:szCs w:val="22"/>
          <w:color w:val="auto"/>
        </w:rPr>
        <w:t xml:space="preserve">interest accruing during the pendency of any proceeding of the type described in </w:t>
      </w:r>
      <w:r>
        <w:rPr>
          <w:rFonts w:ascii="Arial" w:cs="Arial" w:eastAsia="Arial" w:hAnsi="Arial"/>
          <w:sz w:val="22"/>
          <w:szCs w:val="22"/>
          <w:u w:val="single" w:color="auto"/>
          <w:color w:val="auto"/>
        </w:rPr>
        <w:t>Section 9.1(h)</w:t>
      </w:r>
      <w:r>
        <w:rPr>
          <w:rFonts w:ascii="Arial" w:cs="Arial" w:eastAsia="Arial" w:hAnsi="Arial"/>
          <w:sz w:val="22"/>
          <w:szCs w:val="22"/>
          <w:color w:val="auto"/>
        </w:rPr>
        <w:t>, whether or not allowed in such proceeding) on the Loans.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means the Office of Foreign Assets Control of the United States Department of the Treasury.</w:t>
      </w:r>
    </w:p>
    <w:p>
      <w:pPr>
        <w:spacing w:after="0" w:line="206" w:lineRule="exact"/>
        <w:rPr>
          <w:sz w:val="20"/>
          <w:szCs w:val="20"/>
          <w:color w:val="auto"/>
        </w:rPr>
      </w:pPr>
    </w:p>
    <w:p>
      <w:pPr>
        <w:jc w:val="both"/>
        <w:ind w:firstLine="749"/>
        <w:spacing w:after="0" w:line="251"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Organic Document</w:t>
      </w:r>
      <w:r>
        <w:rPr>
          <w:rFonts w:ascii="Arial" w:cs="Arial" w:eastAsia="Arial" w:hAnsi="Arial"/>
          <w:sz w:val="22"/>
          <w:szCs w:val="22"/>
          <w:color w:val="auto"/>
        </w:rPr>
        <w:t>” means, relative to the Borrower or any Subsidiary, its certificate of incorporation, by</w:t>
      </w:r>
      <w:r>
        <w:rPr>
          <w:rFonts w:ascii="MS PGothic" w:cs="MS PGothic" w:eastAsia="MS PGothic" w:hAnsi="MS PGothic"/>
          <w:sz w:val="22"/>
          <w:szCs w:val="22"/>
          <w:color w:val="auto"/>
        </w:rPr>
        <w:t>‑</w:t>
      </w:r>
      <w:r>
        <w:rPr>
          <w:rFonts w:ascii="Arial" w:cs="Arial" w:eastAsia="Arial" w:hAnsi="Arial"/>
          <w:sz w:val="22"/>
          <w:szCs w:val="22"/>
          <w:color w:val="auto"/>
        </w:rPr>
        <w:t>laws, certificate of partnership, partnership agreement, certificate of formation, limited liability agreement, operating agreement and all shareholder agreements, voting trusts and similar arrangements applicable to the Borrower’s or any Subsidiary’s Capital Securities.</w:t>
      </w:r>
    </w:p>
    <w:p>
      <w:pPr>
        <w:spacing w:after="0" w:line="18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Administrative Proceeding</w:t>
      </w:r>
      <w:r>
        <w:rPr>
          <w:rFonts w:ascii="Arial" w:cs="Arial" w:eastAsia="Arial" w:hAnsi="Arial"/>
          <w:sz w:val="22"/>
          <w:szCs w:val="22"/>
          <w:color w:val="auto"/>
        </w:rPr>
        <w:t>” means any administrative proceeding relating to a dispute involving a patent office, trademark office, copyright office or other relevant Governmental Authority which relates to validity, opposition, revocation, ownership or enforceability of the relevant Intellectual Property, but excluding prosecution of pending patent, copyright and trademark applications.</w:t>
      </w:r>
    </w:p>
    <w:p>
      <w:pPr>
        <w:spacing w:after="0" w:line="18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Taxes</w:t>
      </w:r>
      <w:r>
        <w:rPr>
          <w:rFonts w:ascii="Arial" w:cs="Arial" w:eastAsia="Arial" w:hAnsi="Arial"/>
          <w:sz w:val="21"/>
          <w:szCs w:val="21"/>
          <w:color w:val="auto"/>
        </w:rPr>
        <w:t xml:space="preserve">” means any and all present or future stamp, court, documentary, intangible, recording, filing or similar Taxes, or any other excise, transfer, sales or property Taxes or similar levies that arise on account of any payment made or required to be made under any Loan Document or from the execution, delivery, registration, recording or enforcement of any Loan Document (excluding, for the avoidance of doubt, Taxes described in </w:t>
      </w:r>
      <w:r>
        <w:rPr>
          <w:rFonts w:ascii="Arial" w:cs="Arial" w:eastAsia="Arial" w:hAnsi="Arial"/>
          <w:sz w:val="21"/>
          <w:szCs w:val="21"/>
          <w:u w:val="single" w:color="auto"/>
          <w:color w:val="auto"/>
        </w:rPr>
        <w:t>clauses (1)(a)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xml:space="preserve"> of the definition of Non-Excluded Taxes or any Taxes imposed with respect to an assignment by a Lender).</w:t>
      </w:r>
    </w:p>
    <w:p>
      <w:pPr>
        <w:spacing w:after="0" w:line="17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Owned Intellectual Property</w:t>
      </w:r>
      <w:r>
        <w:rPr>
          <w:rFonts w:ascii="Arial" w:cs="Arial" w:eastAsia="Arial" w:hAnsi="Arial"/>
          <w:sz w:val="22"/>
          <w:szCs w:val="22"/>
          <w:color w:val="auto"/>
        </w:rPr>
        <w:t>” means all Intellectual Property that is owned or purported to be owned (solely or jointly with others) by the Borrower or any Subsidiary.</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and “</w:t>
      </w:r>
      <w:r>
        <w:rPr>
          <w:rFonts w:ascii="Arial" w:cs="Arial" w:eastAsia="Arial" w:hAnsi="Arial"/>
          <w:sz w:val="22"/>
          <w:szCs w:val="22"/>
          <w:u w:val="single" w:color="auto"/>
          <w:color w:val="auto"/>
        </w:rPr>
        <w:t>Parties</w:t>
      </w:r>
      <w:r>
        <w:rPr>
          <w:rFonts w:ascii="Arial" w:cs="Arial" w:eastAsia="Arial" w:hAnsi="Arial"/>
          <w:sz w:val="22"/>
          <w:szCs w:val="22"/>
          <w:color w:val="auto"/>
        </w:rPr>
        <w:t>” have the meanings set forth in the preamble.</w:t>
      </w:r>
    </w:p>
    <w:p>
      <w:pPr>
        <w:spacing w:after="0" w:line="20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w:t>
      </w:r>
      <w:r>
        <w:rPr>
          <w:rFonts w:ascii="Arial" w:cs="Arial" w:eastAsia="Arial" w:hAnsi="Arial"/>
          <w:sz w:val="22"/>
          <w:szCs w:val="22"/>
          <w:color w:val="auto"/>
        </w:rPr>
        <w:t>” means any patent, any type of patent application or invention disclosure, including all divisions, continuations, continuations in-part, provisionals, continued prosecution applications, substitutions, reissues, reexaminations, inter partes review, post-grant review by any Governmental Authority, renewals, extensions, adjustments, restorations, supplemental protection certificates and patent rights in any form and other additions in connection therewith, whether in or related to the United States or any foreign country or other jurisdiction.</w:t>
      </w:r>
    </w:p>
    <w:p>
      <w:pPr>
        <w:spacing w:after="0" w:line="187"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 Security Agreement</w:t>
      </w:r>
      <w:r>
        <w:rPr>
          <w:rFonts w:ascii="Arial" w:cs="Arial" w:eastAsia="Arial" w:hAnsi="Arial"/>
          <w:sz w:val="22"/>
          <w:szCs w:val="22"/>
          <w:color w:val="auto"/>
        </w:rPr>
        <w:t>” means any Patent Security Agreement executed and delivered to the Administrative Agent by the Borrower or any of the Guarantors in substantially the form of Exhibit A to the Security Agreement, as amended, supplemented, amended and restated or otherwise modified from time to time</w:t>
      </w:r>
      <w:r>
        <w:rPr>
          <w:rFonts w:ascii="Arial" w:cs="Arial" w:eastAsia="Arial" w:hAnsi="Arial"/>
          <w:sz w:val="22"/>
          <w:szCs w:val="22"/>
          <w:b w:val="1"/>
          <w:bCs w:val="1"/>
          <w:color w:val="auto"/>
        </w:rPr>
        <w: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Recipient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11.10</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Permits</w:t>
      </w:r>
      <w:r>
        <w:rPr>
          <w:rFonts w:ascii="Arial" w:cs="Arial" w:eastAsia="Arial" w:hAnsi="Arial"/>
          <w:sz w:val="21"/>
          <w:szCs w:val="21"/>
          <w:color w:val="auto"/>
        </w:rPr>
        <w:t>” means all permits, licenses, registrations, certificates, orders, approvals, authorizations, consents, clearances, waivers, franchises, variances and similar rights issued by or obtained from any Governmental Authority or any other Person, including, without limitation, those relating to Environmental Laws and Regulatory Authorizations.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1" w:name="page52"/>
    <w:bookmarkEnd w:id="51"/>
    <w:p>
      <w:pPr>
        <w:jc w:val="both"/>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Acquisition</w:t>
      </w:r>
      <w:r>
        <w:rPr>
          <w:rFonts w:ascii="Arial" w:cs="Arial" w:eastAsia="Arial" w:hAnsi="Arial"/>
          <w:sz w:val="22"/>
          <w:szCs w:val="22"/>
          <w:color w:val="auto"/>
        </w:rPr>
        <w:t>” means the purchase or other acquisition of all of the Capital Securities (other than qualifying directors shares) in, or all or substantially all of the property of, or all or substantially all of any business or division of, any Person (other than any joint venture owned by another Person that is purchased or acquired) that, upon the consummation thereof, will be wholly-owned directly by the Borrower or one or more of its wholly-owned Subsidiaries (including as a result of a merger or consolidation) with respect to which either (i) the Lenders have approved in their sole discretion or (ii) the following conditions have been satisfied:</w:t>
      </w:r>
    </w:p>
    <w:p>
      <w:pPr>
        <w:spacing w:after="0" w:line="188" w:lineRule="exact"/>
        <w:rPr>
          <w:sz w:val="20"/>
          <w:szCs w:val="20"/>
          <w:color w:val="auto"/>
        </w:rPr>
      </w:pPr>
    </w:p>
    <w:p>
      <w:pPr>
        <w:jc w:val="both"/>
        <w:ind w:left="760" w:firstLine="745"/>
        <w:spacing w:after="0" w:line="287" w:lineRule="auto"/>
        <w:tabs>
          <w:tab w:leader="none" w:pos="1941"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any such newly-created or acquired Subsidiary shall not be an Excluded Subsidiary and shall comply with the requirements of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and the Secured Parties shall have received (or shall receive in connection with the closing of such acquisition) a first priority perfected security interest, subject only to Liens permitted under </w:t>
      </w:r>
      <w:r>
        <w:rPr>
          <w:rFonts w:ascii="Arial" w:cs="Arial" w:eastAsia="Arial" w:hAnsi="Arial"/>
          <w:sz w:val="19"/>
          <w:szCs w:val="19"/>
          <w:u w:val="single" w:color="auto"/>
          <w:color w:val="auto"/>
        </w:rPr>
        <w:t>Section 8.3</w:t>
      </w:r>
      <w:r>
        <w:rPr>
          <w:rFonts w:ascii="Arial" w:cs="Arial" w:eastAsia="Arial" w:hAnsi="Arial"/>
          <w:sz w:val="19"/>
          <w:szCs w:val="19"/>
          <w:color w:val="auto"/>
        </w:rPr>
        <w:t>, in the property (including, without limitation, equity interests) acquired with respect to the entity acquired;</w:t>
      </w:r>
    </w:p>
    <w:p>
      <w:pPr>
        <w:spacing w:after="0" w:line="142" w:lineRule="exact"/>
        <w:rPr>
          <w:rFonts w:ascii="Arial" w:cs="Arial" w:eastAsia="Arial" w:hAnsi="Arial"/>
          <w:sz w:val="19"/>
          <w:szCs w:val="19"/>
          <w:color w:val="auto"/>
        </w:rPr>
      </w:pPr>
    </w:p>
    <w:p>
      <w:pPr>
        <w:ind w:left="760" w:right="40" w:firstLine="745"/>
        <w:spacing w:after="0" w:line="250" w:lineRule="auto"/>
        <w:tabs>
          <w:tab w:leader="none" w:pos="1941" w:val="left"/>
        </w:tabs>
        <w:numPr>
          <w:ilvl w:val="1"/>
          <w:numId w:val="33"/>
        </w:numPr>
        <w:rPr>
          <w:rFonts w:ascii="Arial" w:cs="Arial" w:eastAsia="Arial" w:hAnsi="Arial"/>
          <w:sz w:val="22"/>
          <w:szCs w:val="22"/>
          <w:color w:val="auto"/>
        </w:rPr>
      </w:pPr>
      <w:r>
        <w:rPr>
          <w:rFonts w:ascii="Arial" w:cs="Arial" w:eastAsia="Arial" w:hAnsi="Arial"/>
          <w:sz w:val="22"/>
          <w:szCs w:val="22"/>
          <w:color w:val="auto"/>
        </w:rPr>
        <w:t xml:space="preserve">the lines of business of the Person to be (or the property of which is to be) so purchased or otherwise acquired shall be permitted pursuant to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760" w:firstLine="745"/>
        <w:spacing w:after="0"/>
        <w:tabs>
          <w:tab w:leader="none" w:pos="1941" w:val="left"/>
        </w:tabs>
        <w:numPr>
          <w:ilvl w:val="1"/>
          <w:numId w:val="33"/>
        </w:numPr>
        <w:rPr>
          <w:rFonts w:ascii="Arial" w:cs="Arial" w:eastAsia="Arial" w:hAnsi="Arial"/>
          <w:sz w:val="22"/>
          <w:szCs w:val="22"/>
          <w:color w:val="auto"/>
        </w:rPr>
      </w:pPr>
      <w:r>
        <w:rPr>
          <w:rFonts w:ascii="Arial" w:cs="Arial" w:eastAsia="Arial" w:hAnsi="Arial"/>
          <w:sz w:val="22"/>
          <w:szCs w:val="22"/>
          <w:color w:val="auto"/>
        </w:rPr>
        <w:t>in the case of a purchase or other acquisition of the Capital Securities of another Person, the board of directors (or other comparable governing body) of such other Person shall have duly approved such purchase or other acquisition;</w:t>
      </w:r>
    </w:p>
    <w:p>
      <w:pPr>
        <w:spacing w:after="0" w:line="186" w:lineRule="exact"/>
        <w:rPr>
          <w:rFonts w:ascii="Arial" w:cs="Arial" w:eastAsia="Arial" w:hAnsi="Arial"/>
          <w:sz w:val="22"/>
          <w:szCs w:val="22"/>
          <w:color w:val="auto"/>
        </w:rPr>
      </w:pPr>
    </w:p>
    <w:p>
      <w:pPr>
        <w:jc w:val="both"/>
        <w:ind w:left="760" w:firstLine="745"/>
        <w:spacing w:after="0" w:line="252" w:lineRule="auto"/>
        <w:tabs>
          <w:tab w:leader="none" w:pos="1941" w:val="left"/>
        </w:tabs>
        <w:numPr>
          <w:ilvl w:val="1"/>
          <w:numId w:val="33"/>
        </w:numPr>
        <w:rPr>
          <w:rFonts w:ascii="Arial" w:cs="Arial" w:eastAsia="Arial" w:hAnsi="Arial"/>
          <w:sz w:val="21"/>
          <w:szCs w:val="21"/>
          <w:color w:val="auto"/>
        </w:rPr>
      </w:pPr>
      <w:r>
        <w:rPr>
          <w:rFonts w:ascii="Arial" w:cs="Arial" w:eastAsia="Arial" w:hAnsi="Arial"/>
          <w:sz w:val="21"/>
          <w:szCs w:val="21"/>
          <w:color w:val="auto"/>
        </w:rPr>
        <w:t>the total cash and non-cash consideration paid by or on behalf of the Borrower and the Subsidiaries for any such purchase or other acquisition, when aggregated with the consideration paid by or on behalf of the Borrower and the Subsidiaries for all other Permitted Acquisitions after the Closing Date shall not exceed the aggregate amount of $1,000,000 in any Fiscal Year and an aggregate cumulative amount of $2,000,000;</w:t>
      </w:r>
    </w:p>
    <w:p>
      <w:pPr>
        <w:spacing w:after="0" w:line="173" w:lineRule="exact"/>
        <w:rPr>
          <w:rFonts w:ascii="Arial" w:cs="Arial" w:eastAsia="Arial" w:hAnsi="Arial"/>
          <w:sz w:val="21"/>
          <w:szCs w:val="21"/>
          <w:color w:val="auto"/>
        </w:rPr>
      </w:pPr>
    </w:p>
    <w:p>
      <w:pPr>
        <w:ind w:left="760" w:firstLine="745"/>
        <w:spacing w:after="0" w:line="250" w:lineRule="auto"/>
        <w:tabs>
          <w:tab w:leader="none" w:pos="1941" w:val="left"/>
        </w:tabs>
        <w:numPr>
          <w:ilvl w:val="1"/>
          <w:numId w:val="33"/>
        </w:numPr>
        <w:rPr>
          <w:rFonts w:ascii="Arial" w:cs="Arial" w:eastAsia="Arial" w:hAnsi="Arial"/>
          <w:sz w:val="22"/>
          <w:szCs w:val="22"/>
          <w:color w:val="auto"/>
        </w:rPr>
      </w:pPr>
      <w:r>
        <w:rPr>
          <w:rFonts w:ascii="Arial" w:cs="Arial" w:eastAsia="Arial" w:hAnsi="Arial"/>
          <w:sz w:val="22"/>
          <w:szCs w:val="22"/>
          <w:color w:val="auto"/>
        </w:rPr>
        <w:t>immediately before and after giving effect to any such purchase or other acquisition, no Default or Event of Default, shall exist or result therefrom; and</w:t>
      </w:r>
    </w:p>
    <w:p>
      <w:pPr>
        <w:spacing w:after="0" w:line="174" w:lineRule="exact"/>
        <w:rPr>
          <w:rFonts w:ascii="Arial" w:cs="Arial" w:eastAsia="Arial" w:hAnsi="Arial"/>
          <w:sz w:val="22"/>
          <w:szCs w:val="22"/>
          <w:color w:val="auto"/>
        </w:rPr>
      </w:pPr>
    </w:p>
    <w:p>
      <w:pPr>
        <w:jc w:val="both"/>
        <w:ind w:left="760" w:firstLine="745"/>
        <w:spacing w:after="0" w:line="271" w:lineRule="auto"/>
        <w:tabs>
          <w:tab w:leader="none" w:pos="1941" w:val="left"/>
        </w:tabs>
        <w:numPr>
          <w:ilvl w:val="1"/>
          <w:numId w:val="33"/>
        </w:numPr>
        <w:rPr>
          <w:rFonts w:ascii="Arial" w:cs="Arial" w:eastAsia="Arial" w:hAnsi="Arial"/>
          <w:sz w:val="19"/>
          <w:szCs w:val="19"/>
          <w:color w:val="auto"/>
        </w:rPr>
      </w:pPr>
      <w:r>
        <w:rPr>
          <w:rFonts w:ascii="Arial" w:cs="Arial" w:eastAsia="Arial" w:hAnsi="Arial"/>
          <w:sz w:val="19"/>
          <w:szCs w:val="19"/>
          <w:color w:val="auto"/>
        </w:rPr>
        <w:t>the Borrower shall have delivered to the Administrative Agent and the Lenders, at least 10 Business Days prior to the date on which any such purchase or other acquisition is to be consummated, a written notice describing such transaction, and thereafter, if requested by the Administrative Agent or a Lender for any such transaction involving consideration in excess of $250,000, (i) historical financial statements of or related to the Person or assets to be acquired,</w:t>
      </w:r>
    </w:p>
    <w:p>
      <w:pPr>
        <w:spacing w:after="0" w:line="3" w:lineRule="exact"/>
        <w:rPr>
          <w:rFonts w:ascii="Arial" w:cs="Arial" w:eastAsia="Arial" w:hAnsi="Arial"/>
          <w:sz w:val="19"/>
          <w:szCs w:val="19"/>
          <w:color w:val="auto"/>
        </w:rPr>
      </w:pPr>
    </w:p>
    <w:p>
      <w:pPr>
        <w:jc w:val="both"/>
        <w:ind w:left="760" w:hanging="3"/>
        <w:spacing w:after="0" w:line="248" w:lineRule="auto"/>
        <w:tabs>
          <w:tab w:leader="none" w:pos="1101" w:val="left"/>
        </w:tabs>
        <w:numPr>
          <w:ilvl w:val="0"/>
          <w:numId w:val="34"/>
        </w:numPr>
        <w:rPr>
          <w:rFonts w:ascii="Arial" w:cs="Arial" w:eastAsia="Arial" w:hAnsi="Arial"/>
          <w:sz w:val="21"/>
          <w:szCs w:val="21"/>
          <w:color w:val="auto"/>
        </w:rPr>
      </w:pPr>
      <w:r>
        <w:rPr>
          <w:rFonts w:ascii="Arial" w:cs="Arial" w:eastAsia="Arial" w:hAnsi="Arial"/>
          <w:sz w:val="21"/>
          <w:szCs w:val="21"/>
          <w:color w:val="auto"/>
        </w:rPr>
        <w:t>twelve month projections for such Person or assets to be acquired and for the Borrower (on a consolidated basis) after giving effect to such transaction, and (iii) material documentation and other information relating to such transaction and reasonably requested by the Administrative Agent or the Lenders.</w:t>
      </w:r>
    </w:p>
    <w:p>
      <w:pPr>
        <w:spacing w:after="0" w:line="178"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Subordinated Indebtedness</w:t>
      </w:r>
      <w:r>
        <w:rPr>
          <w:rFonts w:ascii="Arial" w:cs="Arial" w:eastAsia="Arial" w:hAnsi="Arial"/>
          <w:sz w:val="21"/>
          <w:szCs w:val="21"/>
          <w:color w:val="auto"/>
        </w:rPr>
        <w:t>” means Indebtedness incurred after the Closing Date by the Borrower or the Subsidiaries that is (i) subordinated to the Obligations and all other Indebtedness owing from the Borrower or the Subsidiaries to the Secured Parties pursuant to a written subordination agreement satisfactory to the Administrative Agent in its sole discretion and (ii) in an amount and on terms approved by the Administrative Agent in its sole discretion.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2" w:name="page53"/>
    <w:bookmarkEnd w:id="52"/>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partnership, joint venture, association, trust or unincorporated organization, Governmental Authority or any other legal entity, whether acting in an individual, fiduciary or other capacity.</w:t>
      </w:r>
    </w:p>
    <w:p>
      <w:pPr>
        <w:spacing w:after="0" w:line="186" w:lineRule="exact"/>
        <w:rPr>
          <w:sz w:val="20"/>
          <w:szCs w:val="20"/>
          <w:color w:val="auto"/>
        </w:rPr>
      </w:pPr>
    </w:p>
    <w:p>
      <w:pPr>
        <w:jc w:val="both"/>
        <w:ind w:right="20" w:firstLine="74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Personal Data</w:t>
      </w:r>
      <w:r>
        <w:rPr>
          <w:rFonts w:ascii="Arial" w:cs="Arial" w:eastAsia="Arial" w:hAnsi="Arial"/>
          <w:sz w:val="19"/>
          <w:szCs w:val="19"/>
          <w:color w:val="auto"/>
        </w:rPr>
        <w:t>” means any information that relates to an identifiable natural person or that is otherwise considered personally identifiable information or personal data under applicable Law, including Protected Health Information.</w:t>
      </w:r>
    </w:p>
    <w:p>
      <w:pPr>
        <w:spacing w:after="0" w:line="105" w:lineRule="exact"/>
        <w:rPr>
          <w:sz w:val="20"/>
          <w:szCs w:val="20"/>
          <w:color w:val="auto"/>
        </w:rPr>
      </w:pPr>
    </w:p>
    <w:p>
      <w:pPr>
        <w:jc w:val="both"/>
        <w:ind w:firstLine="803"/>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Prime Rate</w:t>
      </w:r>
      <w:r>
        <w:rPr>
          <w:rFonts w:ascii="Arial" w:cs="Arial" w:eastAsia="Arial" w:hAnsi="Arial"/>
          <w:sz w:val="21"/>
          <w:szCs w:val="21"/>
          <w:color w:val="auto"/>
        </w:rPr>
        <w:t xml:space="preserve">” means (a) the rate of interest last quoted by </w:t>
      </w:r>
      <w:r>
        <w:rPr>
          <w:rFonts w:ascii="Arial" w:cs="Arial" w:eastAsia="Arial" w:hAnsi="Arial"/>
          <w:sz w:val="21"/>
          <w:szCs w:val="21"/>
          <w:i w:val="1"/>
          <w:iCs w:val="1"/>
          <w:color w:val="auto"/>
        </w:rPr>
        <w:t>The Wall Street Journal</w:t>
      </w:r>
      <w:r>
        <w:rPr>
          <w:rFonts w:ascii="Arial" w:cs="Arial" w:eastAsia="Arial" w:hAnsi="Arial"/>
          <w:sz w:val="21"/>
          <w:szCs w:val="21"/>
          <w:color w:val="auto"/>
        </w:rPr>
        <w:t xml:space="preserve"> as the “Prime Rate” in the U.S. or, if </w:t>
      </w:r>
      <w:r>
        <w:rPr>
          <w:rFonts w:ascii="Arial" w:cs="Arial" w:eastAsia="Arial" w:hAnsi="Arial"/>
          <w:sz w:val="21"/>
          <w:szCs w:val="21"/>
          <w:i w:val="1"/>
          <w:iCs w:val="1"/>
          <w:color w:val="auto"/>
        </w:rPr>
        <w:t xml:space="preserve">The Wall Street Journal </w:t>
      </w:r>
      <w:r>
        <w:rPr>
          <w:rFonts w:ascii="Arial" w:cs="Arial" w:eastAsia="Arial" w:hAnsi="Arial"/>
          <w:sz w:val="21"/>
          <w:szCs w:val="21"/>
          <w:color w:val="auto"/>
        </w:rPr>
        <w:t>ceases to quote such rate, the per annum interest rate published by the F.R.S. Board in Federal Reserve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Statistical Release H.15 (519) (Selected Interest Rates) as the “bank prime loan” rate or, if such rate is no longer quoted therein, any similar rate quoted therein (as determined by the Administrative Agent) or any similar release by the F.R.S. Board (as determined by the Administrative Agent)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(b) 1.00%;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Prime Rate shall be less than 4.00%, such rate shall be deemed to be 4.00% for the purposes of this Agreement.</w:t>
      </w:r>
    </w:p>
    <w:p>
      <w:pPr>
        <w:spacing w:after="0" w:line="17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Privacy Laws</w:t>
      </w:r>
      <w:r>
        <w:rPr>
          <w:rFonts w:ascii="Arial" w:cs="Arial" w:eastAsia="Arial" w:hAnsi="Arial"/>
          <w:sz w:val="21"/>
          <w:szCs w:val="21"/>
          <w:color w:val="auto"/>
        </w:rPr>
        <w:t>” mean (a) each Law applicable to, and contract terms relating to, the protection or processing of Personal Data, including HIPAA, rules relating to the payment card industry data security standards, direct marketing, online behavioral adverting, e-mails, text messages or telemarketing, data localization, and contract terms relating to the protection or processing of Personal Data; and (b) industry self-regulatory principles applicable to the protection or processing of Personal Data, direct marketing, online behavioral advertising, e-mails, text messages, or telemarketing.</w:t>
      </w:r>
    </w:p>
    <w:p>
      <w:pPr>
        <w:spacing w:after="0" w:line="17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w:t>
      </w:r>
      <w:r>
        <w:rPr>
          <w:rFonts w:ascii="Arial" w:cs="Arial" w:eastAsia="Arial" w:hAnsi="Arial"/>
          <w:sz w:val="22"/>
          <w:szCs w:val="22"/>
          <w:color w:val="auto"/>
        </w:rPr>
        <w:t>” means any current or future service or product researched, designed, developed, manufactured, licensed, marketed, sold, performed, distributed or otherwise commercialized by the Borrower or any of its Affiliates, including any such product in development or which may be developed. For the avoidance of doubt, Product includes, but is not limited to, RECELL® and RECELL GO.</w:t>
      </w:r>
    </w:p>
    <w:p>
      <w:pPr>
        <w:spacing w:after="0" w:line="18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Product Agreement</w:t>
      </w:r>
      <w:r>
        <w:rPr>
          <w:rFonts w:ascii="Arial" w:cs="Arial" w:eastAsia="Arial" w:hAnsi="Arial"/>
          <w:sz w:val="21"/>
          <w:szCs w:val="21"/>
          <w:color w:val="auto"/>
        </w:rPr>
        <w:t>” means each agreement, license, document, instrument, interest (equity or otherwise) or the like under which one or more parties grants or receives any right, title or interest with respect to any Product Development and Commercialization Activities in respect of one or more Products specified therein or to exclude third parties from engaging in, or otherwise restricting any right, title or interest as to any Product Development and Commercialization Activities with respect thereto, including each contract or agreement with suppliers, manufacturers, distributors, hospitals, group purchasing organizations, wholesalers or any other Person related to any such entity.</w:t>
      </w:r>
    </w:p>
    <w:p>
      <w:pPr>
        <w:spacing w:after="0" w:line="17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Product Development and Commercialization Activities</w:t>
      </w:r>
      <w:r>
        <w:rPr>
          <w:rFonts w:ascii="Arial" w:cs="Arial" w:eastAsia="Arial" w:hAnsi="Arial"/>
          <w:sz w:val="21"/>
          <w:szCs w:val="21"/>
          <w:color w:val="auto"/>
        </w:rPr>
        <w:t>” means, with respect to any Product, any combination of research, development, manufacture, import, use, sale, importation, storage, labeling, marketing, promotion, supply, distribution, testing, packaging, purchasing or other commercialization activities, receipt of payment in respect of any of the foregoing, or like activities the purpose of which is to commercially exploit such Product.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3" w:name="page54"/>
    <w:bookmarkEnd w:id="53"/>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 Revenue Base</w:t>
      </w:r>
      <w:r>
        <w:rPr>
          <w:rFonts w:ascii="Arial" w:cs="Arial" w:eastAsia="Arial" w:hAnsi="Arial"/>
          <w:sz w:val="22"/>
          <w:szCs w:val="22"/>
          <w:color w:val="auto"/>
        </w:rPr>
        <w:t>” means, with respect to any period, the Net Revenues for such period.</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Protected Health Information</w:t>
      </w:r>
      <w:r>
        <w:rPr>
          <w:rFonts w:ascii="Arial" w:cs="Arial" w:eastAsia="Arial" w:hAnsi="Arial"/>
          <w:sz w:val="21"/>
          <w:szCs w:val="21"/>
          <w:color w:val="auto"/>
        </w:rPr>
        <w:t>” has the same meaning as “protected health information” in 45 C.F.R. § 160.103.</w:t>
      </w:r>
    </w:p>
    <w:p>
      <w:pPr>
        <w:spacing w:after="0" w:line="218"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Money Indebtedness</w:t>
      </w:r>
      <w:r>
        <w:rPr>
          <w:rFonts w:ascii="Arial" w:cs="Arial" w:eastAsia="Arial" w:hAnsi="Arial"/>
          <w:sz w:val="22"/>
          <w:szCs w:val="22"/>
          <w:color w:val="auto"/>
        </w:rPr>
        <w:t xml:space="preserve">” means Indebtedness (a) consisting of the deferred purchase price for equipment incurred in connection with the acquisition of such equipment, where the amount of such Indebtedness does not exceed the greater of (i) the cost of the equipment being financed and (ii) the fair market value of such equipment; and (b) incurred to finance such acquisition by the Borrower or any Subsidiary of such equipment;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Indebtedness must be incurred prior to such acquisition.</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Capital Securities</w:t>
      </w:r>
      <w:r>
        <w:rPr>
          <w:rFonts w:ascii="Arial" w:cs="Arial" w:eastAsia="Arial" w:hAnsi="Arial"/>
          <w:sz w:val="22"/>
          <w:szCs w:val="22"/>
          <w:color w:val="auto"/>
        </w:rPr>
        <w:t>” means any Capital Securities that are not Disqualified Capital Securities.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Receiving Party</w:t>
      </w:r>
      <w:r>
        <w:rPr>
          <w:rFonts w:ascii="Arial" w:cs="Arial" w:eastAsia="Arial" w:hAnsi="Arial"/>
          <w:sz w:val="22"/>
          <w:szCs w:val="22"/>
          <w:color w:val="auto"/>
        </w:rPr>
        <w:t>” means the Party receiving Confidential Information.</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10.14</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10.10</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Agencies</w:t>
      </w:r>
      <w:r>
        <w:rPr>
          <w:rFonts w:ascii="Arial" w:cs="Arial" w:eastAsia="Arial" w:hAnsi="Arial"/>
          <w:sz w:val="22"/>
          <w:szCs w:val="22"/>
          <w:color w:val="auto"/>
        </w:rPr>
        <w:t>” means any Governmental Authority that is concerned with the use, control, safety, efficacy, reliability, manufacturing, testing, marketing, distribution, sale or other Product Development and Commercialization Activities relating to any Product of the Borrower or any of the Subsidiaries, including the FDA and all similar agencies in other jurisdictions, including non-United States jurisdictions.</w:t>
      </w:r>
    </w:p>
    <w:p>
      <w:pPr>
        <w:spacing w:after="0" w:line="18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Regulatory Authorizations</w:t>
      </w:r>
      <w:r>
        <w:rPr>
          <w:rFonts w:ascii="Arial" w:cs="Arial" w:eastAsia="Arial" w:hAnsi="Arial"/>
          <w:sz w:val="21"/>
          <w:szCs w:val="21"/>
          <w:color w:val="auto"/>
        </w:rPr>
        <w:t>” means all approvals, clearances, notifications, authorizations, orders, exemptions, registrations, listings, certifications, licenses and Permits granted by, submitted to or filed with any Regulatory Agencies or other Governmental Authority necessary for the testing, manufacture, development, distribution, use, storage, import, export, transport, promotion, marketing, sale or other commercialization of any Product in any country or jurisdiction.</w:t>
      </w:r>
    </w:p>
    <w:p>
      <w:pPr>
        <w:spacing w:after="0" w:line="17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means the partners, directors, officers, employees, agents, trustees, administrators, managers, advisors and representatives of the Borrower and the Subsidiaries.</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means any releasing, disposing, discharging, injecting, spilling, leaking, leaching, pumping, pouring, dumping, depositing, emitting, escaping, emptying, seeping, dispersal, migrating or placing, including movement through, into or upon the environment or any natural or man-made structure.</w:t>
      </w:r>
    </w:p>
    <w:p>
      <w:pPr>
        <w:spacing w:after="0" w:line="18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Reorganization</w:t>
      </w:r>
      <w:r>
        <w:rPr>
          <w:rFonts w:ascii="Arial" w:cs="Arial" w:eastAsia="Arial" w:hAnsi="Arial"/>
          <w:sz w:val="22"/>
          <w:szCs w:val="22"/>
          <w:color w:val="auto"/>
        </w:rPr>
        <w:t>” means the reorganization of the Borrower and its Subsidiaries pursuant to which, among other things and in one or more steps, the Excluded Subsidiaries will be liquidated, dissolved or otherwise merged or amalgamated into the Borrower or any Guarantor that is a Domestic Subsidiary (with the Borrower or any such Guarantor being the surviving entity)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4" w:name="page55"/>
    <w:bookmarkEnd w:id="54"/>
    <w:p>
      <w:pPr>
        <w:spacing w:after="0" w:line="250" w:lineRule="auto"/>
        <w:rPr>
          <w:sz w:val="20"/>
          <w:szCs w:val="20"/>
          <w:color w:val="auto"/>
        </w:rPr>
      </w:pPr>
      <w:r>
        <w:rPr>
          <w:rFonts w:ascii="Arial" w:cs="Arial" w:eastAsia="Arial" w:hAnsi="Arial"/>
          <w:sz w:val="22"/>
          <w:szCs w:val="22"/>
          <w:color w:val="auto"/>
        </w:rPr>
        <w:t>all of the assets and liabilities of the Excluded Subsidiaries will be transferred, distributed and/or assumed, as applicable, by the Borrower or any such Guarantor.</w:t>
      </w:r>
    </w:p>
    <w:p>
      <w:pPr>
        <w:spacing w:after="0" w:line="17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Reorganization Outside Date</w:t>
      </w:r>
      <w:r>
        <w:rPr>
          <w:rFonts w:ascii="Arial" w:cs="Arial" w:eastAsia="Arial" w:hAnsi="Arial"/>
          <w:sz w:val="22"/>
          <w:szCs w:val="22"/>
          <w:color w:val="auto"/>
        </w:rPr>
        <w:t>” means March 31, 2024 (or such later date as the Administrative Agent and the Lenders may agree in their sole discretion).</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Repayment Premium</w:t>
      </w:r>
      <w:r>
        <w:rPr>
          <w:rFonts w:ascii="Arial" w:cs="Arial" w:eastAsia="Arial" w:hAnsi="Arial"/>
          <w:sz w:val="22"/>
          <w:szCs w:val="22"/>
          <w:color w:val="auto"/>
        </w:rPr>
        <w:t>” means a premium of:</w:t>
      </w:r>
    </w:p>
    <w:p>
      <w:pPr>
        <w:spacing w:after="0" w:line="206" w:lineRule="exact"/>
        <w:rPr>
          <w:sz w:val="20"/>
          <w:szCs w:val="20"/>
          <w:color w:val="auto"/>
        </w:rPr>
      </w:pPr>
    </w:p>
    <w:p>
      <w:pPr>
        <w:jc w:val="both"/>
        <w:ind w:left="760" w:firstLine="745"/>
        <w:spacing w:after="0" w:line="279" w:lineRule="auto"/>
        <w:tabs>
          <w:tab w:leader="none" w:pos="1941" w:val="left"/>
        </w:tabs>
        <w:numPr>
          <w:ilvl w:val="0"/>
          <w:numId w:val="35"/>
        </w:numPr>
        <w:rPr>
          <w:rFonts w:ascii="Arial" w:cs="Arial" w:eastAsia="Arial" w:hAnsi="Arial"/>
          <w:sz w:val="19"/>
          <w:szCs w:val="19"/>
          <w:color w:val="auto"/>
        </w:rPr>
      </w:pPr>
      <w:r>
        <w:rPr>
          <w:rFonts w:ascii="Arial" w:cs="Arial" w:eastAsia="Arial" w:hAnsi="Arial"/>
          <w:sz w:val="19"/>
          <w:szCs w:val="19"/>
          <w:color w:val="auto"/>
        </w:rPr>
        <w:t>(x) three percent (3.0%) of the principal amount of any prepayment or repayment of the Borrower on the Initial Loan, the First Delayed Draw Loan or the Second Delayed Draw Loan, as applicable, if such prepayment or repayment is made or required to be made, (i) with respect to the Initial Loan, on or prior to the 24-month anniversary of the Closing Date, (ii) with respect to the First Delayed Draw Loan, on or prior to the 24-month anniversary of the First Delayed Draw Closing Date and (iii) with respect to the Second Delayed Draw Loan, on or prior to the 24-month anniversary of the Second Delayed Draw Closing Date, plus (y) the Make-Whole Amount;</w:t>
      </w:r>
    </w:p>
    <w:p>
      <w:pPr>
        <w:spacing w:after="0" w:line="150" w:lineRule="exact"/>
        <w:rPr>
          <w:rFonts w:ascii="Arial" w:cs="Arial" w:eastAsia="Arial" w:hAnsi="Arial"/>
          <w:sz w:val="19"/>
          <w:szCs w:val="19"/>
          <w:color w:val="auto"/>
        </w:rPr>
      </w:pPr>
    </w:p>
    <w:p>
      <w:pPr>
        <w:jc w:val="both"/>
        <w:ind w:left="760" w:firstLine="745"/>
        <w:spacing w:after="0" w:line="275" w:lineRule="auto"/>
        <w:tabs>
          <w:tab w:leader="none" w:pos="1941"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three percent (3.0%) of the principal amount of any prepayment or repayment of the Borrower on the Initial Loan, the First Delayed Draw Loan or the Second Delayed Draw Loan, as applicable, if such prepayment or repayment is not required to be made on or prior to, and is made or required to be made after, (i) with respect to the Initial Loan, the 24-month anniversary of the Closing Date, but on or prior to the 36-month anniversary of the Closing Date, (ii) with respect to the First Delayed Draw Loan, the 24-month anniversary of the First Delayed Draw Closing Date, but on or prior to the 36-month anniversary of the First Delayed Draw Closing Date and (iii) with respect to the Second Delayed Draw Loan, the 24-month anniversary of the Second Delayed Draw Closing Date, but on or prior to the 36-month anniversary of the Second Delayed Draw Closing Date;</w:t>
      </w:r>
    </w:p>
    <w:p>
      <w:pPr>
        <w:spacing w:after="0" w:line="157" w:lineRule="exact"/>
        <w:rPr>
          <w:rFonts w:ascii="Arial" w:cs="Arial" w:eastAsia="Arial" w:hAnsi="Arial"/>
          <w:sz w:val="19"/>
          <w:szCs w:val="19"/>
          <w:color w:val="auto"/>
        </w:rPr>
      </w:pPr>
    </w:p>
    <w:p>
      <w:pPr>
        <w:jc w:val="both"/>
        <w:ind w:left="760" w:firstLine="745"/>
        <w:spacing w:after="0" w:line="246" w:lineRule="auto"/>
        <w:tabs>
          <w:tab w:leader="none" w:pos="1941" w:val="left"/>
        </w:tabs>
        <w:numPr>
          <w:ilvl w:val="0"/>
          <w:numId w:val="35"/>
        </w:numPr>
        <w:rPr>
          <w:rFonts w:ascii="Arial" w:cs="Arial" w:eastAsia="Arial" w:hAnsi="Arial"/>
          <w:sz w:val="21"/>
          <w:szCs w:val="21"/>
          <w:color w:val="auto"/>
        </w:rPr>
      </w:pPr>
      <w:r>
        <w:rPr>
          <w:rFonts w:ascii="Arial" w:cs="Arial" w:eastAsia="Arial" w:hAnsi="Arial"/>
          <w:sz w:val="21"/>
          <w:szCs w:val="21"/>
          <w:color w:val="auto"/>
        </w:rPr>
        <w:t>two percent (2.0%) of the principal amount of any prepayment or repayment of the Borrower on the Initial Loan, the First Delayed Draw Loan or the Second Delayed Draw Loan, as applicable, if such prepayment or repayment is not required to be made on or prior to, and is made or required to be made after, (i) with respect to the Initial Loan, the 36-month anniversary of the Closing Date, but on or prior to the 48-month anniversary of the Closing Date, (ii) with respect to the First Delayed Draw Loan, the 36-month anniversary of the First Delayed Draw Closing Date, but on or prior to the 48-month anniversary of the First Delayed Draw Closing Date and (iii) with respect to the Second Delayed Draw Loan, the 36-month anniversary of the Second Delayed Draw Closing Date, but on or prior to the 48-month anniversary of the Second Delayed Draw Closing Date; or</w:t>
      </w:r>
    </w:p>
    <w:p>
      <w:pPr>
        <w:spacing w:after="0" w:line="179" w:lineRule="exact"/>
        <w:rPr>
          <w:rFonts w:ascii="Arial" w:cs="Arial" w:eastAsia="Arial" w:hAnsi="Arial"/>
          <w:sz w:val="21"/>
          <w:szCs w:val="21"/>
          <w:color w:val="auto"/>
        </w:rPr>
      </w:pPr>
    </w:p>
    <w:p>
      <w:pPr>
        <w:jc w:val="both"/>
        <w:ind w:left="760" w:firstLine="745"/>
        <w:spacing w:after="0" w:line="249" w:lineRule="auto"/>
        <w:tabs>
          <w:tab w:leader="none" w:pos="1941" w:val="left"/>
        </w:tabs>
        <w:numPr>
          <w:ilvl w:val="0"/>
          <w:numId w:val="35"/>
        </w:numPr>
        <w:rPr>
          <w:rFonts w:ascii="Arial" w:cs="Arial" w:eastAsia="Arial" w:hAnsi="Arial"/>
          <w:sz w:val="21"/>
          <w:szCs w:val="21"/>
          <w:color w:val="auto"/>
        </w:rPr>
      </w:pPr>
      <w:r>
        <w:rPr>
          <w:rFonts w:ascii="Arial" w:cs="Arial" w:eastAsia="Arial" w:hAnsi="Arial"/>
          <w:sz w:val="21"/>
          <w:szCs w:val="21"/>
          <w:color w:val="auto"/>
        </w:rPr>
        <w:t>zero percent (0%) of the principal amount of any prepayment or repayment of the Borrower on the Initial Loan, the First Delayed Draw Loan or the Second Delayed Draw Loan, as applicable, if such prepayment or repayment is not required to be made on or prior to, and is made or required to be made after, (i) with respect to the Initial Loan, the 48-month anniversary of the Closing Date, (ii) with respect to the First Delayed Draw Loan, the 48-month anniversary of the First Delayed Draw Closing Date and (iii) with</w:t>
      </w:r>
    </w:p>
    <w:p>
      <w:pPr>
        <w:spacing w:after="0" w:line="178" w:lineRule="exact"/>
        <w:rPr>
          <w:rFonts w:ascii="Arial" w:cs="Arial" w:eastAsia="Arial" w:hAnsi="Arial"/>
          <w:sz w:val="21"/>
          <w:szCs w:val="21"/>
          <w:color w:val="auto"/>
        </w:rPr>
      </w:pPr>
    </w:p>
    <w:p>
      <w:pPr>
        <w:ind w:left="5520" w:hanging="130"/>
        <w:spacing w:after="0"/>
        <w:tabs>
          <w:tab w:leader="none" w:pos="5520" w:val="left"/>
        </w:tabs>
        <w:numPr>
          <w:ilvl w:val="1"/>
          <w:numId w:val="35"/>
        </w:numPr>
        <w:rPr>
          <w:rFonts w:ascii="Arial" w:cs="Arial" w:eastAsia="Arial" w:hAnsi="Arial"/>
          <w:sz w:val="22"/>
          <w:szCs w:val="22"/>
          <w:color w:val="auto"/>
        </w:rPr>
      </w:pPr>
      <w:r>
        <w:rPr>
          <w:rFonts w:ascii="Arial" w:cs="Arial" w:eastAsia="Arial" w:hAnsi="Arial"/>
          <w:sz w:val="22"/>
          <w:szCs w:val="22"/>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5" w:name="page56"/>
    <w:bookmarkEnd w:id="55"/>
    <w:p>
      <w:pPr>
        <w:ind w:left="760"/>
        <w:spacing w:after="0"/>
        <w:rPr>
          <w:sz w:val="20"/>
          <w:szCs w:val="20"/>
          <w:color w:val="auto"/>
        </w:rPr>
      </w:pPr>
      <w:r>
        <w:rPr>
          <w:rFonts w:ascii="Arial" w:cs="Arial" w:eastAsia="Arial" w:hAnsi="Arial"/>
          <w:sz w:val="19"/>
          <w:szCs w:val="19"/>
          <w:color w:val="auto"/>
        </w:rPr>
        <w:t>respect to the Second Delayed Draw Loan, the 48-month anniversary of the Second Delayed Draw Closing Date.</w:t>
      </w:r>
    </w:p>
    <w:p>
      <w:pPr>
        <w:spacing w:after="0" w:line="24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Payment</w:t>
      </w:r>
      <w:r>
        <w:rPr>
          <w:rFonts w:ascii="Arial" w:cs="Arial" w:eastAsia="Arial" w:hAnsi="Arial"/>
          <w:sz w:val="21"/>
          <w:szCs w:val="21"/>
          <w:color w:val="auto"/>
        </w:rPr>
        <w:t>” means (i) the declaration or payment of any dividend on, or the making of any payment or distribution on account of, or setting apart assets for a sinking or other analogous fund for the purchase, redemption, defeasance, retirement or other acquisition of, any class of Capital Securities of the Borrower or any Subsidiary or any warrants, options or other right or obligation to purchase or acquire any such Capital Securities, whether now or hereafter outstanding, or (ii) the making of any other distribution in respect of such Capital Securities, in each case either directly or indirectly, whether in cash, property or obligations of the Borrower or any Subsidiary or otherwise.</w:t>
      </w:r>
    </w:p>
    <w:p>
      <w:pPr>
        <w:spacing w:after="0" w:line="177" w:lineRule="exact"/>
        <w:rPr>
          <w:sz w:val="20"/>
          <w:szCs w:val="20"/>
          <w:color w:val="auto"/>
        </w:rPr>
      </w:pPr>
    </w:p>
    <w:p>
      <w:pPr>
        <w:ind w:left="8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S&amp;P Global Ratings, a S&amp;P Financial Services LLC business, and any successor thereto.</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means any international economic sanction administered or enforced by the United States Government (including, without limitation, OFAC), the United Nations Security Council, the European Union, His Majesty’s Treasury or other relevant sanctions authority.</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Delayed Draw Closing Date</w:t>
      </w:r>
      <w:r>
        <w:rPr>
          <w:rFonts w:ascii="Arial" w:cs="Arial" w:eastAsia="Arial" w:hAnsi="Arial"/>
          <w:sz w:val="22"/>
          <w:szCs w:val="22"/>
          <w:color w:val="auto"/>
        </w:rPr>
        <w:t>” means date of the making of the Second Delayed Draw Loan hereunder, which in no event shall be later than June 30, 2025.</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Delayed Draw Commitment Amount</w:t>
      </w:r>
      <w:r>
        <w:rPr>
          <w:rFonts w:ascii="Arial" w:cs="Arial" w:eastAsia="Arial" w:hAnsi="Arial"/>
          <w:sz w:val="22"/>
          <w:szCs w:val="22"/>
          <w:color w:val="auto"/>
        </w:rPr>
        <w:t>” means $25,000,000.</w:t>
      </w:r>
    </w:p>
    <w:p>
      <w:pPr>
        <w:spacing w:after="0" w:line="206"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Second Delayed Draw Commitment Termination Date</w:t>
      </w:r>
      <w:r>
        <w:rPr>
          <w:rFonts w:ascii="Arial" w:cs="Arial" w:eastAsia="Arial" w:hAnsi="Arial"/>
          <w:sz w:val="19"/>
          <w:szCs w:val="19"/>
          <w:color w:val="auto"/>
        </w:rPr>
        <w:t>” means the earliest to occur of (i) the Second Delayed Draw Closing Date (immediately after the making of the Second Delayed Draw Loan on such date), (ii) June 30, 2025 and (iii) December 31, 2024, if the First Delayed Draw Loan shall not have been made hereunder on or prior to such date.</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Delayed Draw Loan”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means the Lenders and the Administrative Agent.</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Agreement</w:t>
      </w:r>
      <w:r>
        <w:rPr>
          <w:rFonts w:ascii="Arial" w:cs="Arial" w:eastAsia="Arial" w:hAnsi="Arial"/>
          <w:sz w:val="22"/>
          <w:szCs w:val="22"/>
          <w:color w:val="auto"/>
        </w:rPr>
        <w:t xml:space="preserve">” means the Pledge and Security Agreement executed and delivered by each of the parties thereto, substantially in the form of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hereto, as amended, supplemented, amended and restated or otherwise modified from time to time.</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Administrator</w:t>
      </w:r>
      <w:r>
        <w:rPr>
          <w:rFonts w:ascii="Arial" w:cs="Arial" w:eastAsia="Arial" w:hAnsi="Arial"/>
          <w:sz w:val="22"/>
          <w:szCs w:val="22"/>
          <w:color w:val="auto"/>
        </w:rPr>
        <w:t>” means the CME Group Benchmark Administration Limited (CBA), as administrator of the forward-looking term secured overnight financing rate (or a successor administrator).</w:t>
      </w:r>
    </w:p>
    <w:p>
      <w:pPr>
        <w:spacing w:after="0" w:line="175" w:lineRule="exact"/>
        <w:rPr>
          <w:sz w:val="20"/>
          <w:szCs w:val="20"/>
          <w:color w:val="auto"/>
        </w:rPr>
      </w:pPr>
    </w:p>
    <w:p>
      <w:pPr>
        <w:jc w:val="both"/>
        <w:ind w:firstLine="803"/>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Rate</w:t>
      </w:r>
      <w:r>
        <w:rPr>
          <w:rFonts w:ascii="Arial" w:cs="Arial" w:eastAsia="Arial" w:hAnsi="Arial"/>
          <w:sz w:val="22"/>
          <w:szCs w:val="22"/>
          <w:color w:val="auto"/>
        </w:rPr>
        <w:t>” means, for any Interest Period, the forward-looking one-month term rate based on the secured overnight financing rate on the day (such day, the “</w:t>
      </w:r>
      <w:r>
        <w:rPr>
          <w:rFonts w:ascii="Arial" w:cs="Arial" w:eastAsia="Arial" w:hAnsi="Arial"/>
          <w:sz w:val="22"/>
          <w:szCs w:val="22"/>
          <w:u w:val="single" w:color="auto"/>
          <w:color w:val="auto"/>
        </w:rPr>
        <w:t>SOFR Rate Determination Date</w:t>
      </w:r>
      <w:r>
        <w:rPr>
          <w:rFonts w:ascii="Arial" w:cs="Arial" w:eastAsia="Arial" w:hAnsi="Arial"/>
          <w:sz w:val="22"/>
          <w:szCs w:val="22"/>
          <w:color w:val="auto"/>
        </w:rPr>
        <w:t>”) that is two (2) Business Days prior to the first day of any Interest Period, with the rate, or methodology for this rate, and conventions for this rate being established by the Administrative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6" w:name="page57"/>
    <w:bookmarkEnd w:id="56"/>
    <w:p>
      <w:pPr>
        <w:jc w:val="both"/>
        <w:spacing w:after="0" w:line="275" w:lineRule="auto"/>
        <w:rPr>
          <w:sz w:val="20"/>
          <w:szCs w:val="20"/>
          <w:color w:val="auto"/>
        </w:rPr>
      </w:pPr>
      <w:r>
        <w:rPr>
          <w:rFonts w:ascii="Arial" w:cs="Arial" w:eastAsia="Arial" w:hAnsi="Arial"/>
          <w:sz w:val="19"/>
          <w:szCs w:val="19"/>
          <w:color w:val="auto"/>
        </w:rPr>
        <w:t xml:space="preserve">Agent in accordance with the “1 Month CME Term SOFR” published on the SOFR Administrator’s website at https://www.cmegroup.com/market-data/cme-group-benchmark-administration/term-sofr.html or any successor or successor page thereto established by the SOFR Administrator (as calculated by the Administrative Agent and rounded upwards, if necessary, to the nearest 1/1,000 of 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as of 5:00 p.m. on any SOFR Rate Determination Date, such 1 Month CME Term SOFR has not been published on the SOFR Administrator’s website, then the SOFR Rate for the related Interest Period will be the 1 Month CME Term SOFR as published on the SOFR Administrator’s website on the first preceding Business Days for which 1 Month CME Term SOFR was published on the SOFR Administrator’s website so long as such first preceding Business Day is not more than three (3) Business Days prior to such SOFR Rate Determination Date.</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Rate Determination Date</w:t>
      </w:r>
      <w:r>
        <w:rPr>
          <w:rFonts w:ascii="Arial" w:cs="Arial" w:eastAsia="Arial" w:hAnsi="Arial"/>
          <w:sz w:val="22"/>
          <w:szCs w:val="22"/>
          <w:color w:val="auto"/>
        </w:rPr>
        <w:t>” is defined within the definition of “SOFR Rate”.</w:t>
      </w:r>
    </w:p>
    <w:p>
      <w:pPr>
        <w:spacing w:after="0" w:line="20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means, with respect to any Person on a particular date, that on such date (i) the fair value of the property of such Person is greater than the total amount of liabilities, including contingent liabilities, of such Person, (ii) the present fair saleable value of the assets of such Person is not less than the amount that will be required to pay the probable liability of such Person on its debts as they become absolute and matured, (iii) such Person does not intend to, and does not believe that it will, incur debts or liabilities beyond its ability to pay as such debts and liabilities mature, (iv) such Person is not engaged in a business or a transaction, and is not about to engage in a business or a transaction, for which the property of such Person would constitute an unreasonably small capital and (v) such Person has not executed this Agreement or any other Loan Document, or made any transfer or incurred any Obligations hereunder or thereunder, with actual intent to hinder, delay or defraud either present or future creditors. The amount of Contingent Liabilities at any time shall be computed as the amount that, in light of all the facts and circumstances existing at such time, can reasonably be expected to become an actual or matured liability.</w:t>
      </w:r>
    </w:p>
    <w:p>
      <w:pPr>
        <w:spacing w:after="0" w:line="161" w:lineRule="exact"/>
        <w:rPr>
          <w:sz w:val="20"/>
          <w:szCs w:val="20"/>
          <w:color w:val="auto"/>
        </w:rPr>
      </w:pPr>
    </w:p>
    <w:p>
      <w:pPr>
        <w:jc w:val="both"/>
        <w:ind w:firstLine="81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any other Person of which more than 50% of the outstanding Voting Securities of such other Person (irrespective of whether at the time Capital Securities of any other class or classes of such other Person shall or might have voting power upon the occurrence of any contingency) is at the time directly or indirectly owned or controlled by such Person, by such Person and one or more Subsidiaries of such Person, or by one or more Subsidiaries of such Person. Unless the context otherwise specifically requires, the term “Subsidiary” shall be a reference to a Subsidiary of the Borrower.</w:t>
      </w:r>
    </w:p>
    <w:p>
      <w:pPr>
        <w:spacing w:after="0" w:line="18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Synthetic Lease</w:t>
      </w:r>
      <w:r>
        <w:rPr>
          <w:rFonts w:ascii="Arial" w:cs="Arial" w:eastAsia="Arial" w:hAnsi="Arial"/>
          <w:sz w:val="22"/>
          <w:szCs w:val="22"/>
          <w:color w:val="auto"/>
        </w:rPr>
        <w:t>” means, as applied to any Person, any lease (including leases that may be terminated by the lessee at any time) of any property (whether real, personal or mixed) (i) that is not a finance lease in accordance with GAAP and (ii) in respect of which the lessee retains or obtains ownership of the property so leased for federal income tax purposes, other than any such lease under which that Person is the lessor.</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income, stamp or other taxes, duties, levies, imposts, charges, assessments, fees, deductions or withholdings (including backup withholding), now or hereafter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7" w:name="page58"/>
    <w:bookmarkEnd w:id="57"/>
    <w:p>
      <w:pPr>
        <w:jc w:val="both"/>
        <w:spacing w:after="0" w:line="250" w:lineRule="auto"/>
        <w:rPr>
          <w:sz w:val="20"/>
          <w:szCs w:val="20"/>
          <w:color w:val="auto"/>
        </w:rPr>
      </w:pPr>
      <w:r>
        <w:rPr>
          <w:rFonts w:ascii="Arial" w:cs="Arial" w:eastAsia="Arial" w:hAnsi="Arial"/>
          <w:sz w:val="22"/>
          <w:szCs w:val="22"/>
          <w:color w:val="auto"/>
        </w:rPr>
        <w:t>imposed, levied, collected, withheld or assessed by any Governmental Authority, and all interest, linkage differentials, additions to tax, penalties or similar liabilities with respect thereto.</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means the date on which all Obligations have been paid in full in cash and the Commitment shall have terminated.</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Test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3.2</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other than the Borrower or any of the Subsidiaries.</w:t>
      </w:r>
    </w:p>
    <w:p>
      <w:pPr>
        <w:spacing w:after="0" w:line="206"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Credit Exposure</w:t>
      </w:r>
      <w:r>
        <w:rPr>
          <w:rFonts w:ascii="Arial" w:cs="Arial" w:eastAsia="Arial" w:hAnsi="Arial"/>
          <w:sz w:val="19"/>
          <w:szCs w:val="19"/>
          <w:color w:val="auto"/>
        </w:rPr>
        <w:t>” means, as to any Lender on any date, (i) the aggregate outstanding principal amount of the Loans of such Lender after giving effect to any borrowings and prepayments or repayments of any Loans occurring on such date, plus (ii) the unfunded amount of such Lender’s Commitments that remains outstanding under this Agreement.</w:t>
      </w:r>
    </w:p>
    <w:p>
      <w:pPr>
        <w:spacing w:after="0" w:line="134"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w:t>
      </w:r>
      <w:r>
        <w:rPr>
          <w:rFonts w:ascii="Arial" w:cs="Arial" w:eastAsia="Arial" w:hAnsi="Arial"/>
          <w:sz w:val="22"/>
          <w:szCs w:val="22"/>
          <w:color w:val="auto"/>
        </w:rPr>
        <w:t>” means any trademark, service mark, trade name, logo, symbol, trade dress, domain name, corporate name or other indicator of source or origin, and all applications, registrations and renewals therefor, together with all of the goodwill associated therewith.</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 Security Agreement</w:t>
      </w:r>
      <w:r>
        <w:rPr>
          <w:rFonts w:ascii="Arial" w:cs="Arial" w:eastAsia="Arial" w:hAnsi="Arial"/>
          <w:sz w:val="22"/>
          <w:szCs w:val="22"/>
          <w:color w:val="auto"/>
        </w:rPr>
        <w:t>” means any Trademark Security Agreement executed and delivered to the Administrative Agent by the Borrower or any of the Guarantors substantially in the form of Exhibit B to any Security Agreement, as amended, supplemented, amended and restated or otherwise modified from time to time.</w:t>
      </w:r>
    </w:p>
    <w:p>
      <w:pPr>
        <w:spacing w:after="0" w:line="186" w:lineRule="exact"/>
        <w:rPr>
          <w:sz w:val="20"/>
          <w:szCs w:val="20"/>
          <w:color w:val="auto"/>
        </w:rPr>
      </w:pPr>
    </w:p>
    <w:p>
      <w:pPr>
        <w:jc w:val="both"/>
        <w:ind w:firstLine="749"/>
        <w:spacing w:after="0" w:line="248"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UCC</w:t>
      </w:r>
      <w:r>
        <w:rPr>
          <w:rFonts w:ascii="Arial" w:cs="Arial" w:eastAsia="Arial" w:hAnsi="Arial"/>
          <w:sz w:val="19"/>
          <w:szCs w:val="19"/>
          <w:color w:val="auto"/>
        </w:rPr>
        <w:t xml:space="preserve">” means the Uniform Commercial Code as in effect from time to time in the State of New York;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with respect to any financing statement or by reason of any provisions of law, the perfection or the effect of perfection or non</w:t>
      </w:r>
      <w:r>
        <w:rPr>
          <w:rFonts w:ascii="MS PGothic" w:cs="MS PGothic" w:eastAsia="MS PGothic" w:hAnsi="MS PGothic"/>
          <w:sz w:val="19"/>
          <w:szCs w:val="19"/>
          <w:color w:val="auto"/>
        </w:rPr>
        <w:t>‑</w:t>
      </w:r>
      <w:r>
        <w:rPr>
          <w:rFonts w:ascii="Arial" w:cs="Arial" w:eastAsia="Arial" w:hAnsi="Arial"/>
          <w:sz w:val="19"/>
          <w:szCs w:val="19"/>
          <w:color w:val="auto"/>
        </w:rPr>
        <w:t>perfection of the security interests granted to any Secured Party pursuant to the applicable Loan Document is governed by the Uniform Commercial Code as in effect in a jurisdiction of the United States other than New York, then “UCC” means the Uniform Commercial Code as in effect from time to time in such other jurisdiction for purposes of the provisions of each Loan Document and any financing statement relating to such perfection or effect of perfection or non</w:t>
      </w:r>
      <w:r>
        <w:rPr>
          <w:rFonts w:ascii="MS PGothic" w:cs="MS PGothic" w:eastAsia="MS PGothic" w:hAnsi="MS PGothic"/>
          <w:sz w:val="19"/>
          <w:szCs w:val="19"/>
          <w:color w:val="auto"/>
        </w:rPr>
        <w:t>‑</w:t>
      </w:r>
      <w:r>
        <w:rPr>
          <w:rFonts w:ascii="Arial" w:cs="Arial" w:eastAsia="Arial" w:hAnsi="Arial"/>
          <w:sz w:val="19"/>
          <w:szCs w:val="19"/>
          <w:color w:val="auto"/>
        </w:rPr>
        <w:t>perfection.</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Undrawn Fee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3.10</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or “</w:t>
      </w:r>
      <w:r>
        <w:rPr>
          <w:rFonts w:ascii="Arial" w:cs="Arial" w:eastAsia="Arial" w:hAnsi="Arial"/>
          <w:sz w:val="22"/>
          <w:szCs w:val="22"/>
          <w:u w:val="single" w:color="auto"/>
          <w:color w:val="auto"/>
        </w:rPr>
        <w:t>U.S.</w:t>
      </w:r>
      <w:r>
        <w:rPr>
          <w:rFonts w:ascii="Arial" w:cs="Arial" w:eastAsia="Arial" w:hAnsi="Arial"/>
          <w:sz w:val="22"/>
          <w:szCs w:val="22"/>
          <w:color w:val="auto"/>
        </w:rPr>
        <w:t>” means the United States of America, its fifty states and the District of Columbia.</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Upfront Fee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3.9</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Voting Securities</w:t>
      </w:r>
      <w:r>
        <w:rPr>
          <w:rFonts w:ascii="Arial" w:cs="Arial" w:eastAsia="Arial" w:hAnsi="Arial"/>
          <w:sz w:val="21"/>
          <w:szCs w:val="21"/>
          <w:color w:val="auto"/>
        </w:rPr>
        <w:t>” means, with respect to any Person, Capital Securities of any class or kind ordinarily having the power to vote for the election of directors, managers or other voting members of the governing body of such Person.</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Warrants</w:t>
      </w:r>
      <w:r>
        <w:rPr>
          <w:rFonts w:ascii="Arial" w:cs="Arial" w:eastAsia="Arial" w:hAnsi="Arial"/>
          <w:sz w:val="22"/>
          <w:szCs w:val="22"/>
          <w:color w:val="auto"/>
        </w:rPr>
        <w:t xml:space="preserve">” means those certain warrants to purchase shares of the Borrower’s common stock, issued to an Affiliate of the Initial Lender on the Closing Date and substantially in the form of </w:t>
      </w:r>
      <w:r>
        <w:rPr>
          <w:rFonts w:ascii="Arial" w:cs="Arial" w:eastAsia="Arial" w:hAnsi="Arial"/>
          <w:sz w:val="22"/>
          <w:szCs w:val="22"/>
          <w:u w:val="single" w:color="auto"/>
          <w:color w:val="auto"/>
        </w:rPr>
        <w:t>Exhibit G</w:t>
      </w:r>
      <w:r>
        <w:rPr>
          <w:rFonts w:ascii="Arial" w:cs="Arial" w:eastAsia="Arial" w:hAnsi="Arial"/>
          <w:sz w:val="22"/>
          <w:szCs w:val="22"/>
          <w:color w:val="auto"/>
        </w:rPr>
        <w:t xml:space="preserve"> hereto.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8" w:name="page59"/>
    <w:bookmarkEnd w:id="58"/>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wholly owned Subsidiary</w:t>
      </w:r>
      <w:r>
        <w:rPr>
          <w:rFonts w:ascii="Arial" w:cs="Arial" w:eastAsia="Arial" w:hAnsi="Arial"/>
          <w:sz w:val="22"/>
          <w:szCs w:val="22"/>
          <w:color w:val="auto"/>
        </w:rPr>
        <w:t>” means any direct or indirect Subsidiaries of the Borrower, all of the outstanding Capital Securities of which (other than any director’s qualifying shares or investments by foreign nationals mandated by applicable laws) is owned directly or indirectly by the Borrower.</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Withholding Agent</w:t>
      </w:r>
      <w:r>
        <w:rPr>
          <w:rFonts w:ascii="Arial" w:cs="Arial" w:eastAsia="Arial" w:hAnsi="Arial"/>
          <w:sz w:val="22"/>
          <w:szCs w:val="22"/>
          <w:color w:val="auto"/>
        </w:rPr>
        <w:t>” means the Borrower and the Administrative Agent.</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Use of Defined Terms</w:t>
      </w:r>
      <w:r>
        <w:rPr>
          <w:rFonts w:ascii="Arial" w:cs="Arial" w:eastAsia="Arial" w:hAnsi="Arial"/>
          <w:sz w:val="22"/>
          <w:szCs w:val="22"/>
          <w:color w:val="auto"/>
        </w:rPr>
        <w:t>. Unless otherwise defined or the context otherwise requires, terms for which meanings are provided in this Agreement shall have such meanings when used in each other Loan Document and the schedules attached hereto.</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Cross-References</w:t>
      </w:r>
      <w:r>
        <w:rPr>
          <w:rFonts w:ascii="Arial" w:cs="Arial" w:eastAsia="Arial" w:hAnsi="Arial"/>
          <w:sz w:val="22"/>
          <w:szCs w:val="22"/>
          <w:color w:val="auto"/>
        </w:rPr>
        <w:t>. Unless otherwise specified, references in a Loan Document to any Article or Section are references to such Article or Section of such Loan Document, and references in any Article, Section or definition to any clause are references to such clause of such Article, Section or definition.</w:t>
      </w:r>
    </w:p>
    <w:p>
      <w:pPr>
        <w:spacing w:after="0" w:line="18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 xml:space="preserve">SECTION 1.4 </w:t>
      </w:r>
      <w:r>
        <w:rPr>
          <w:rFonts w:ascii="Arial" w:cs="Arial" w:eastAsia="Arial" w:hAnsi="Arial"/>
          <w:sz w:val="21"/>
          <w:szCs w:val="21"/>
          <w:u w:val="single" w:color="auto"/>
          <w:color w:val="auto"/>
        </w:rPr>
        <w:t>Accounting and Financial Determinations</w:t>
      </w:r>
      <w:r>
        <w:rPr>
          <w:rFonts w:ascii="Arial" w:cs="Arial" w:eastAsia="Arial" w:hAnsi="Arial"/>
          <w:sz w:val="21"/>
          <w:szCs w:val="21"/>
          <w:color w:val="auto"/>
        </w:rPr>
        <w:t xml:space="preserve">. Unless otherwise specified, all accounting terms used in each Loan Document shall be interpreted, and all accounting determinations and computations thereunder (including under </w:t>
      </w:r>
      <w:r>
        <w:rPr>
          <w:rFonts w:ascii="Arial" w:cs="Arial" w:eastAsia="Arial" w:hAnsi="Arial"/>
          <w:sz w:val="21"/>
          <w:szCs w:val="21"/>
          <w:u w:val="single" w:color="auto"/>
          <w:color w:val="auto"/>
        </w:rPr>
        <w:t>Section 8.4</w:t>
      </w:r>
      <w:r>
        <w:rPr>
          <w:rFonts w:ascii="Arial" w:cs="Arial" w:eastAsia="Arial" w:hAnsi="Arial"/>
          <w:sz w:val="21"/>
          <w:szCs w:val="21"/>
          <w:color w:val="auto"/>
        </w:rPr>
        <w:t xml:space="preserve"> and the definitions used in such calculations) shall be made, in accordance with GAAP as in effect from time to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either the Borrower or the Lenders request an amendment to any provision hereof to eliminate the effect of any change occurring after the date hereof in GAAP or the application thereof on the operation of such provision, regardless of whether any such notice is given before or after such change in GAAP or the application thereof, then such provision shall be interpreted on the basis of GAAP in effect and applied immediately before such change shall have become effective until such request shall have been withdrawn or such provision amended in accordance herewith. Unless otherwise expressly provided, all financial covenants and defined financial terms shall be computed on a consolidated basis for the Borrower and the Subsidiaries, in each case without duplication.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COMMITMENT AND BORROWING PROCEDURES</w:t>
      </w:r>
    </w:p>
    <w:p>
      <w:pPr>
        <w:spacing w:after="0" w:line="18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Commitment</w:t>
      </w:r>
      <w:r>
        <w:rPr>
          <w:rFonts w:ascii="Arial" w:cs="Arial" w:eastAsia="Arial" w:hAnsi="Arial"/>
          <w:sz w:val="19"/>
          <w:szCs w:val="19"/>
          <w:color w:val="auto"/>
        </w:rPr>
        <w:t>. On the terms and subject to the conditions of this Agreement, each Lender severally agrees to make its portion of a term loan (the “</w:t>
      </w:r>
      <w:r>
        <w:rPr>
          <w:rFonts w:ascii="Arial" w:cs="Arial" w:eastAsia="Arial" w:hAnsi="Arial"/>
          <w:sz w:val="19"/>
          <w:szCs w:val="19"/>
          <w:u w:val="single" w:color="auto"/>
          <w:color w:val="auto"/>
        </w:rPr>
        <w:t>Initial Loan</w:t>
      </w:r>
      <w:r>
        <w:rPr>
          <w:rFonts w:ascii="Arial" w:cs="Arial" w:eastAsia="Arial" w:hAnsi="Arial"/>
          <w:sz w:val="19"/>
          <w:szCs w:val="19"/>
          <w:color w:val="auto"/>
        </w:rPr>
        <w:t>”) to the Borrower on the Closing Date in an amount equal to (but not less than) such Lender’s Initial Commitment Amount. On the terms and subject to the conditions of this Agreement, each Lender severally agrees to make its portion of a term loan (the “</w:t>
      </w:r>
      <w:r>
        <w:rPr>
          <w:rFonts w:ascii="Arial" w:cs="Arial" w:eastAsia="Arial" w:hAnsi="Arial"/>
          <w:sz w:val="19"/>
          <w:szCs w:val="19"/>
          <w:u w:val="single" w:color="auto"/>
          <w:color w:val="auto"/>
        </w:rPr>
        <w:t>First Delayed Draw Loan</w:t>
      </w:r>
      <w:r>
        <w:rPr>
          <w:rFonts w:ascii="Arial" w:cs="Arial" w:eastAsia="Arial" w:hAnsi="Arial"/>
          <w:sz w:val="19"/>
          <w:szCs w:val="19"/>
          <w:color w:val="auto"/>
        </w:rPr>
        <w:t xml:space="preserve">”) to the Borrower on the First Delayed Draw Closing Date in an amount equal to (but not less than) such Lender’s First Delayed Draw Commitment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funding of the First Delayed Draw Loan on the First Delayed Draw Closing Date, the First Delayed Draw Commitment Amount shall be reduced to $0. On the terms and subject to the conditions of this Agreement, each Lender severally agrees to make its portion of a term loan (the “</w:t>
      </w:r>
      <w:r>
        <w:rPr>
          <w:rFonts w:ascii="Arial" w:cs="Arial" w:eastAsia="Arial" w:hAnsi="Arial"/>
          <w:sz w:val="19"/>
          <w:szCs w:val="19"/>
          <w:u w:val="single" w:color="auto"/>
          <w:color w:val="auto"/>
        </w:rPr>
        <w:t>Second Delayed Draw Loan</w:t>
      </w:r>
      <w:r>
        <w:rPr>
          <w:rFonts w:ascii="Arial" w:cs="Arial" w:eastAsia="Arial" w:hAnsi="Arial"/>
          <w:sz w:val="19"/>
          <w:szCs w:val="19"/>
          <w:color w:val="auto"/>
        </w:rPr>
        <w:t xml:space="preserve">”) to the Borrower on the Second Delayed Draw Closing Date in an amount equal to (but not less than) such Lender’s Second Delayed Draw Commitment Amount designated on the Loan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funding of the Second Delayed Draw Loan on the Second Delayed Draw</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9" w:name="page60"/>
    <w:bookmarkEnd w:id="59"/>
    <w:p>
      <w:pPr>
        <w:jc w:val="both"/>
        <w:ind w:right="20"/>
        <w:spacing w:after="0" w:line="250" w:lineRule="auto"/>
        <w:rPr>
          <w:sz w:val="20"/>
          <w:szCs w:val="20"/>
          <w:color w:val="auto"/>
        </w:rPr>
      </w:pPr>
      <w:r>
        <w:rPr>
          <w:rFonts w:ascii="Arial" w:cs="Arial" w:eastAsia="Arial" w:hAnsi="Arial"/>
          <w:sz w:val="22"/>
          <w:szCs w:val="22"/>
          <w:color w:val="auto"/>
        </w:rPr>
        <w:t>Closing Date, the Second Delayed Draw Commitment Amount shall be reduced to $0. No amounts paid or prepaid with respect to the Loans may be reborrowed.</w:t>
      </w:r>
    </w:p>
    <w:p>
      <w:pPr>
        <w:spacing w:after="0" w:line="17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 xml:space="preserve">SECTION 2.2 </w:t>
      </w:r>
      <w:r>
        <w:rPr>
          <w:rFonts w:ascii="Arial" w:cs="Arial" w:eastAsia="Arial" w:hAnsi="Arial"/>
          <w:sz w:val="21"/>
          <w:szCs w:val="21"/>
          <w:u w:val="single" w:color="auto"/>
          <w:color w:val="auto"/>
        </w:rPr>
        <w:t>Borrowing Procedure</w:t>
      </w:r>
      <w:r>
        <w:rPr>
          <w:rFonts w:ascii="Arial" w:cs="Arial" w:eastAsia="Arial" w:hAnsi="Arial"/>
          <w:sz w:val="21"/>
          <w:szCs w:val="21"/>
          <w:color w:val="auto"/>
        </w:rPr>
        <w:t>. The Borrower may irrevocably request that the Initial Loan be made by delivering to the Administrative Agent a Loan Request on or before 10:00 a.m. on a Business Day at least one Business Day prior to the proposed Closing Date. The Borrower may irrevocably request that the First Delayed Draw Loan be made by delivering to the Administrative Agent a Loan Request on or before 10:00 a.m. on a Business Day at least 12 Business Days prior to the proposed First Delayed Draw Closing Date. The Borrower may irrevocably request that the Second Delayed Draw Loan be made by delivering to the Administrative Agent a Loan Request on or before 10:00 a.m. on a Business Day at least 12 Business Days prior to the proposed Second Delayed Draw Closing Date.</w:t>
      </w:r>
    </w:p>
    <w:p>
      <w:pPr>
        <w:spacing w:after="0" w:line="18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u w:val="single" w:color="auto"/>
          <w:color w:val="auto"/>
        </w:rPr>
        <w:t>Funding</w:t>
      </w:r>
      <w:r>
        <w:rPr>
          <w:rFonts w:ascii="Arial" w:cs="Arial" w:eastAsia="Arial" w:hAnsi="Arial"/>
          <w:sz w:val="19"/>
          <w:szCs w:val="19"/>
          <w:color w:val="auto"/>
        </w:rPr>
        <w:t xml:space="preserve">. After receipt of the Loan Request for the Initial Loan, the Administrative Agent shall promptly notify each Lender of the amount of such Lender’s portion of the Initial Loan. Each Lender shall, on the Closing Date and subject to the terms and conditions hereof, make the requested proceeds of such Lender’s portion of the Initial Loan available to or as instructed by the Administrative Agent. After receipt of the Loan Request for a Delayed Draw Loan, the Administrative Agent shall promptly notify each Lender of the amount of such Lender’s portion of such Delayed Draw Loan. Each Lender shall, on the applicable Delayed Draw Closing Date and subject to the terms and conditions hereof, make the requested proceeds of such Lender’s portion of such Delayed Draw Loan available to or as instructed by the Administrative Agent. Upon satisfaction or waiver of the applicable conditions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the Administrative Agent shall make all funds so received available to the Borrower by wire transfer to the account the Borrower shall have specified in its Loan Request in an amount equal to (but not less than) the Lenders’ applicable Commitment Amount. It is understood that (i)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(ii) failure by a Lender to perform any of its obligations under any of the Loan Documents shall not release any Person from performance of its obligation under any Loan Document.</w:t>
      </w:r>
    </w:p>
    <w:p>
      <w:pPr>
        <w:spacing w:after="0" w:line="164"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Termination and Reduction of the Commitment Amounts</w:t>
      </w:r>
      <w:r>
        <w:rPr>
          <w:rFonts w:ascii="Arial" w:cs="Arial" w:eastAsia="Arial" w:hAnsi="Arial"/>
          <w:sz w:val="22"/>
          <w:szCs w:val="22"/>
          <w:color w:val="auto"/>
        </w:rPr>
        <w:t>. The Initial Commitment Amount shall automatically and permanently be reduced to zero on the Closing Date (immediately after the making of the Initial Loan on such date). The First Delayed Draw Commitment Amount shall automatically and permanently be reduced to zero on the First Delayed Draw Commitment Termination Date. The Second Delayed Draw Commitment Amount shall automatically and permanently be reduced to zero on the Second Delayed Draw Commitment Termination Date. In addition to the foregoing, the Borrower shall have the right, upon notice to the Administrative Agent, at any time and from time to time to terminate the First Delayed Draw Commitment Amount and the Second Delayed Draw Commitment Amount in connection with the payment in full of the Obligations (other than contingent indemnity and expense reimbursement obligations for which no claim has been asserted).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color w:val="auto"/>
        </w:rPr>
        <w:t>ARTICLE III</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REPAYMENTS, PREPAYMENTS, INTEREST AND FEES</w:t>
      </w:r>
    </w:p>
    <w:p>
      <w:pPr>
        <w:spacing w:after="0" w:line="188"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Repayments and Prepayments; Application</w:t>
      </w:r>
      <w:r>
        <w:rPr>
          <w:rFonts w:ascii="Arial" w:cs="Arial" w:eastAsia="Arial" w:hAnsi="Arial"/>
          <w:sz w:val="22"/>
          <w:szCs w:val="22"/>
          <w:color w:val="auto"/>
        </w:rPr>
        <w:t xml:space="preserve">. The Borrower agrees that the Loans, and any fees or interest accrued or accruing thereon, shall be repaid and prepaid solely in U.S. dollars in accordance with </w:t>
      </w:r>
      <w:r>
        <w:rPr>
          <w:rFonts w:ascii="Arial" w:cs="Arial" w:eastAsia="Arial" w:hAnsi="Arial"/>
          <w:sz w:val="22"/>
          <w:szCs w:val="22"/>
          <w:u w:val="single" w:color="auto"/>
          <w:color w:val="auto"/>
        </w:rPr>
        <w:t>Section 4.4(a)</w:t>
      </w:r>
      <w:r>
        <w:rPr>
          <w:rFonts w:ascii="Arial" w:cs="Arial" w:eastAsia="Arial" w:hAnsi="Arial"/>
          <w:sz w:val="22"/>
          <w:szCs w:val="22"/>
          <w:color w:val="auto"/>
        </w:rPr>
        <w:t xml:space="preserve"> pursuant to the terms of this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18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Amortization; Repayments and Prepayments</w:t>
      </w:r>
      <w:r>
        <w:rPr>
          <w:rFonts w:ascii="Arial" w:cs="Arial" w:eastAsia="Arial" w:hAnsi="Arial"/>
          <w:sz w:val="19"/>
          <w:szCs w:val="19"/>
          <w:color w:val="auto"/>
        </w:rPr>
        <w:t>. If, on the last day of any Fiscal Quarter set forth in the first column of the chart below (each such date, a “</w:t>
      </w:r>
      <w:r>
        <w:rPr>
          <w:rFonts w:ascii="Arial" w:cs="Arial" w:eastAsia="Arial" w:hAnsi="Arial"/>
          <w:sz w:val="19"/>
          <w:szCs w:val="19"/>
          <w:u w:val="single" w:color="auto"/>
          <w:color w:val="auto"/>
        </w:rPr>
        <w:t>Test Date</w:t>
      </w:r>
      <w:r>
        <w:rPr>
          <w:rFonts w:ascii="Arial" w:cs="Arial" w:eastAsia="Arial" w:hAnsi="Arial"/>
          <w:sz w:val="19"/>
          <w:szCs w:val="19"/>
          <w:color w:val="auto"/>
        </w:rPr>
        <w:t>”), the Product Revenue Base on a trailing 12-month basis does not equal or exceed the amount set forth in the second column of the chart below (in the corresponding row), then, from and after the Fiscal Quarter immediately following the applicable Test Date, the Borrower shall repay the outstanding principal amount of the Loans on the last day of each Fiscal Quarter (provided that if such day is not a Business Day, then such repayment shall be made on the next succeeding Business Day) (each such date, an “</w:t>
      </w:r>
      <w:r>
        <w:rPr>
          <w:rFonts w:ascii="Arial" w:cs="Arial" w:eastAsia="Arial" w:hAnsi="Arial"/>
          <w:sz w:val="19"/>
          <w:szCs w:val="19"/>
          <w:u w:val="single" w:color="auto"/>
          <w:color w:val="auto"/>
        </w:rPr>
        <w:t>Amortization Payment Date</w:t>
      </w:r>
      <w:r>
        <w:rPr>
          <w:rFonts w:ascii="Arial" w:cs="Arial" w:eastAsia="Arial" w:hAnsi="Arial"/>
          <w:sz w:val="19"/>
          <w:szCs w:val="19"/>
          <w:color w:val="auto"/>
        </w:rPr>
        <w:t>”), in equal quarterly installments equal to 5.00% of the outstanding principal amount of the Loans on the applicable Test Date on which the Borrower first failed to satisfy the Product Revenue Base test set forth herein through the Maturity Date (each an “</w:t>
      </w:r>
      <w:r>
        <w:rPr>
          <w:rFonts w:ascii="Arial" w:cs="Arial" w:eastAsia="Arial" w:hAnsi="Arial"/>
          <w:sz w:val="19"/>
          <w:szCs w:val="19"/>
          <w:u w:val="single" w:color="auto"/>
          <w:color w:val="auto"/>
        </w:rPr>
        <w:t>Amortization Payment</w:t>
      </w:r>
      <w:r>
        <w:rPr>
          <w:rFonts w:ascii="Arial" w:cs="Arial" w:eastAsia="Arial" w:hAnsi="Arial"/>
          <w:sz w:val="19"/>
          <w:szCs w:val="19"/>
          <w:color w:val="auto"/>
        </w:rPr>
        <w:t>”), together with the applicable Repayment Premium and the Exit Fee, unless sooner required to be repaid pursuant to the terms of this Agreement.</w:t>
      </w:r>
    </w:p>
    <w:p>
      <w:pPr>
        <w:spacing w:after="0" w:line="180" w:lineRule="exact"/>
        <w:rPr>
          <w:sz w:val="20"/>
          <w:szCs w:val="20"/>
          <w:color w:val="auto"/>
        </w:rPr>
      </w:pPr>
    </w:p>
    <w:tbl>
      <w:tblPr>
        <w:tblLayout w:type="fixed"/>
        <w:tblInd w:w="840" w:type="dxa"/>
        <w:tblCellMar>
          <w:top w:w="0" w:type="dxa"/>
          <w:left w:w="0" w:type="dxa"/>
          <w:bottom w:w="0" w:type="dxa"/>
          <w:right w:w="0" w:type="dxa"/>
        </w:tblCellMar>
      </w:tblPr>
      <w:tr>
        <w:trPr>
          <w:trHeight w:val="297"/>
        </w:trPr>
        <w:tc>
          <w:tcPr>
            <w:tcW w:w="4540" w:type="dxa"/>
            <w:vAlign w:val="bottom"/>
            <w:shd w:val="clear" w:color="auto" w:fill="D9D9D9"/>
          </w:tcPr>
          <w:p>
            <w:pPr>
              <w:ind w:left="80"/>
              <w:spacing w:after="0"/>
              <w:rPr>
                <w:sz w:val="20"/>
                <w:szCs w:val="20"/>
                <w:color w:val="auto"/>
              </w:rPr>
            </w:pPr>
            <w:r>
              <w:rPr>
                <w:rFonts w:ascii="Arial" w:cs="Arial" w:eastAsia="Arial" w:hAnsi="Arial"/>
                <w:sz w:val="22"/>
                <w:szCs w:val="22"/>
                <w:b w:val="1"/>
                <w:bCs w:val="1"/>
                <w:color w:val="auto"/>
              </w:rPr>
              <w:t>Test Dates (Fiscal Quarter Ending)</w:t>
            </w:r>
          </w:p>
        </w:tc>
        <w:tc>
          <w:tcPr>
            <w:tcW w:w="5000" w:type="dxa"/>
            <w:vAlign w:val="bottom"/>
            <w:shd w:val="clear" w:color="auto" w:fill="D9D9D9"/>
          </w:tcPr>
          <w:p>
            <w:pPr>
              <w:ind w:left="120"/>
              <w:spacing w:after="0"/>
              <w:rPr>
                <w:sz w:val="20"/>
                <w:szCs w:val="20"/>
                <w:color w:val="auto"/>
              </w:rPr>
            </w:pPr>
            <w:r>
              <w:rPr>
                <w:rFonts w:ascii="Arial" w:cs="Arial" w:eastAsia="Arial" w:hAnsi="Arial"/>
                <w:sz w:val="22"/>
                <w:szCs w:val="22"/>
                <w:b w:val="1"/>
                <w:bCs w:val="1"/>
                <w:color w:val="auto"/>
                <w:w w:val="98"/>
              </w:rPr>
              <w:t>Product Revenue Base for the 12-month period</w:t>
            </w:r>
          </w:p>
        </w:tc>
      </w:tr>
      <w:tr>
        <w:trPr>
          <w:trHeight w:val="280"/>
        </w:trPr>
        <w:tc>
          <w:tcPr>
            <w:tcW w:w="4540" w:type="dxa"/>
            <w:vAlign w:val="bottom"/>
            <w:shd w:val="clear" w:color="auto" w:fill="D9D9D9"/>
          </w:tcPr>
          <w:p>
            <w:pPr>
              <w:spacing w:after="0"/>
              <w:rPr>
                <w:sz w:val="24"/>
                <w:szCs w:val="24"/>
                <w:color w:val="auto"/>
              </w:rPr>
            </w:pPr>
          </w:p>
        </w:tc>
        <w:tc>
          <w:tcPr>
            <w:tcW w:w="5000" w:type="dxa"/>
            <w:vAlign w:val="bottom"/>
            <w:shd w:val="clear" w:color="auto" w:fill="D9D9D9"/>
          </w:tcPr>
          <w:p>
            <w:pPr>
              <w:ind w:left="120"/>
              <w:spacing w:after="0"/>
              <w:rPr>
                <w:sz w:val="20"/>
                <w:szCs w:val="20"/>
                <w:color w:val="auto"/>
              </w:rPr>
            </w:pPr>
            <w:r>
              <w:rPr>
                <w:rFonts w:ascii="Arial" w:cs="Arial" w:eastAsia="Arial" w:hAnsi="Arial"/>
                <w:sz w:val="22"/>
                <w:szCs w:val="22"/>
                <w:b w:val="1"/>
                <w:bCs w:val="1"/>
                <w:color w:val="auto"/>
              </w:rPr>
              <w:t>ending on such Test Date</w:t>
            </w:r>
          </w:p>
        </w:tc>
      </w:tr>
      <w:tr>
        <w:trPr>
          <w:trHeight w:val="84"/>
        </w:trPr>
        <w:tc>
          <w:tcPr>
            <w:tcW w:w="4540" w:type="dxa"/>
            <w:vAlign w:val="bottom"/>
            <w:shd w:val="clear" w:color="auto" w:fill="D9D9D9"/>
          </w:tcPr>
          <w:p>
            <w:pPr>
              <w:spacing w:after="0"/>
              <w:rPr>
                <w:sz w:val="7"/>
                <w:szCs w:val="7"/>
                <w:color w:val="auto"/>
              </w:rPr>
            </w:pPr>
          </w:p>
        </w:tc>
        <w:tc>
          <w:tcPr>
            <w:tcW w:w="5000" w:type="dxa"/>
            <w:vAlign w:val="bottom"/>
            <w:shd w:val="clear" w:color="auto" w:fill="D9D9D9"/>
          </w:tcPr>
          <w:p>
            <w:pPr>
              <w:spacing w:after="0"/>
              <w:rPr>
                <w:sz w:val="7"/>
                <w:szCs w:val="7"/>
                <w:color w:val="auto"/>
              </w:rPr>
            </w:pPr>
          </w:p>
        </w:tc>
      </w:tr>
      <w:tr>
        <w:trPr>
          <w:trHeight w:val="262"/>
        </w:trPr>
        <w:tc>
          <w:tcPr>
            <w:tcW w:w="4540" w:type="dxa"/>
            <w:vAlign w:val="bottom"/>
          </w:tcPr>
          <w:p>
            <w:pPr>
              <w:ind w:left="20"/>
              <w:spacing w:after="0"/>
              <w:rPr>
                <w:sz w:val="20"/>
                <w:szCs w:val="20"/>
                <w:color w:val="auto"/>
              </w:rPr>
            </w:pPr>
            <w:r>
              <w:rPr>
                <w:rFonts w:ascii="Arial" w:cs="Arial" w:eastAsia="Arial" w:hAnsi="Arial"/>
                <w:sz w:val="22"/>
                <w:szCs w:val="22"/>
                <w:color w:val="auto"/>
              </w:rPr>
              <w:t>December 31, 2024</w:t>
            </w:r>
          </w:p>
        </w:tc>
        <w:tc>
          <w:tcPr>
            <w:tcW w:w="5000" w:type="dxa"/>
            <w:vAlign w:val="bottom"/>
          </w:tcPr>
          <w:p>
            <w:pPr>
              <w:jc w:val="center"/>
              <w:ind w:left="12"/>
              <w:spacing w:after="0"/>
              <w:rPr>
                <w:sz w:val="20"/>
                <w:szCs w:val="20"/>
                <w:color w:val="auto"/>
              </w:rPr>
            </w:pPr>
            <w:r>
              <w:rPr>
                <w:rFonts w:ascii="Arial" w:cs="Arial" w:eastAsia="Arial" w:hAnsi="Arial"/>
                <w:sz w:val="22"/>
                <w:szCs w:val="22"/>
                <w:color w:val="auto"/>
                <w:w w:val="88"/>
              </w:rPr>
              <w:t>$67,500,000</w:t>
            </w:r>
          </w:p>
        </w:tc>
      </w:tr>
      <w:tr>
        <w:trPr>
          <w:trHeight w:val="270"/>
        </w:trPr>
        <w:tc>
          <w:tcPr>
            <w:tcW w:w="4540" w:type="dxa"/>
            <w:vAlign w:val="bottom"/>
          </w:tcPr>
          <w:p>
            <w:pPr>
              <w:ind w:left="20"/>
              <w:spacing w:after="0"/>
              <w:rPr>
                <w:sz w:val="20"/>
                <w:szCs w:val="20"/>
                <w:color w:val="auto"/>
              </w:rPr>
            </w:pPr>
            <w:r>
              <w:rPr>
                <w:rFonts w:ascii="Arial" w:cs="Arial" w:eastAsia="Arial" w:hAnsi="Arial"/>
                <w:sz w:val="22"/>
                <w:szCs w:val="22"/>
                <w:color w:val="auto"/>
              </w:rPr>
              <w:t>March 31, 2025</w:t>
            </w:r>
          </w:p>
        </w:tc>
        <w:tc>
          <w:tcPr>
            <w:tcW w:w="5000" w:type="dxa"/>
            <w:vAlign w:val="bottom"/>
          </w:tcPr>
          <w:p>
            <w:pPr>
              <w:jc w:val="center"/>
              <w:ind w:left="12"/>
              <w:spacing w:after="0"/>
              <w:rPr>
                <w:sz w:val="20"/>
                <w:szCs w:val="20"/>
                <w:color w:val="auto"/>
              </w:rPr>
            </w:pPr>
            <w:r>
              <w:rPr>
                <w:rFonts w:ascii="Arial" w:cs="Arial" w:eastAsia="Arial" w:hAnsi="Arial"/>
                <w:sz w:val="22"/>
                <w:szCs w:val="22"/>
                <w:color w:val="auto"/>
                <w:w w:val="88"/>
              </w:rPr>
              <w:t>$75,000,000</w:t>
            </w:r>
          </w:p>
        </w:tc>
      </w:tr>
      <w:tr>
        <w:trPr>
          <w:trHeight w:val="270"/>
        </w:trPr>
        <w:tc>
          <w:tcPr>
            <w:tcW w:w="4540" w:type="dxa"/>
            <w:vAlign w:val="bottom"/>
          </w:tcPr>
          <w:p>
            <w:pPr>
              <w:ind w:left="20"/>
              <w:spacing w:after="0"/>
              <w:rPr>
                <w:sz w:val="20"/>
                <w:szCs w:val="20"/>
                <w:color w:val="auto"/>
              </w:rPr>
            </w:pPr>
            <w:r>
              <w:rPr>
                <w:rFonts w:ascii="Arial" w:cs="Arial" w:eastAsia="Arial" w:hAnsi="Arial"/>
                <w:sz w:val="22"/>
                <w:szCs w:val="22"/>
                <w:color w:val="auto"/>
              </w:rPr>
              <w:t>June 30, 2025</w:t>
            </w:r>
          </w:p>
        </w:tc>
        <w:tc>
          <w:tcPr>
            <w:tcW w:w="5000" w:type="dxa"/>
            <w:vAlign w:val="bottom"/>
          </w:tcPr>
          <w:p>
            <w:pPr>
              <w:jc w:val="center"/>
              <w:ind w:left="12"/>
              <w:spacing w:after="0"/>
              <w:rPr>
                <w:sz w:val="20"/>
                <w:szCs w:val="20"/>
                <w:color w:val="auto"/>
              </w:rPr>
            </w:pPr>
            <w:r>
              <w:rPr>
                <w:rFonts w:ascii="Arial" w:cs="Arial" w:eastAsia="Arial" w:hAnsi="Arial"/>
                <w:sz w:val="22"/>
                <w:szCs w:val="22"/>
                <w:color w:val="auto"/>
                <w:w w:val="88"/>
              </w:rPr>
              <w:t>$90,000,000</w:t>
            </w:r>
          </w:p>
        </w:tc>
      </w:tr>
      <w:tr>
        <w:trPr>
          <w:trHeight w:val="270"/>
        </w:trPr>
        <w:tc>
          <w:tcPr>
            <w:tcW w:w="4540" w:type="dxa"/>
            <w:vAlign w:val="bottom"/>
          </w:tcPr>
          <w:p>
            <w:pPr>
              <w:ind w:left="20"/>
              <w:spacing w:after="0"/>
              <w:rPr>
                <w:sz w:val="20"/>
                <w:szCs w:val="20"/>
                <w:color w:val="auto"/>
              </w:rPr>
            </w:pPr>
            <w:r>
              <w:rPr>
                <w:rFonts w:ascii="Arial" w:cs="Arial" w:eastAsia="Arial" w:hAnsi="Arial"/>
                <w:sz w:val="22"/>
                <w:szCs w:val="22"/>
                <w:color w:val="auto"/>
              </w:rPr>
              <w:t>September 30, 2025</w:t>
            </w:r>
          </w:p>
        </w:tc>
        <w:tc>
          <w:tcPr>
            <w:tcW w:w="5000" w:type="dxa"/>
            <w:vAlign w:val="bottom"/>
          </w:tcPr>
          <w:p>
            <w:pPr>
              <w:jc w:val="center"/>
              <w:ind w:left="32"/>
              <w:spacing w:after="0"/>
              <w:rPr>
                <w:sz w:val="20"/>
                <w:szCs w:val="20"/>
                <w:color w:val="auto"/>
              </w:rPr>
            </w:pPr>
            <w:r>
              <w:rPr>
                <w:rFonts w:ascii="Arial" w:cs="Arial" w:eastAsia="Arial" w:hAnsi="Arial"/>
                <w:sz w:val="22"/>
                <w:szCs w:val="22"/>
                <w:color w:val="auto"/>
                <w:w w:val="87"/>
              </w:rPr>
              <w:t>$100,000,000</w:t>
            </w:r>
          </w:p>
        </w:tc>
      </w:tr>
      <w:tr>
        <w:trPr>
          <w:trHeight w:val="243"/>
        </w:trPr>
        <w:tc>
          <w:tcPr>
            <w:tcW w:w="4540" w:type="dxa"/>
            <w:vAlign w:val="bottom"/>
          </w:tcPr>
          <w:p>
            <w:pPr>
              <w:ind w:left="20"/>
              <w:spacing w:after="0" w:line="243" w:lineRule="exact"/>
              <w:rPr>
                <w:sz w:val="20"/>
                <w:szCs w:val="20"/>
                <w:color w:val="auto"/>
              </w:rPr>
            </w:pPr>
            <w:r>
              <w:rPr>
                <w:rFonts w:ascii="Arial" w:cs="Arial" w:eastAsia="Arial" w:hAnsi="Arial"/>
                <w:sz w:val="22"/>
                <w:szCs w:val="22"/>
                <w:color w:val="auto"/>
                <w:w w:val="95"/>
              </w:rPr>
              <w:t>December  31,  2025  and  each  Fiscal  Quarter</w:t>
            </w:r>
          </w:p>
        </w:tc>
        <w:tc>
          <w:tcPr>
            <w:tcW w:w="500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7"/>
              </w:rPr>
              <w:t>$115,000,000</w:t>
            </w:r>
          </w:p>
        </w:tc>
      </w:tr>
      <w:tr>
        <w:trPr>
          <w:trHeight w:val="274"/>
        </w:trPr>
        <w:tc>
          <w:tcPr>
            <w:tcW w:w="4540" w:type="dxa"/>
            <w:vAlign w:val="bottom"/>
          </w:tcPr>
          <w:p>
            <w:pPr>
              <w:ind w:left="20"/>
              <w:spacing w:after="0"/>
              <w:rPr>
                <w:sz w:val="20"/>
                <w:szCs w:val="20"/>
                <w:color w:val="auto"/>
              </w:rPr>
            </w:pPr>
            <w:r>
              <w:rPr>
                <w:rFonts w:ascii="Arial" w:cs="Arial" w:eastAsia="Arial" w:hAnsi="Arial"/>
                <w:sz w:val="22"/>
                <w:szCs w:val="22"/>
                <w:color w:val="auto"/>
              </w:rPr>
              <w:t>ending thereafter</w:t>
            </w:r>
          </w:p>
        </w:tc>
        <w:tc>
          <w:tcPr>
            <w:tcW w:w="5000" w:type="dxa"/>
            <w:vAlign w:val="bottom"/>
          </w:tcPr>
          <w:p>
            <w:pPr>
              <w:spacing w:after="0"/>
              <w:rPr>
                <w:sz w:val="23"/>
                <w:szCs w:val="23"/>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The Borrower shall repay in full the unpaid principal amount of the Loans on the Maturity Date without premium or penalty (other than the Exit Fee as specified in </w:t>
      </w:r>
      <w:r>
        <w:rPr>
          <w:rFonts w:ascii="Arial" w:cs="Arial" w:eastAsia="Arial" w:hAnsi="Arial"/>
          <w:sz w:val="22"/>
          <w:szCs w:val="22"/>
          <w:u w:val="single" w:color="auto"/>
          <w:color w:val="auto"/>
        </w:rPr>
        <w:t>Section 3.8</w:t>
      </w:r>
      <w:r>
        <w:rPr>
          <w:rFonts w:ascii="Arial" w:cs="Arial" w:eastAsia="Arial" w:hAnsi="Arial"/>
          <w:sz w:val="22"/>
          <w:szCs w:val="22"/>
          <w:color w:val="auto"/>
        </w:rPr>
        <w:t xml:space="preserve"> 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at any time prior to the Maturity Date, payments and prepayments of the Loans shall also be made as set forth below:</w:t>
      </w:r>
    </w:p>
    <w:p>
      <w:pPr>
        <w:spacing w:after="0" w:line="186" w:lineRule="exact"/>
        <w:rPr>
          <w:sz w:val="20"/>
          <w:szCs w:val="20"/>
          <w:color w:val="auto"/>
        </w:rPr>
      </w:pPr>
    </w:p>
    <w:p>
      <w:pPr>
        <w:jc w:val="both"/>
        <w:ind w:left="760" w:firstLine="745"/>
        <w:spacing w:after="0" w:line="238" w:lineRule="auto"/>
        <w:tabs>
          <w:tab w:leader="none" w:pos="1941"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Borrower shall have the right, with at least three Business Days’ notice to the Administrative Agent, at any time and from time to time (including in anticipation of or concurrently with the consummation of a Change in Control) to prepay any unpaid principal amount of the Loans, in whole or in part, together with the applicable Repayment Premium and the Exit Fee.</w:t>
      </w:r>
    </w:p>
    <w:p>
      <w:pPr>
        <w:spacing w:after="0" w:line="184" w:lineRule="exact"/>
        <w:rPr>
          <w:rFonts w:ascii="Arial" w:cs="Arial" w:eastAsia="Arial" w:hAnsi="Arial"/>
          <w:sz w:val="22"/>
          <w:szCs w:val="22"/>
          <w:color w:val="auto"/>
        </w:rPr>
      </w:pPr>
    </w:p>
    <w:p>
      <w:pPr>
        <w:jc w:val="both"/>
        <w:ind w:left="760" w:firstLine="745"/>
        <w:spacing w:after="0" w:line="287" w:lineRule="auto"/>
        <w:tabs>
          <w:tab w:leader="none" w:pos="1941" w:val="left"/>
        </w:tabs>
        <w:numPr>
          <w:ilvl w:val="0"/>
          <w:numId w:val="36"/>
        </w:numPr>
        <w:rPr>
          <w:rFonts w:ascii="Arial" w:cs="Arial" w:eastAsia="Arial" w:hAnsi="Arial"/>
          <w:sz w:val="19"/>
          <w:szCs w:val="19"/>
          <w:color w:val="auto"/>
        </w:rPr>
      </w:pPr>
      <w:r>
        <w:rPr>
          <w:rFonts w:ascii="Arial" w:cs="Arial" w:eastAsia="Arial" w:hAnsi="Arial"/>
          <w:sz w:val="19"/>
          <w:szCs w:val="19"/>
          <w:color w:val="auto"/>
        </w:rPr>
        <w:t>Within three Business Days of receipt by the Borrower or any Subsidiary of any (i) Net Casualty Proceeds or (ii) Net Asset Sales Proceeds, the Borrower shall notify the Administrative Agent and the Lenders thereof. If requested by the Lenders, the Borrower shall within three Business Days of such request make a mandatory prepayment of the Loans, in an amount equal to 100% of such proceeds (or such lesser amount as the</w:t>
      </w:r>
    </w:p>
    <w:p>
      <w:pPr>
        <w:spacing w:after="0" w:line="142" w:lineRule="exact"/>
        <w:rPr>
          <w:rFonts w:ascii="Arial" w:cs="Arial" w:eastAsia="Arial" w:hAnsi="Arial"/>
          <w:sz w:val="19"/>
          <w:szCs w:val="19"/>
          <w:color w:val="auto"/>
        </w:rPr>
      </w:pPr>
    </w:p>
    <w:p>
      <w:pPr>
        <w:ind w:left="5520" w:hanging="130"/>
        <w:spacing w:after="0"/>
        <w:tabs>
          <w:tab w:leader="none" w:pos="5520" w:val="left"/>
        </w:tabs>
        <w:numPr>
          <w:ilvl w:val="1"/>
          <w:numId w:val="36"/>
        </w:numPr>
        <w:rPr>
          <w:rFonts w:ascii="Arial" w:cs="Arial" w:eastAsia="Arial" w:hAnsi="Arial"/>
          <w:sz w:val="22"/>
          <w:szCs w:val="22"/>
          <w:color w:val="auto"/>
        </w:rPr>
      </w:pPr>
      <w:r>
        <w:rPr>
          <w:rFonts w:ascii="Arial" w:cs="Arial" w:eastAsia="Arial" w:hAnsi="Arial"/>
          <w:sz w:val="22"/>
          <w:szCs w:val="22"/>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1" w:name="page62"/>
    <w:bookmarkEnd w:id="61"/>
    <w:p>
      <w:pPr>
        <w:ind w:left="760"/>
        <w:spacing w:after="0" w:line="250" w:lineRule="auto"/>
        <w:rPr>
          <w:sz w:val="20"/>
          <w:szCs w:val="20"/>
          <w:color w:val="auto"/>
        </w:rPr>
      </w:pPr>
      <w:r>
        <w:rPr>
          <w:rFonts w:ascii="Arial" w:cs="Arial" w:eastAsia="Arial" w:hAnsi="Arial"/>
          <w:sz w:val="22"/>
          <w:szCs w:val="22"/>
          <w:color w:val="auto"/>
        </w:rPr>
        <w:t xml:space="preserve">Lenders may specify on the date of such request), together with the applicable Repayment Premium and the Exit Fee, to be applied as set forth in </w:t>
      </w:r>
      <w:r>
        <w:rPr>
          <w:rFonts w:ascii="Arial" w:cs="Arial" w:eastAsia="Arial" w:hAnsi="Arial"/>
          <w:sz w:val="22"/>
          <w:szCs w:val="22"/>
          <w:u w:val="single" w:color="auto"/>
          <w:color w:val="auto"/>
        </w:rPr>
        <w:t>Section 3.3</w:t>
      </w:r>
      <w:r>
        <w:rPr>
          <w:rFonts w:ascii="Arial" w:cs="Arial" w:eastAsia="Arial" w:hAnsi="Arial"/>
          <w:sz w:val="22"/>
          <w:szCs w:val="22"/>
          <w:color w:val="auto"/>
        </w:rPr>
        <w:t>.</w:t>
      </w:r>
    </w:p>
    <w:p>
      <w:pPr>
        <w:spacing w:after="0" w:line="175" w:lineRule="exact"/>
        <w:rPr>
          <w:sz w:val="20"/>
          <w:szCs w:val="20"/>
          <w:color w:val="auto"/>
        </w:rPr>
      </w:pPr>
    </w:p>
    <w:p>
      <w:pPr>
        <w:jc w:val="both"/>
        <w:ind w:left="760" w:firstLine="745"/>
        <w:spacing w:after="0" w:line="238" w:lineRule="auto"/>
        <w:tabs>
          <w:tab w:leader="none" w:pos="1941"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The Borrower shall repay the Loans in full immediately upon any acceleration of the Maturity Date thereof pursuant to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9.3</w:t>
      </w:r>
      <w:r>
        <w:rPr>
          <w:rFonts w:ascii="Arial" w:cs="Arial" w:eastAsia="Arial" w:hAnsi="Arial"/>
          <w:sz w:val="22"/>
          <w:szCs w:val="22"/>
          <w:color w:val="auto"/>
        </w:rPr>
        <w:t xml:space="preserve">, unless, pursuant to </w:t>
      </w:r>
      <w:r>
        <w:rPr>
          <w:rFonts w:ascii="Arial" w:cs="Arial" w:eastAsia="Arial" w:hAnsi="Arial"/>
          <w:sz w:val="22"/>
          <w:szCs w:val="22"/>
          <w:u w:val="single" w:color="auto"/>
          <w:color w:val="auto"/>
        </w:rPr>
        <w:t>Section 9.3</w:t>
      </w:r>
      <w:r>
        <w:rPr>
          <w:rFonts w:ascii="Arial" w:cs="Arial" w:eastAsia="Arial" w:hAnsi="Arial"/>
          <w:sz w:val="22"/>
          <w:szCs w:val="22"/>
          <w:color w:val="auto"/>
        </w:rPr>
        <w:t>, only a portion of the Loans is so accelerated (in which case the portion so accelerated shall be so repaid), in each case together with the applicable Repayment Premium and the Exit Fee.</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u w:val="single" w:color="auto"/>
          <w:color w:val="auto"/>
        </w:rPr>
        <w:t>Application</w:t>
      </w:r>
      <w:r>
        <w:rPr>
          <w:rFonts w:ascii="Arial" w:cs="Arial" w:eastAsia="Arial" w:hAnsi="Arial"/>
          <w:sz w:val="22"/>
          <w:szCs w:val="22"/>
          <w:color w:val="auto"/>
        </w:rPr>
        <w:t xml:space="preserve">. Amounts repaid or prepaid in respect of the outstanding principal amount of the Loans pursuant to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shall be applied in the inverse order of maturity and pro rata to the Initial Loan, the First Delayed Draw Loan and the Second Delayed Draw Loan.</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u w:val="single" w:color="auto"/>
          <w:color w:val="auto"/>
        </w:rPr>
        <w:t>Interest Rate.</w:t>
      </w:r>
    </w:p>
    <w:p>
      <w:pPr>
        <w:spacing w:after="0" w:line="206" w:lineRule="exact"/>
        <w:rPr>
          <w:sz w:val="20"/>
          <w:szCs w:val="20"/>
          <w:color w:val="auto"/>
        </w:rPr>
      </w:pPr>
    </w:p>
    <w:p>
      <w:pPr>
        <w:jc w:val="both"/>
        <w:ind w:left="760" w:firstLine="745"/>
        <w:spacing w:after="0"/>
        <w:tabs>
          <w:tab w:leader="none" w:pos="1941"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During each Interest Period, interest payable in cash by the Borrower shall accrue on the Loans during such Interest Period at a rate per annum equal to the higher of (x) the SOFR Rate for such Interest Period and (y) 4.00% </w:t>
      </w:r>
      <w:r>
        <w:rPr>
          <w:rFonts w:ascii="Arial" w:cs="Arial" w:eastAsia="Arial" w:hAnsi="Arial"/>
          <w:sz w:val="22"/>
          <w:szCs w:val="22"/>
          <w:u w:val="single" w:color="auto"/>
          <w:color w:val="auto"/>
        </w:rPr>
        <w:t>plus</w:t>
      </w:r>
      <w:r>
        <w:rPr>
          <w:rFonts w:ascii="Arial" w:cs="Arial" w:eastAsia="Arial" w:hAnsi="Arial"/>
          <w:sz w:val="22"/>
          <w:szCs w:val="22"/>
          <w:color w:val="auto"/>
        </w:rPr>
        <w:t>, in either case, the Applicable Margin.</w:t>
      </w:r>
    </w:p>
    <w:p>
      <w:pPr>
        <w:spacing w:after="0" w:line="186" w:lineRule="exact"/>
        <w:rPr>
          <w:rFonts w:ascii="Arial" w:cs="Arial" w:eastAsia="Arial" w:hAnsi="Arial"/>
          <w:sz w:val="22"/>
          <w:szCs w:val="22"/>
          <w:color w:val="auto"/>
        </w:rPr>
      </w:pPr>
    </w:p>
    <w:p>
      <w:pPr>
        <w:ind w:left="760" w:right="40" w:firstLine="745"/>
        <w:spacing w:after="0" w:line="250" w:lineRule="auto"/>
        <w:tabs>
          <w:tab w:leader="none" w:pos="1941"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interest rate shall be recalculated and, if necessary, adjusted for each Interest Period, in each case pursuant to the terms hereof.</w:t>
      </w:r>
    </w:p>
    <w:p>
      <w:pPr>
        <w:spacing w:after="0" w:line="175" w:lineRule="exact"/>
        <w:rPr>
          <w:sz w:val="20"/>
          <w:szCs w:val="20"/>
          <w:color w:val="auto"/>
        </w:rPr>
      </w:pPr>
    </w:p>
    <w:p>
      <w:pPr>
        <w:ind w:right="20" w:firstLine="749"/>
        <w:spacing w:after="0" w:line="274" w:lineRule="auto"/>
        <w:rPr>
          <w:sz w:val="20"/>
          <w:szCs w:val="20"/>
          <w:color w:val="auto"/>
        </w:rPr>
      </w:pPr>
      <w:r>
        <w:rPr>
          <w:rFonts w:ascii="Arial" w:cs="Arial" w:eastAsia="Arial" w:hAnsi="Arial"/>
          <w:sz w:val="21"/>
          <w:szCs w:val="21"/>
          <w:color w:val="auto"/>
        </w:rPr>
        <w:t xml:space="preserve">SECTION 3.5 </w:t>
      </w:r>
      <w:r>
        <w:rPr>
          <w:rFonts w:ascii="Arial" w:cs="Arial" w:eastAsia="Arial" w:hAnsi="Arial"/>
          <w:sz w:val="21"/>
          <w:szCs w:val="21"/>
          <w:u w:val="single" w:color="auto"/>
          <w:color w:val="auto"/>
        </w:rPr>
        <w:t>Default Rate</w:t>
      </w:r>
      <w:r>
        <w:rPr>
          <w:rFonts w:ascii="Arial" w:cs="Arial" w:eastAsia="Arial" w:hAnsi="Arial"/>
          <w:sz w:val="21"/>
          <w:szCs w:val="21"/>
          <w:color w:val="auto"/>
        </w:rPr>
        <w:t>. At all times commencing upon the date any Event of Default occurs, and continuing until such Event of Default is no longer continuing, the Applicable Margin shall be increased by 4.00% per annum.</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3.6 </w:t>
      </w:r>
      <w:r>
        <w:rPr>
          <w:rFonts w:ascii="Arial" w:cs="Arial" w:eastAsia="Arial" w:hAnsi="Arial"/>
          <w:sz w:val="22"/>
          <w:szCs w:val="22"/>
          <w:u w:val="single" w:color="auto"/>
          <w:color w:val="auto"/>
        </w:rPr>
        <w:t>Payment Dates</w:t>
      </w:r>
      <w:r>
        <w:rPr>
          <w:rFonts w:ascii="Arial" w:cs="Arial" w:eastAsia="Arial" w:hAnsi="Arial"/>
          <w:sz w:val="22"/>
          <w:szCs w:val="22"/>
          <w:color w:val="auto"/>
        </w:rPr>
        <w:t>. Interest accrued on the Loans shall be payable in cash, without duplication:</w:t>
      </w:r>
    </w:p>
    <w:p>
      <w:pPr>
        <w:spacing w:after="0" w:line="206" w:lineRule="exact"/>
        <w:rPr>
          <w:sz w:val="20"/>
          <w:szCs w:val="20"/>
          <w:color w:val="auto"/>
        </w:rPr>
      </w:pPr>
    </w:p>
    <w:p>
      <w:pPr>
        <w:ind w:left="1940" w:hanging="435"/>
        <w:spacing w:after="0"/>
        <w:tabs>
          <w:tab w:leader="none" w:pos="19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on the Maturity Date therefor;</w:t>
      </w:r>
    </w:p>
    <w:p>
      <w:pPr>
        <w:spacing w:after="0" w:line="206" w:lineRule="exact"/>
        <w:rPr>
          <w:rFonts w:ascii="Arial" w:cs="Arial" w:eastAsia="Arial" w:hAnsi="Arial"/>
          <w:sz w:val="22"/>
          <w:szCs w:val="22"/>
          <w:color w:val="auto"/>
        </w:rPr>
      </w:pPr>
    </w:p>
    <w:p>
      <w:pPr>
        <w:ind w:left="760" w:right="20" w:firstLine="745"/>
        <w:spacing w:after="0" w:line="250" w:lineRule="auto"/>
        <w:tabs>
          <w:tab w:leader="none" w:pos="1941" w:val="left"/>
        </w:tabs>
        <w:numPr>
          <w:ilvl w:val="0"/>
          <w:numId w:val="39"/>
        </w:numPr>
        <w:rPr>
          <w:rFonts w:ascii="Arial" w:cs="Arial" w:eastAsia="Arial" w:hAnsi="Arial"/>
          <w:sz w:val="22"/>
          <w:szCs w:val="22"/>
          <w:color w:val="auto"/>
        </w:rPr>
      </w:pPr>
      <w:r>
        <w:rPr>
          <w:rFonts w:ascii="Arial" w:cs="Arial" w:eastAsia="Arial" w:hAnsi="Arial"/>
          <w:sz w:val="22"/>
          <w:szCs w:val="22"/>
          <w:color w:val="auto"/>
        </w:rPr>
        <w:t>on the date of any payment or prepayment, in whole or in part, of principal outstanding on such Loan on the principal amount so paid or prepaid;</w:t>
      </w:r>
    </w:p>
    <w:p>
      <w:pPr>
        <w:spacing w:after="0" w:line="174" w:lineRule="exact"/>
        <w:rPr>
          <w:rFonts w:ascii="Arial" w:cs="Arial" w:eastAsia="Arial" w:hAnsi="Arial"/>
          <w:sz w:val="22"/>
          <w:szCs w:val="22"/>
          <w:color w:val="auto"/>
        </w:rPr>
      </w:pPr>
    </w:p>
    <w:p>
      <w:pPr>
        <w:ind w:left="760" w:firstLine="745"/>
        <w:spacing w:after="0" w:line="250" w:lineRule="auto"/>
        <w:tabs>
          <w:tab w:leader="none" w:pos="1941"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on the last day of each month;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such day is not a Business Day, then such payment shall be made on the next succeeding Business Day; and</w:t>
      </w:r>
    </w:p>
    <w:p>
      <w:pPr>
        <w:spacing w:after="0" w:line="174" w:lineRule="exact"/>
        <w:rPr>
          <w:rFonts w:ascii="Arial" w:cs="Arial" w:eastAsia="Arial" w:hAnsi="Arial"/>
          <w:sz w:val="22"/>
          <w:szCs w:val="22"/>
          <w:color w:val="auto"/>
        </w:rPr>
      </w:pPr>
    </w:p>
    <w:p>
      <w:pPr>
        <w:ind w:left="760" w:firstLine="745"/>
        <w:spacing w:after="0" w:line="250" w:lineRule="auto"/>
        <w:tabs>
          <w:tab w:leader="none" w:pos="1941"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on that portion of the Loans that is accelerated pursuant to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9.3</w:t>
      </w:r>
      <w:r>
        <w:rPr>
          <w:rFonts w:ascii="Arial" w:cs="Arial" w:eastAsia="Arial" w:hAnsi="Arial"/>
          <w:sz w:val="22"/>
          <w:szCs w:val="22"/>
          <w:color w:val="auto"/>
        </w:rPr>
        <w:t>, immediately upon such acceleration.</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Interest accrued on the Loans or other monetary Obligations after the date such amount is due and payable (whether on the Maturity Date, upon acceleration or otherwise) shall be payable upon demand.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2" w:name="page63"/>
    <w:bookmarkEnd w:id="62"/>
    <w:p>
      <w:pPr>
        <w:jc w:val="both"/>
        <w:ind w:right="20" w:firstLine="749"/>
        <w:spacing w:after="0"/>
        <w:rPr>
          <w:sz w:val="20"/>
          <w:szCs w:val="20"/>
          <w:color w:val="auto"/>
        </w:rPr>
      </w:pPr>
      <w:r>
        <w:rPr>
          <w:rFonts w:ascii="Arial" w:cs="Arial" w:eastAsia="Arial" w:hAnsi="Arial"/>
          <w:sz w:val="22"/>
          <w:szCs w:val="22"/>
          <w:color w:val="auto"/>
        </w:rPr>
        <w:t xml:space="preserve">SECTION 3.7 </w:t>
      </w:r>
      <w:r>
        <w:rPr>
          <w:rFonts w:ascii="Arial" w:cs="Arial" w:eastAsia="Arial" w:hAnsi="Arial"/>
          <w:sz w:val="22"/>
          <w:szCs w:val="22"/>
          <w:u w:val="single" w:color="auto"/>
          <w:color w:val="auto"/>
        </w:rPr>
        <w:t>Repayment Premium</w:t>
      </w:r>
      <w:r>
        <w:rPr>
          <w:rFonts w:ascii="Arial" w:cs="Arial" w:eastAsia="Arial" w:hAnsi="Arial"/>
          <w:sz w:val="22"/>
          <w:szCs w:val="22"/>
          <w:color w:val="auto"/>
        </w:rPr>
        <w:t xml:space="preserve">. Any repayment or prepayment of principal of all or any portion of any Loans pursuant to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9.2, Section 9.3</w:t>
      </w:r>
      <w:r>
        <w:rPr>
          <w:rFonts w:ascii="Arial" w:cs="Arial" w:eastAsia="Arial" w:hAnsi="Arial"/>
          <w:sz w:val="22"/>
          <w:szCs w:val="22"/>
          <w:color w:val="auto"/>
        </w:rPr>
        <w:t xml:space="preserve"> or otherwise (other than any repayments of principal made on the Maturity Date), shall be accompanied by the payment of the applicable Repayment Premium.</w:t>
      </w:r>
    </w:p>
    <w:p>
      <w:pPr>
        <w:spacing w:after="0" w:line="18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 xml:space="preserve">SECTION 3.8 </w:t>
      </w:r>
      <w:r>
        <w:rPr>
          <w:rFonts w:ascii="Arial" w:cs="Arial" w:eastAsia="Arial" w:hAnsi="Arial"/>
          <w:sz w:val="21"/>
          <w:szCs w:val="21"/>
          <w:u w:val="single" w:color="auto"/>
          <w:color w:val="auto"/>
        </w:rPr>
        <w:t>Exit Fee</w:t>
      </w:r>
      <w:r>
        <w:rPr>
          <w:rFonts w:ascii="Arial" w:cs="Arial" w:eastAsia="Arial" w:hAnsi="Arial"/>
          <w:sz w:val="21"/>
          <w:szCs w:val="21"/>
          <w:color w:val="auto"/>
        </w:rPr>
        <w:t xml:space="preserve">. Upon the prepayment or repayment of principal of all or any portion of any Loans (or upon the date any such prepayment or repayment is required to be paid), whether on the Maturity Date, or pursuant to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9.2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9.3</w:t>
      </w:r>
      <w:r>
        <w:rPr>
          <w:rFonts w:ascii="Arial" w:cs="Arial" w:eastAsia="Arial" w:hAnsi="Arial"/>
          <w:sz w:val="21"/>
          <w:szCs w:val="21"/>
          <w:color w:val="auto"/>
        </w:rPr>
        <w:t>, or otherwise, the Borrower shall pay to the Administrative Agent for the account of each Lender, in cash, on the date on which such prepayment or repayment is paid or required to be paid, as the case may be, in addition to the other Obligations (including the Repayment Premium, if any) so prepaid, repaid or required to be prepaid or repaid, a fee (the “</w:t>
      </w:r>
      <w:r>
        <w:rPr>
          <w:rFonts w:ascii="Arial" w:cs="Arial" w:eastAsia="Arial" w:hAnsi="Arial"/>
          <w:sz w:val="21"/>
          <w:szCs w:val="21"/>
          <w:u w:val="single" w:color="auto"/>
          <w:color w:val="auto"/>
        </w:rPr>
        <w:t>Exit</w:t>
      </w:r>
      <w:r>
        <w:rPr>
          <w:rFonts w:ascii="Arial" w:cs="Arial" w:eastAsia="Arial" w:hAnsi="Arial"/>
          <w:sz w:val="21"/>
          <w:szCs w:val="21"/>
          <w:color w:val="auto"/>
        </w:rPr>
        <w:t xml:space="preserve"> </w:t>
      </w:r>
      <w:r>
        <w:rPr>
          <w:rFonts w:ascii="Arial" w:cs="Arial" w:eastAsia="Arial" w:hAnsi="Arial"/>
          <w:sz w:val="21"/>
          <w:szCs w:val="21"/>
          <w:u w:val="single" w:color="auto"/>
          <w:color w:val="auto"/>
        </w:rPr>
        <w:t>Fee</w:t>
      </w:r>
      <w:r>
        <w:rPr>
          <w:rFonts w:ascii="Arial" w:cs="Arial" w:eastAsia="Arial" w:hAnsi="Arial"/>
          <w:sz w:val="21"/>
          <w:szCs w:val="21"/>
          <w:color w:val="auto"/>
        </w:rPr>
        <w:t>”) in an amount equal to three percent (3.00%) of the principal amount of the Loans prepaid, repaid or required to be prepaid or repaid, as the case may be, on such date.</w:t>
      </w:r>
    </w:p>
    <w:p>
      <w:pPr>
        <w:spacing w:after="0" w:line="184" w:lineRule="exact"/>
        <w:rPr>
          <w:sz w:val="20"/>
          <w:szCs w:val="20"/>
          <w:color w:val="auto"/>
        </w:rPr>
      </w:pPr>
    </w:p>
    <w:p>
      <w:pPr>
        <w:jc w:val="both"/>
        <w:ind w:right="20" w:firstLine="749"/>
        <w:spacing w:after="0" w:line="236" w:lineRule="auto"/>
        <w:rPr>
          <w:sz w:val="20"/>
          <w:szCs w:val="20"/>
          <w:color w:val="auto"/>
        </w:rPr>
      </w:pPr>
      <w:r>
        <w:rPr>
          <w:rFonts w:ascii="Arial" w:cs="Arial" w:eastAsia="Arial" w:hAnsi="Arial"/>
          <w:sz w:val="22"/>
          <w:szCs w:val="22"/>
          <w:color w:val="auto"/>
        </w:rPr>
        <w:t xml:space="preserve">SECTION 3.9 </w:t>
      </w:r>
      <w:r>
        <w:rPr>
          <w:rFonts w:ascii="Arial" w:cs="Arial" w:eastAsia="Arial" w:hAnsi="Arial"/>
          <w:sz w:val="22"/>
          <w:szCs w:val="22"/>
          <w:u w:val="single" w:color="auto"/>
          <w:color w:val="auto"/>
        </w:rPr>
        <w:t>Upfront Fee.</w:t>
      </w:r>
      <w:r>
        <w:rPr>
          <w:rFonts w:ascii="Arial" w:cs="Arial" w:eastAsia="Arial" w:hAnsi="Arial"/>
          <w:sz w:val="22"/>
          <w:szCs w:val="22"/>
          <w:color w:val="auto"/>
        </w:rPr>
        <w:t xml:space="preserve"> The Borrower agrees that on the Closing Date, the Borrower shall pay an upfront fee (the “</w:t>
      </w:r>
      <w:r>
        <w:rPr>
          <w:rFonts w:ascii="Arial" w:cs="Arial" w:eastAsia="Arial" w:hAnsi="Arial"/>
          <w:sz w:val="22"/>
          <w:szCs w:val="22"/>
          <w:u w:val="single" w:color="auto"/>
          <w:color w:val="auto"/>
        </w:rPr>
        <w:t>Upfront Fee</w:t>
      </w:r>
      <w:r>
        <w:rPr>
          <w:rFonts w:ascii="Arial" w:cs="Arial" w:eastAsia="Arial" w:hAnsi="Arial"/>
          <w:sz w:val="22"/>
          <w:szCs w:val="22"/>
          <w:color w:val="auto"/>
        </w:rPr>
        <w:t>”) to the Initial Lender, for its own account, in an aggregate amount equal to one percent (1.00%) of the Commitment Amount. The Borrower agrees that the Upfront Fee shall be (i) paid in U.S. Dollars, (ii) fully earned upon the Closing Date, (iii) nonrefundable and (iv) in addition to, and not creditable against, any other fee, cost or expense payable under the Investment Documents.</w:t>
      </w:r>
    </w:p>
    <w:p>
      <w:pPr>
        <w:spacing w:after="0" w:line="18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Undrawn Fee</w:t>
      </w:r>
      <w:r>
        <w:rPr>
          <w:rFonts w:ascii="Arial" w:cs="Arial" w:eastAsia="Arial" w:hAnsi="Arial"/>
          <w:sz w:val="19"/>
          <w:szCs w:val="19"/>
          <w:color w:val="auto"/>
        </w:rPr>
        <w:t>. The Borrower shall pay to the Administrative Agent for the account of each Lender, in cash, a fee (the “</w:t>
      </w:r>
      <w:r>
        <w:rPr>
          <w:rFonts w:ascii="Arial" w:cs="Arial" w:eastAsia="Arial" w:hAnsi="Arial"/>
          <w:sz w:val="19"/>
          <w:szCs w:val="19"/>
          <w:u w:val="single" w:color="auto"/>
          <w:color w:val="auto"/>
        </w:rPr>
        <w:t>Undrawn Fee</w:t>
      </w:r>
      <w:r>
        <w:rPr>
          <w:rFonts w:ascii="Arial" w:cs="Arial" w:eastAsia="Arial" w:hAnsi="Arial"/>
          <w:sz w:val="19"/>
          <w:szCs w:val="19"/>
          <w:color w:val="auto"/>
        </w:rPr>
        <w:t xml:space="preserve">”) in an amount equal to (x) 0.50% per annum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(y) the sum of (i) prior to the First Delayed Draw Commitment Termination Date, the undrawn First Delayed Draw Commitment Amount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prior to the Second Delayed Draw Commitment Termination Date, the applicable undrawn Second Delayed Draw Commitment Amount, which Undrawn Fee shall be payable on the last day of each month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day is not a Business Day, then such Undrawn Fee shall be made on the next succeeding Business Day) until the Second Delayed Draw Commitment Termination Date (and if the Second Delayed Draw Commitment Termination Date occurs on a date that is not the last day of a month, the amount of the fee for the corresponding month shall be a prorated amount for the portion of such month ending on the Second Delayed Draw Commitment Termination Date and shall be paid on such date). For purposes of this </w:t>
      </w:r>
      <w:r>
        <w:rPr>
          <w:rFonts w:ascii="Arial" w:cs="Arial" w:eastAsia="Arial" w:hAnsi="Arial"/>
          <w:sz w:val="19"/>
          <w:szCs w:val="19"/>
          <w:u w:val="single" w:color="auto"/>
          <w:color w:val="auto"/>
        </w:rPr>
        <w:t>Section 3.10</w:t>
      </w:r>
      <w:r>
        <w:rPr>
          <w:rFonts w:ascii="Arial" w:cs="Arial" w:eastAsia="Arial" w:hAnsi="Arial"/>
          <w:sz w:val="19"/>
          <w:szCs w:val="19"/>
          <w:color w:val="auto"/>
        </w:rPr>
        <w:t>, the Undrawn Fee shall be calculated on a daily basis. The Undrawn Fee shall be fully earned and nonrefundable under any circumstances and in addition to, and not creditable against, any other fee, cost or expense payable under the Investment Documents.</w:t>
      </w:r>
    </w:p>
    <w:p>
      <w:pPr>
        <w:spacing w:after="0" w:line="15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u w:val="single" w:color="auto"/>
          <w:color w:val="auto"/>
        </w:rPr>
        <w:t>Administration Fee</w:t>
      </w:r>
      <w:r>
        <w:rPr>
          <w:rFonts w:ascii="Arial" w:cs="Arial" w:eastAsia="Arial" w:hAnsi="Arial"/>
          <w:sz w:val="19"/>
          <w:szCs w:val="19"/>
          <w:color w:val="auto"/>
        </w:rPr>
        <w:t>. The Borrower will pay to the Administrative Agent for its own account a quarterly loan administration fee of $10,000 (the “</w:t>
      </w:r>
      <w:r>
        <w:rPr>
          <w:rFonts w:ascii="Arial" w:cs="Arial" w:eastAsia="Arial" w:hAnsi="Arial"/>
          <w:sz w:val="19"/>
          <w:szCs w:val="19"/>
          <w:u w:val="single" w:color="auto"/>
          <w:color w:val="auto"/>
        </w:rPr>
        <w:t>Administration Fee</w:t>
      </w:r>
      <w:r>
        <w:rPr>
          <w:rFonts w:ascii="Arial" w:cs="Arial" w:eastAsia="Arial" w:hAnsi="Arial"/>
          <w:sz w:val="19"/>
          <w:szCs w:val="19"/>
          <w:color w:val="auto"/>
        </w:rPr>
        <w:t xml:space="preserve">”) payable in advance, with the first payment due and payable upon the Closing Date prorated with respect to the Fiscal Quarter in which the Closing Date occurs and successive payments due and payable on the last day of each Fiscal Quarter (including the Fiscal Quarter in which the Closing Date occurs) for the succeeding Fiscal Quarter;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day is not a Business Day, then such payment shall be made on the next succeeding Business Day. Upon payment thereof, the Administration Fee shall be fully earned and nonrefundable under any circumstances, and in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auto"/>
        </w:rPr>
        <w:t>addition to, and not creditable against, any other fee, cost or expense payable under the Investment Documents.</w:t>
      </w:r>
    </w:p>
    <w:p>
      <w:pPr>
        <w:spacing w:after="0" w:line="206"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SOFR RATE AND OTHER PROVISIONS</w:t>
      </w:r>
    </w:p>
    <w:p>
      <w:pPr>
        <w:spacing w:after="0" w:line="18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u w:val="single" w:color="auto"/>
          <w:color w:val="auto"/>
        </w:rPr>
        <w:t>Increased Costs, Etc</w:t>
      </w:r>
      <w:r>
        <w:rPr>
          <w:rFonts w:ascii="Arial" w:cs="Arial" w:eastAsia="Arial" w:hAnsi="Arial"/>
          <w:sz w:val="19"/>
          <w:szCs w:val="19"/>
          <w:color w:val="auto"/>
        </w:rPr>
        <w:t xml:space="preserve">. The Borrower agrees to reimburse the Lenders for any increase in the cost to the Lenders of, or any reduction in the amount of any sum receivable by the Lenders in respect of, the Lenders’ Commitments and the making, continuation or maintaining of the Loans hereunder that may arise in connection with any Change in Law, except for such changes with respect to increased capital costs and Taxes which are governed by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respectively. The Administrative Agent shall notify the Borrower in writing of the occurrence of any such event, stating the reasons therefor and the additional amount required fully to compensate the Lenders for such increased cost or reduced amount. Such additional amounts shall be payable by the Borrower directly to the Administrative Agent for the accounts of the Lenders within five days of its receipt of such notice, and such notice shall, in the absence of manifest error, be conclusive and binding on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the Administrative Agent or any Lender pursuant to this Section for any increased costs or reductions incurred or suffered more than 180 days prior to the date that the Borrower is notified of the Change in Law giving rise thereto and the intention of the Administrative Agent and such Lender to claim compensation therefor;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5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u w:val="single" w:color="auto"/>
          <w:color w:val="auto"/>
        </w:rPr>
        <w:t>Increased Capital Costs</w:t>
      </w:r>
      <w:r>
        <w:rPr>
          <w:rFonts w:ascii="Arial" w:cs="Arial" w:eastAsia="Arial" w:hAnsi="Arial"/>
          <w:sz w:val="19"/>
          <w:szCs w:val="19"/>
          <w:color w:val="auto"/>
        </w:rPr>
        <w:t xml:space="preserve">. If any Change in Law affects or would affect the amount of capital required or expected to be maintained by any Lender or any Person controlling such Lender, and such Lender determines (in good faith but in its sole and absolute discretion) that the rate of return on its or such controlling Person’s capital as a consequence of the Commitments or the Loans made by it hereunder is reduced to a level below that which such Lender or such controlling Person could have achieved but for the occurrence of any such circumstance, then upon notice from time to time by such Lender to the Borrower, the Borrower shall within five days following receipt of such notice pay directly to the Administrative Agent for the account of such Lender additional amounts sufficient to compensate such Lender or such controlling Person for such reduction in rate of return,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any Lender pursuant to this Section for reduced return with respect to any period occurring more than 180 days prior to the date that the Borrower is notified of the Change in Law giving rise thereto and the intention of such Lender to claim compensation therefor;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the Change in Law giving rise to such reduced return is retroactive, then the 180-day period referred to above shall be extended to include the period of retroactive effect thereof. A statement of such Lender as to any such additional amount or amounts shall, in the absence of manifest error, be conclusive and binding on the Borrower. In determining such amount, such Lender may use any method of averaging and attribution that it (in its sole and absolute discretion) shall deem applicable.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auto"/>
        </w:rPr>
        <w:t xml:space="preserve">SECTION 4.3 </w:t>
      </w:r>
      <w:r>
        <w:rPr>
          <w:rFonts w:ascii="Arial" w:cs="Arial" w:eastAsia="Arial" w:hAnsi="Arial"/>
          <w:sz w:val="22"/>
          <w:szCs w:val="22"/>
          <w:u w:val="single" w:color="auto"/>
          <w:color w:val="auto"/>
        </w:rPr>
        <w:t>Taxes</w:t>
      </w:r>
      <w:r>
        <w:rPr>
          <w:rFonts w:ascii="Arial" w:cs="Arial" w:eastAsia="Arial" w:hAnsi="Arial"/>
          <w:sz w:val="22"/>
          <w:szCs w:val="22"/>
          <w:color w:val="auto"/>
        </w:rPr>
        <w:t>. The Borrower covenants and agrees as follows with respect to Taxes.</w:t>
      </w:r>
    </w:p>
    <w:p>
      <w:pPr>
        <w:spacing w:after="0" w:line="206" w:lineRule="exact"/>
        <w:rPr>
          <w:sz w:val="20"/>
          <w:szCs w:val="20"/>
          <w:color w:val="auto"/>
        </w:rPr>
      </w:pPr>
    </w:p>
    <w:p>
      <w:pPr>
        <w:jc w:val="both"/>
        <w:ind w:firstLine="745"/>
        <w:spacing w:after="0" w:line="235" w:lineRule="auto"/>
        <w:tabs>
          <w:tab w:leader="none" w:pos="1181"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Any and all payments by the Borrower or any of the Subsidiaries under any Loan Document shall be made without setoff, counterclaim or other defense, and free and clear of, and without deduction or withholding for or on account of, any Taxes, except as required by applicable Law. In the event that any Taxes are imposed and required to be deducted or withheld by applicable Law (as determined in the good faith discretion of the Withholding Agent) from any payment required to be made by the Borrower or any of the Subsidiaries to or on behalf of a Lender under any Loan Document, then:</w:t>
      </w:r>
    </w:p>
    <w:p>
      <w:pPr>
        <w:spacing w:after="0" w:line="187" w:lineRule="exact"/>
        <w:rPr>
          <w:rFonts w:ascii="Arial" w:cs="Arial" w:eastAsia="Arial" w:hAnsi="Arial"/>
          <w:sz w:val="22"/>
          <w:szCs w:val="22"/>
          <w:color w:val="auto"/>
        </w:rPr>
      </w:pPr>
    </w:p>
    <w:p>
      <w:pPr>
        <w:jc w:val="both"/>
        <w:ind w:left="740" w:right="20" w:firstLine="754"/>
        <w:spacing w:after="0" w:line="257" w:lineRule="auto"/>
        <w:tabs>
          <w:tab w:leader="none" w:pos="1921" w:val="left"/>
        </w:tabs>
        <w:numPr>
          <w:ilvl w:val="1"/>
          <w:numId w:val="40"/>
        </w:numPr>
        <w:rPr>
          <w:rFonts w:ascii="Arial" w:cs="Arial" w:eastAsia="Arial" w:hAnsi="Arial"/>
          <w:sz w:val="21"/>
          <w:szCs w:val="21"/>
          <w:color w:val="auto"/>
        </w:rPr>
      </w:pPr>
      <w:r>
        <w:rPr>
          <w:rFonts w:ascii="Arial" w:cs="Arial" w:eastAsia="Arial" w:hAnsi="Arial"/>
          <w:sz w:val="21"/>
          <w:szCs w:val="21"/>
          <w:color w:val="auto"/>
        </w:rPr>
        <w:t>if such Taxes are Non-Excluded Taxes, the amount of such payment shall be increased as may be necessary so that such payment is made, after withholding or deduction for or on account of such Taxes, in an amount that is not less than the amount provided for in such Loan Document; and</w:t>
      </w:r>
    </w:p>
    <w:p>
      <w:pPr>
        <w:spacing w:after="0" w:line="169" w:lineRule="exact"/>
        <w:rPr>
          <w:rFonts w:ascii="Arial" w:cs="Arial" w:eastAsia="Arial" w:hAnsi="Arial"/>
          <w:sz w:val="21"/>
          <w:szCs w:val="21"/>
          <w:color w:val="auto"/>
        </w:rPr>
      </w:pPr>
    </w:p>
    <w:p>
      <w:pPr>
        <w:jc w:val="both"/>
        <w:ind w:left="740" w:firstLine="754"/>
        <w:spacing w:after="0"/>
        <w:tabs>
          <w:tab w:leader="none" w:pos="1921" w:val="left"/>
        </w:tabs>
        <w:numPr>
          <w:ilvl w:val="1"/>
          <w:numId w:val="40"/>
        </w:numPr>
        <w:rPr>
          <w:rFonts w:ascii="Arial" w:cs="Arial" w:eastAsia="Arial" w:hAnsi="Arial"/>
          <w:sz w:val="22"/>
          <w:szCs w:val="22"/>
          <w:color w:val="auto"/>
        </w:rPr>
      </w:pPr>
      <w:r>
        <w:rPr>
          <w:rFonts w:ascii="Arial" w:cs="Arial" w:eastAsia="Arial" w:hAnsi="Arial"/>
          <w:sz w:val="22"/>
          <w:szCs w:val="22"/>
          <w:color w:val="auto"/>
        </w:rPr>
        <w:t xml:space="preserve">the Withholding Agent of such payment shall withhold the full amount of such Taxes from such payment (as increased pursuant to </w:t>
      </w:r>
      <w:r>
        <w:rPr>
          <w:rFonts w:ascii="Arial" w:cs="Arial" w:eastAsia="Arial" w:hAnsi="Arial"/>
          <w:sz w:val="22"/>
          <w:szCs w:val="22"/>
          <w:u w:val="single" w:color="auto"/>
          <w:color w:val="auto"/>
        </w:rPr>
        <w:t>clause (a)(i)</w:t>
      </w:r>
      <w:r>
        <w:rPr>
          <w:rFonts w:ascii="Arial" w:cs="Arial" w:eastAsia="Arial" w:hAnsi="Arial"/>
          <w:sz w:val="22"/>
          <w:szCs w:val="22"/>
          <w:color w:val="auto"/>
        </w:rPr>
        <w:t>) and shall pay such amount to the Governmental Authority imposing such Taxes in accordance with applicable Law.</w:t>
      </w:r>
    </w:p>
    <w:p>
      <w:pPr>
        <w:spacing w:after="0" w:line="186" w:lineRule="exact"/>
        <w:rPr>
          <w:rFonts w:ascii="Arial" w:cs="Arial" w:eastAsia="Arial" w:hAnsi="Arial"/>
          <w:sz w:val="22"/>
          <w:szCs w:val="22"/>
          <w:color w:val="auto"/>
        </w:rPr>
      </w:pPr>
    </w:p>
    <w:p>
      <w:pPr>
        <w:ind w:right="40" w:firstLine="745"/>
        <w:spacing w:after="0" w:line="250" w:lineRule="auto"/>
        <w:tabs>
          <w:tab w:leader="none" w:pos="1181" w:val="left"/>
        </w:tabs>
        <w:numPr>
          <w:ilvl w:val="0"/>
          <w:numId w:val="40"/>
        </w:numPr>
        <w:rPr>
          <w:rFonts w:ascii="Arial" w:cs="Arial" w:eastAsia="Arial" w:hAnsi="Arial"/>
          <w:sz w:val="22"/>
          <w:szCs w:val="22"/>
          <w:color w:val="auto"/>
        </w:rPr>
      </w:pPr>
      <w:r>
        <w:rPr>
          <w:rFonts w:ascii="Arial" w:cs="Arial" w:eastAsia="Arial" w:hAnsi="Arial"/>
          <w:sz w:val="22"/>
          <w:szCs w:val="22"/>
          <w:color w:val="auto"/>
        </w:rPr>
        <w:t>In addition, the Borrower shall pay all Other Taxes imposed to the relevant Governmental Authority imposing such Other Taxes in accordance with applicable Law.</w:t>
      </w:r>
    </w:p>
    <w:p>
      <w:pPr>
        <w:spacing w:after="0" w:line="174" w:lineRule="exact"/>
        <w:rPr>
          <w:rFonts w:ascii="Arial" w:cs="Arial" w:eastAsia="Arial" w:hAnsi="Arial"/>
          <w:sz w:val="22"/>
          <w:szCs w:val="22"/>
          <w:color w:val="auto"/>
        </w:rPr>
      </w:pPr>
    </w:p>
    <w:p>
      <w:pPr>
        <w:jc w:val="both"/>
        <w:ind w:firstLine="745"/>
        <w:spacing w:after="0" w:line="238" w:lineRule="auto"/>
        <w:tabs>
          <w:tab w:leader="none" w:pos="1181"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As promptly as practicable after the payment of any Taxes required to be paid by the Borrower under </w:t>
      </w:r>
      <w:r>
        <w:rPr>
          <w:rFonts w:ascii="Arial" w:cs="Arial" w:eastAsia="Arial" w:hAnsi="Arial"/>
          <w:sz w:val="22"/>
          <w:szCs w:val="22"/>
          <w:u w:val="single" w:color="auto"/>
          <w:color w:val="auto"/>
        </w:rPr>
        <w:t>Section 4.3(a)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and in any event within 45 days of any such payment being due, the Borrower shall furnish to the Administrative Agent and such Lender a copy of an official receipt (or a certified copy thereof) evidencing the payment of such Taxes.</w:t>
      </w:r>
    </w:p>
    <w:p>
      <w:pPr>
        <w:spacing w:after="0" w:line="184" w:lineRule="exact"/>
        <w:rPr>
          <w:rFonts w:ascii="Arial" w:cs="Arial" w:eastAsia="Arial" w:hAnsi="Arial"/>
          <w:sz w:val="22"/>
          <w:szCs w:val="22"/>
          <w:color w:val="auto"/>
        </w:rPr>
      </w:pPr>
    </w:p>
    <w:p>
      <w:pPr>
        <w:jc w:val="both"/>
        <w:ind w:firstLine="745"/>
        <w:spacing w:after="0" w:line="272" w:lineRule="auto"/>
        <w:tabs>
          <w:tab w:leader="none" w:pos="1181"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The Borrower shall indemnify the Administrative Agent or such Lender, as the case may be, for any Non-Excluded Taxes and Other Taxes (including Non-Excluded Taxes and Other Taxes imposed or asserted on or attributable to amounts payable under </w:t>
      </w:r>
      <w:r>
        <w:rPr>
          <w:rFonts w:ascii="Arial" w:cs="Arial" w:eastAsia="Arial" w:hAnsi="Arial"/>
          <w:sz w:val="19"/>
          <w:szCs w:val="19"/>
          <w:u w:val="single" w:color="auto"/>
          <w:color w:val="auto"/>
        </w:rPr>
        <w:t>Section 4.3(a)(i)</w:t>
      </w:r>
      <w:r>
        <w:rPr>
          <w:rFonts w:ascii="Arial" w:cs="Arial" w:eastAsia="Arial" w:hAnsi="Arial"/>
          <w:sz w:val="19"/>
          <w:szCs w:val="19"/>
          <w:color w:val="auto"/>
        </w:rPr>
        <w:t>) levied, imposed or assessed on the Administrative Agent or such Lender, or required to be withheld or deducted from a payment to the Administrative Agent or such Lender, as well as any reasonable expenses arising therefrom or with respect thereto, whether or not such Non-Excluded Taxes or Other Taxes are correctly or legally asserted by the relevant Governmental Authority. Promptly upon having knowledge that any such Non-Excluded Taxes or Other Taxes have been levied, imposed or assessed, and promptly upon notice thereof by the Administrative Agent or such Lender, the Borrower shall pay such Non-Excluded Taxes or Other Taxes directly to the relevant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or such Lender shall not be under any obligation to provide any such notice to the Borrower). In addition, the Borrower shall indemnify the Administrative Agent or each Lender for any incremental Taxes that may become payable by the Administrative Agent or such Lender as a result of any failure of the Borrower to such any Taxes when due to the appropriate Governmental Authority or to deliver to the Administrative Agent or such Lender, pursuant to </w:t>
      </w:r>
      <w:r>
        <w:rPr>
          <w:rFonts w:ascii="Arial" w:cs="Arial" w:eastAsia="Arial" w:hAnsi="Arial"/>
          <w:sz w:val="19"/>
          <w:szCs w:val="19"/>
          <w:u w:val="single" w:color="auto"/>
          <w:color w:val="auto"/>
        </w:rPr>
        <w:t>clause (c)</w:t>
      </w:r>
      <w:r>
        <w:rPr>
          <w:rFonts w:ascii="Arial" w:cs="Arial" w:eastAsia="Arial" w:hAnsi="Arial"/>
          <w:sz w:val="19"/>
          <w:szCs w:val="19"/>
          <w:color w:val="auto"/>
        </w:rPr>
        <w:t>, documentation evidencing</w:t>
      </w:r>
    </w:p>
    <w:p>
      <w:pPr>
        <w:spacing w:after="0" w:line="155" w:lineRule="exact"/>
        <w:rPr>
          <w:rFonts w:ascii="Arial" w:cs="Arial" w:eastAsia="Arial" w:hAnsi="Arial"/>
          <w:sz w:val="19"/>
          <w:szCs w:val="19"/>
          <w:color w:val="auto"/>
        </w:rPr>
      </w:pPr>
    </w:p>
    <w:p>
      <w:pPr>
        <w:ind w:left="4760" w:hanging="130"/>
        <w:spacing w:after="0"/>
        <w:tabs>
          <w:tab w:leader="none" w:pos="4760" w:val="left"/>
        </w:tabs>
        <w:numPr>
          <w:ilvl w:val="2"/>
          <w:numId w:val="40"/>
        </w:numPr>
        <w:rPr>
          <w:rFonts w:ascii="Arial" w:cs="Arial" w:eastAsia="Arial" w:hAnsi="Arial"/>
          <w:sz w:val="22"/>
          <w:szCs w:val="22"/>
          <w:color w:val="auto"/>
        </w:rPr>
      </w:pPr>
      <w:r>
        <w:rPr>
          <w:rFonts w:ascii="Arial" w:cs="Arial" w:eastAsia="Arial" w:hAnsi="Arial"/>
          <w:sz w:val="22"/>
          <w:szCs w:val="22"/>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405765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1" w:right="339" w:bottom="1440" w:gutter="0" w:footer="0" w:header="0"/>
        </w:sectPr>
      </w:pPr>
    </w:p>
    <w:bookmarkStart w:id="65" w:name="page66"/>
    <w:bookmarkEnd w:id="65"/>
    <w:p>
      <w:pPr>
        <w:jc w:val="both"/>
        <w:spacing w:after="0" w:line="248" w:lineRule="auto"/>
        <w:rPr>
          <w:sz w:val="20"/>
          <w:szCs w:val="20"/>
          <w:color w:val="auto"/>
        </w:rPr>
      </w:pPr>
      <w:r>
        <w:rPr>
          <w:rFonts w:ascii="Arial" w:cs="Arial" w:eastAsia="Arial" w:hAnsi="Arial"/>
          <w:sz w:val="21"/>
          <w:szCs w:val="21"/>
          <w:color w:val="auto"/>
        </w:rPr>
        <w:t xml:space="preserve">the payment of Taxes. With respect to indemnification for Non-Excluded Taxes and Other Taxes actually paid by the Administrative Agent or a Lender or the indemnification provided in the immediately preceding sentence, such indemnification shall be made within 10 days after the date the Administrative Agent or such Lender makes written demand therefor. The Borrower acknowledges that any payment made to the Administrative Agent or a Lender or to any Governmental Authority in respect of the indemnification obligations of the Borrower provided in this clause shall constitute a payment in respect of which the provisions of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and this clause shall apply.</w:t>
      </w:r>
    </w:p>
    <w:p>
      <w:pPr>
        <w:spacing w:after="0" w:line="177" w:lineRule="exact"/>
        <w:rPr>
          <w:sz w:val="20"/>
          <w:szCs w:val="20"/>
          <w:color w:val="auto"/>
        </w:rPr>
      </w:pPr>
    </w:p>
    <w:p>
      <w:pPr>
        <w:jc w:val="both"/>
        <w:ind w:firstLine="745"/>
        <w:spacing w:after="0"/>
        <w:tabs>
          <w:tab w:leader="none" w:pos="1181"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The Loans are deemed to be made with original issue discount for U.S. federal income tax purposes. Requests for information regarding the issue price, amount of original issue discount, issue date and yield to maturity on the Loans shall be directed to the Borrower in accordance with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745"/>
        <w:spacing w:after="0" w:line="272" w:lineRule="auto"/>
        <w:tabs>
          <w:tab w:leader="none" w:pos="1181"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Lenders and the Borrower agree that the Initial Loan is part of the investment units issued within the meaning of Section 1273(c)(2) of the Code, which also includes the Warrants. For all applicable income Tax purposes, the issue price of the investment units and the fair market value of the Warrants in connection with the Initial Loan of the Lenders shall be determined collectively by the Borrower and the Lenders, acting in good faith, at the time the Initial Loan is issued to the Borrower. The “issue price” for the interest in the Initial Loan of the Lenders issued pursuant to this Agreement (and any Note issued in connection therewith) shall equal (i) the issue price of the investment units (for the avoidance of doubt, adjusted for the payment of the Exit Fee and Upfront Fee to the Lenders) minus (ii) the fair market value of the Warrants issued in connection with the Lenders’ Initial Loan. The Lenders and the Borrower agree that the allocation determined pursuant to this Section 4.3(f) will be used for purposes of Section 1273(c)(2) of the Code. The Borrower and the Lenders agree to make any determinations under Treasury Regulations §1.1273-2(h)(2) consistent with the foregoing and to file all required tax returns consistently with the foregoing, as applicable, except as otherwise required by applicable Laws.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u w:val="single" w:color="auto"/>
          <w:color w:val="auto"/>
        </w:rPr>
        <w:t>Payments, Computations; Proceeds of Collateral, Etc</w:t>
      </w:r>
      <w:r>
        <w:rPr>
          <w:rFonts w:ascii="Arial" w:cs="Arial" w:eastAsia="Arial" w:hAnsi="Arial"/>
          <w:sz w:val="22"/>
          <w:szCs w:val="22"/>
          <w:color w:val="auto"/>
        </w:rPr>
        <w:t>.</w:t>
      </w:r>
    </w:p>
    <w:p>
      <w:pPr>
        <w:spacing w:after="0" w:line="206" w:lineRule="exact"/>
        <w:rPr>
          <w:sz w:val="20"/>
          <w:szCs w:val="20"/>
          <w:color w:val="auto"/>
        </w:rPr>
      </w:pPr>
    </w:p>
    <w:p>
      <w:pPr>
        <w:jc w:val="both"/>
        <w:ind w:firstLine="745"/>
        <w:spacing w:after="0" w:line="273" w:lineRule="auto"/>
        <w:tabs>
          <w:tab w:leader="none" w:pos="1181"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Unless otherwise expressly provided in a Loan Document, all payments by the Borrower pursuant to each Loan Document shall be made without setoff, deduction or counterclaim not later than 10:00 a.m. on the date due in same day or immediately available funds, marked for attention as indicated, or in such other manner or to such other account as the Administrative Agent may from time to time direct in writing. The Administrative Agent shall distribute any such payments received by it for the account of any other person to the appropriate Person promptly following receipt. Except as otherwise set forth herein, all repayments or prepayments of Loans and payment of fees and interest shall be made to the Lenders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in accordance with their respective Applicable Percentages. Funds received after 10:00 a.m. on any day shall be deemed to have been received on the next succeeding Business Day and any applicable interest or fee shall continue to accrue. All interest and fees shall be computed on the basis of the actual number of days occurring during the period for which such interest or fee is payable over a year comprised of 360</w:t>
      </w:r>
    </w:p>
    <w:p>
      <w:pPr>
        <w:spacing w:after="0" w:line="160" w:lineRule="exact"/>
        <w:rPr>
          <w:rFonts w:ascii="Arial" w:cs="Arial" w:eastAsia="Arial" w:hAnsi="Arial"/>
          <w:sz w:val="19"/>
          <w:szCs w:val="19"/>
          <w:color w:val="auto"/>
        </w:rPr>
      </w:pPr>
    </w:p>
    <w:p>
      <w:pPr>
        <w:ind w:left="4760" w:hanging="130"/>
        <w:spacing w:after="0"/>
        <w:tabs>
          <w:tab w:leader="none" w:pos="4760" w:val="left"/>
        </w:tabs>
        <w:numPr>
          <w:ilvl w:val="1"/>
          <w:numId w:val="42"/>
        </w:numPr>
        <w:rPr>
          <w:rFonts w:ascii="Arial" w:cs="Arial" w:eastAsia="Arial" w:hAnsi="Arial"/>
          <w:sz w:val="22"/>
          <w:szCs w:val="22"/>
          <w:color w:val="auto"/>
        </w:rPr>
      </w:pPr>
      <w:r>
        <w:rPr>
          <w:rFonts w:ascii="Arial" w:cs="Arial" w:eastAsia="Arial" w:hAnsi="Arial"/>
          <w:sz w:val="22"/>
          <w:szCs w:val="22"/>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405765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1" w:right="339" w:bottom="1440" w:gutter="0" w:footer="0" w:header="0"/>
        </w:sectPr>
      </w:pPr>
    </w:p>
    <w:bookmarkStart w:id="66" w:name="page67"/>
    <w:bookmarkEnd w:id="66"/>
    <w:p>
      <w:pPr>
        <w:spacing w:after="0" w:line="274" w:lineRule="auto"/>
        <w:rPr>
          <w:sz w:val="20"/>
          <w:szCs w:val="20"/>
          <w:color w:val="auto"/>
        </w:rPr>
      </w:pPr>
      <w:r>
        <w:rPr>
          <w:rFonts w:ascii="Arial" w:cs="Arial" w:eastAsia="Arial" w:hAnsi="Arial"/>
          <w:sz w:val="21"/>
          <w:szCs w:val="21"/>
          <w:color w:val="auto"/>
        </w:rPr>
        <w:t>days. Payments due on other than a Business Day shall be made on the next succeeding Business Day and such extension of time shall be included in computing interest and fees in connection with that payment.</w:t>
      </w:r>
    </w:p>
    <w:p>
      <w:pPr>
        <w:spacing w:after="0" w:line="151" w:lineRule="exact"/>
        <w:rPr>
          <w:sz w:val="20"/>
          <w:szCs w:val="20"/>
          <w:color w:val="auto"/>
        </w:rPr>
      </w:pPr>
    </w:p>
    <w:p>
      <w:pPr>
        <w:jc w:val="both"/>
        <w:ind w:firstLine="745"/>
        <w:spacing w:after="0"/>
        <w:tabs>
          <w:tab w:leader="none" w:pos="1181"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All amounts received as a result of the exercise of remedies under the Loan Documents (including from the proceeds of collateral securing the Obligations) or under applicable Law shall be applied upon receipt to the Obligations in accordance with </w:t>
      </w:r>
      <w:r>
        <w:rPr>
          <w:rFonts w:ascii="Arial" w:cs="Arial" w:eastAsia="Arial" w:hAnsi="Arial"/>
          <w:sz w:val="22"/>
          <w:szCs w:val="22"/>
          <w:u w:val="single" w:color="auto"/>
          <w:color w:val="auto"/>
        </w:rPr>
        <w:t>Section 9.4</w:t>
      </w:r>
      <w:r>
        <w:rPr>
          <w:rFonts w:ascii="Arial" w:cs="Arial" w:eastAsia="Arial" w:hAnsi="Arial"/>
          <w:sz w:val="22"/>
          <w:szCs w:val="22"/>
          <w:color w:val="auto"/>
        </w:rPr>
        <w:t xml:space="preserve"> hereof.</w:t>
      </w:r>
    </w:p>
    <w:p>
      <w:pPr>
        <w:spacing w:after="0" w:line="186" w:lineRule="exact"/>
        <w:rPr>
          <w:rFonts w:ascii="Arial" w:cs="Arial" w:eastAsia="Arial" w:hAnsi="Arial"/>
          <w:sz w:val="22"/>
          <w:szCs w:val="22"/>
          <w:color w:val="auto"/>
        </w:rPr>
      </w:pPr>
    </w:p>
    <w:p>
      <w:pPr>
        <w:jc w:val="both"/>
        <w:ind w:firstLine="745"/>
        <w:spacing w:after="0" w:line="236" w:lineRule="auto"/>
        <w:tabs>
          <w:tab w:leader="none" w:pos="1181"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The obligations of the Lenders hereunder to make Loans and to make payments pursuant to </w:t>
      </w:r>
      <w:r>
        <w:rPr>
          <w:rFonts w:ascii="Arial" w:cs="Arial" w:eastAsia="Arial" w:hAnsi="Arial"/>
          <w:sz w:val="22"/>
          <w:szCs w:val="22"/>
          <w:u w:val="single" w:color="auto"/>
          <w:color w:val="auto"/>
        </w:rPr>
        <w:t>Section 10.4(b)</w:t>
      </w:r>
      <w:r>
        <w:rPr>
          <w:rFonts w:ascii="Arial" w:cs="Arial" w:eastAsia="Arial" w:hAnsi="Arial"/>
          <w:sz w:val="22"/>
          <w:szCs w:val="22"/>
          <w:color w:val="auto"/>
        </w:rPr>
        <w:t xml:space="preserve"> are several and not joint. The failure of any Lender to make any Loan or to make any payment under </w:t>
      </w:r>
      <w:r>
        <w:rPr>
          <w:rFonts w:ascii="Arial" w:cs="Arial" w:eastAsia="Arial" w:hAnsi="Arial"/>
          <w:sz w:val="22"/>
          <w:szCs w:val="22"/>
          <w:u w:val="single" w:color="auto"/>
          <w:color w:val="auto"/>
        </w:rPr>
        <w:t>Section 10.4(b)</w:t>
      </w:r>
      <w:r>
        <w:rPr>
          <w:rFonts w:ascii="Arial" w:cs="Arial" w:eastAsia="Arial" w:hAnsi="Arial"/>
          <w:sz w:val="22"/>
          <w:szCs w:val="22"/>
          <w:color w:val="auto"/>
        </w:rPr>
        <w:t xml:space="preserve"> on any date required hereunder shall not relieve any other Lender of its corresponding obligation to do so on such date, and no Lender shall be responsible for the failure of any other Lender to so make its Loan or to make its payment under </w:t>
      </w:r>
      <w:r>
        <w:rPr>
          <w:rFonts w:ascii="Arial" w:cs="Arial" w:eastAsia="Arial" w:hAnsi="Arial"/>
          <w:sz w:val="22"/>
          <w:szCs w:val="22"/>
          <w:u w:val="single" w:color="auto"/>
          <w:color w:val="auto"/>
        </w:rPr>
        <w:t>Section 10.4(b)</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745"/>
        <w:spacing w:after="0"/>
        <w:tabs>
          <w:tab w:leader="none" w:pos="1181" w:val="left"/>
        </w:tabs>
        <w:numPr>
          <w:ilvl w:val="0"/>
          <w:numId w:val="43"/>
        </w:numPr>
        <w:rPr>
          <w:rFonts w:ascii="Arial" w:cs="Arial" w:eastAsia="Arial" w:hAnsi="Arial"/>
          <w:sz w:val="22"/>
          <w:szCs w:val="22"/>
          <w:color w:val="auto"/>
        </w:rPr>
      </w:pPr>
      <w:r>
        <w:rPr>
          <w:rFonts w:ascii="Arial" w:cs="Arial" w:eastAsia="Arial" w:hAnsi="Arial"/>
          <w:sz w:val="22"/>
          <w:szCs w:val="22"/>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6" w:lineRule="exact"/>
        <w:rPr>
          <w:rFonts w:ascii="Arial" w:cs="Arial" w:eastAsia="Arial" w:hAnsi="Arial"/>
          <w:sz w:val="22"/>
          <w:szCs w:val="22"/>
          <w:color w:val="auto"/>
        </w:rPr>
      </w:pPr>
    </w:p>
    <w:p>
      <w:pPr>
        <w:jc w:val="both"/>
        <w:ind w:firstLine="745"/>
        <w:spacing w:after="0" w:line="273" w:lineRule="auto"/>
        <w:tabs>
          <w:tab w:leader="none" w:pos="1181"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If any Lender shall, by exercising any right of setoff or otherwise, obtain payment in respect of any principal of or interest on its portion of any of the Loans, any Exit Fee, the Upfront Fee, any Undrawn Fee or any Repayment Premium in connection therewith resulting in such Lender’s receiving payment of a proportion of the aggregate amount of the Loans and accrued interest thereon and any Exit Fee, the Upfront Fee, any Undrawn Fee or Repayment Premium in connection therewith greater than its Applicable Percentage thereof as provided herein, then such Lender shall (x) notify the Administrative Agent of such fact and (y) purchase (for cash at face value) participations in the portions of the Loans of the other Lenders, or make such other adjustments as shall be equitable, so that the benefit of all such payments shall be shared by the Lenders ratably in accordance with the aggregate amount of principal of, accrued interest on and any Exit Fee, the Upfront Fee, any Undrawn Fee or Repayment Premium in connection with their respective portions of the Loans and other amounts owing them;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60" w:lineRule="exact"/>
        <w:rPr>
          <w:rFonts w:ascii="Arial" w:cs="Arial" w:eastAsia="Arial" w:hAnsi="Arial"/>
          <w:sz w:val="19"/>
          <w:szCs w:val="19"/>
          <w:color w:val="auto"/>
        </w:rPr>
      </w:pPr>
    </w:p>
    <w:p>
      <w:pPr>
        <w:jc w:val="both"/>
        <w:ind w:left="740" w:firstLine="754"/>
        <w:spacing w:after="0"/>
        <w:tabs>
          <w:tab w:leader="none" w:pos="1921" w:val="left"/>
        </w:tabs>
        <w:numPr>
          <w:ilvl w:val="1"/>
          <w:numId w:val="43"/>
        </w:numPr>
        <w:rPr>
          <w:rFonts w:ascii="Arial" w:cs="Arial" w:eastAsia="Arial" w:hAnsi="Arial"/>
          <w:sz w:val="22"/>
          <w:szCs w:val="22"/>
          <w:color w:val="auto"/>
        </w:rPr>
      </w:pPr>
      <w:r>
        <w:rPr>
          <w:rFonts w:ascii="Arial" w:cs="Arial" w:eastAsia="Arial" w:hAnsi="Arial"/>
          <w:sz w:val="22"/>
          <w:szCs w:val="22"/>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86" w:lineRule="exact"/>
        <w:rPr>
          <w:rFonts w:ascii="Arial" w:cs="Arial" w:eastAsia="Arial" w:hAnsi="Arial"/>
          <w:sz w:val="22"/>
          <w:szCs w:val="22"/>
          <w:color w:val="auto"/>
        </w:rPr>
      </w:pPr>
    </w:p>
    <w:p>
      <w:pPr>
        <w:jc w:val="both"/>
        <w:ind w:left="740" w:firstLine="754"/>
        <w:spacing w:after="0" w:line="236" w:lineRule="auto"/>
        <w:tabs>
          <w:tab w:leader="none" w:pos="1921" w:val="left"/>
        </w:tabs>
        <w:numPr>
          <w:ilvl w:val="1"/>
          <w:numId w:val="43"/>
        </w:numPr>
        <w:rPr>
          <w:rFonts w:ascii="Arial" w:cs="Arial" w:eastAsia="Arial" w:hAnsi="Arial"/>
          <w:sz w:val="22"/>
          <w:szCs w:val="22"/>
          <w:color w:val="auto"/>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Section 4.4(e)</w:t>
      </w:r>
      <w:r>
        <w:rPr>
          <w:rFonts w:ascii="Arial" w:cs="Arial" w:eastAsia="Arial" w:hAnsi="Arial"/>
          <w:sz w:val="22"/>
          <w:szCs w:val="22"/>
          <w:color w:val="auto"/>
        </w:rPr>
        <w:t xml:space="preserve"> shall not be construed to apply to (x) any payment made by or on behalf of the Borrower pursuant to and in accordance with the express terms of this Agreement or (y) any payment obtained by a Lender as consideration for the assignment of or sale of a participation in any of its portion of the Loans to any assignee or participant, other than an assignment to a Borrower or any Guarantor (as to which the provisions of this Section shall apply).</w:t>
      </w:r>
    </w:p>
    <w:p>
      <w:pPr>
        <w:spacing w:after="0" w:line="187" w:lineRule="exact"/>
        <w:rPr>
          <w:rFonts w:ascii="Arial" w:cs="Arial" w:eastAsia="Arial" w:hAnsi="Arial"/>
          <w:sz w:val="22"/>
          <w:szCs w:val="22"/>
          <w:color w:val="auto"/>
        </w:rPr>
      </w:pPr>
    </w:p>
    <w:p>
      <w:pPr>
        <w:ind w:left="4760" w:hanging="130"/>
        <w:spacing w:after="0"/>
        <w:tabs>
          <w:tab w:leader="none" w:pos="4760" w:val="left"/>
        </w:tabs>
        <w:numPr>
          <w:ilvl w:val="2"/>
          <w:numId w:val="43"/>
        </w:numPr>
        <w:rPr>
          <w:rFonts w:ascii="Arial" w:cs="Arial" w:eastAsia="Arial" w:hAnsi="Arial"/>
          <w:sz w:val="22"/>
          <w:szCs w:val="22"/>
          <w:color w:val="auto"/>
        </w:rPr>
      </w:pPr>
      <w:r>
        <w:rPr>
          <w:rFonts w:ascii="Arial" w:cs="Arial" w:eastAsia="Arial" w:hAnsi="Arial"/>
          <w:sz w:val="22"/>
          <w:szCs w:val="22"/>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405765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1" w:right="339" w:bottom="1440" w:gutter="0" w:footer="0" w:header="0"/>
        </w:sectPr>
      </w:pPr>
    </w:p>
    <w:bookmarkStart w:id="67" w:name="page68"/>
    <w:bookmarkEnd w:id="67"/>
    <w:p>
      <w:pPr>
        <w:jc w:val="both"/>
        <w:ind w:left="1500"/>
        <w:spacing w:after="0" w:line="236" w:lineRule="auto"/>
        <w:rPr>
          <w:sz w:val="20"/>
          <w:szCs w:val="20"/>
          <w:color w:val="auto"/>
        </w:rPr>
      </w:pPr>
      <w:r>
        <w:rPr>
          <w:rFonts w:ascii="Arial" w:cs="Arial" w:eastAsia="Arial" w:hAnsi="Arial"/>
          <w:sz w:val="22"/>
          <w:szCs w:val="22"/>
          <w:color w:val="auto"/>
        </w:rPr>
        <w:t>The Borrower, on behalf of itself and the Guarantors, hereby consents to the foregoing and agrees, to the extent it may effectively do so under applicable Law, that any Lender acquiring a participation pursuant to the foregoing arrangements may exercise against the Borrower or such Guarantor rights of setoff and counterclaim with respect to such participation as fully as if such Lender were a direct creditor of the Borrower or such Guarantor in the amount of such participation.</w:t>
      </w:r>
    </w:p>
    <w:p>
      <w:pPr>
        <w:spacing w:after="0" w:line="18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 xml:space="preserve">SECTION 4.5 </w:t>
      </w:r>
      <w:r>
        <w:rPr>
          <w:rFonts w:ascii="Arial" w:cs="Arial" w:eastAsia="Arial" w:hAnsi="Arial"/>
          <w:sz w:val="21"/>
          <w:szCs w:val="21"/>
          <w:u w:val="single" w:color="auto"/>
          <w:color w:val="auto"/>
        </w:rPr>
        <w:t>Setoff</w:t>
      </w:r>
      <w:r>
        <w:rPr>
          <w:rFonts w:ascii="Arial" w:cs="Arial" w:eastAsia="Arial" w:hAnsi="Arial"/>
          <w:sz w:val="21"/>
          <w:szCs w:val="21"/>
          <w:color w:val="auto"/>
        </w:rPr>
        <w:t xml:space="preserve">. Each Lender shall, upon the occurrence and during the continuance of any Default described in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(iv)</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Section 9.1(h)</w:t>
      </w:r>
      <w:r>
        <w:rPr>
          <w:rFonts w:ascii="Arial" w:cs="Arial" w:eastAsia="Arial" w:hAnsi="Arial"/>
          <w:sz w:val="21"/>
          <w:szCs w:val="21"/>
          <w:color w:val="auto"/>
        </w:rPr>
        <w:t xml:space="preserve"> or, upon the occurrence and during the continuance of any Event of Default, have the right to appropriate and apply to the payment of the Obligations owing to it (whether or not then due), and (as security for such Obligations) the Borrower hereby grants to each Lender a continuing security interest in, any and all balances, credits, deposits, accounts or moneys of the Borrower then or thereafter maintained with or on behalf of such Lender. Each Lender agrees promptly to notify the Borrower after any such appropriation and application made by such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to give such notice shall not affect the validity of such setoff and application. The rights of each Lender under this </w:t>
      </w:r>
      <w:r>
        <w:rPr>
          <w:rFonts w:ascii="Arial" w:cs="Arial" w:eastAsia="Arial" w:hAnsi="Arial"/>
          <w:sz w:val="21"/>
          <w:szCs w:val="21"/>
          <w:u w:val="single" w:color="auto"/>
          <w:color w:val="auto"/>
        </w:rPr>
        <w:t>Section 4.5</w:t>
      </w:r>
      <w:r>
        <w:rPr>
          <w:rFonts w:ascii="Arial" w:cs="Arial" w:eastAsia="Arial" w:hAnsi="Arial"/>
          <w:sz w:val="21"/>
          <w:szCs w:val="21"/>
          <w:color w:val="auto"/>
        </w:rPr>
        <w:t xml:space="preserve"> are in addition to other rights and remedies (including other rights of setoff under applicable Law or otherwise) which such Lender may have.</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4.6 </w:t>
      </w:r>
      <w:r>
        <w:rPr>
          <w:rFonts w:ascii="Arial" w:cs="Arial" w:eastAsia="Arial" w:hAnsi="Arial"/>
          <w:sz w:val="22"/>
          <w:szCs w:val="22"/>
          <w:u w:val="single" w:color="auto"/>
          <w:color w:val="auto"/>
        </w:rPr>
        <w:t>SOFR Rate Not Determinable</w:t>
      </w:r>
      <w:r>
        <w:rPr>
          <w:rFonts w:ascii="Arial" w:cs="Arial" w:eastAsia="Arial" w:hAnsi="Arial"/>
          <w:sz w:val="22"/>
          <w:szCs w:val="22"/>
          <w:color w:val="auto"/>
        </w:rPr>
        <w:t>.</w:t>
      </w:r>
    </w:p>
    <w:p>
      <w:pPr>
        <w:spacing w:after="0" w:line="206" w:lineRule="exact"/>
        <w:rPr>
          <w:sz w:val="20"/>
          <w:szCs w:val="20"/>
          <w:color w:val="auto"/>
        </w:rPr>
      </w:pPr>
    </w:p>
    <w:p>
      <w:pPr>
        <w:jc w:val="both"/>
        <w:ind w:left="760" w:firstLine="745"/>
        <w:spacing w:after="0" w:line="245" w:lineRule="auto"/>
        <w:tabs>
          <w:tab w:leader="none" w:pos="1941" w:val="left"/>
        </w:tabs>
        <w:numPr>
          <w:ilvl w:val="0"/>
          <w:numId w:val="44"/>
        </w:numPr>
        <w:rPr>
          <w:rFonts w:ascii="Arial" w:cs="Arial" w:eastAsia="Arial" w:hAnsi="Arial"/>
          <w:sz w:val="21"/>
          <w:szCs w:val="21"/>
          <w:color w:val="auto"/>
        </w:rPr>
      </w:pPr>
      <w:r>
        <w:rPr>
          <w:rFonts w:ascii="Arial" w:cs="Arial" w:eastAsia="Arial" w:hAnsi="Arial"/>
          <w:sz w:val="21"/>
          <w:szCs w:val="21"/>
          <w:color w:val="auto"/>
        </w:rPr>
        <w:t xml:space="preserve">If prior to the commencement of any Interest Period for a Loan, the Administrative Agent determines (which determination shall be conclusive absent manifest error), or the Lenders notify the Administrative Agent that they have determined, that adequate and reasonable means do not exist for ascertaining the SOFR Rate for such Interest Period, then the Administrative Agent shall give notice thereof to the Borrower as promptly as practicable and, until the Administrative Agent notifies (if applicable, upon the instruction of the Lenders) the Borrower that the circumstances giving rise to such notice no longer exist, (i) the Loans shall bear interest calculated pursuant to </w:t>
      </w:r>
      <w:r>
        <w:rPr>
          <w:rFonts w:ascii="Arial" w:cs="Arial" w:eastAsia="Arial" w:hAnsi="Arial"/>
          <w:sz w:val="21"/>
          <w:szCs w:val="21"/>
          <w:u w:val="single" w:color="auto"/>
          <w:color w:val="auto"/>
        </w:rPr>
        <w:t>Section 3.4</w:t>
      </w:r>
      <w:r>
        <w:rPr>
          <w:rFonts w:ascii="Arial" w:cs="Arial" w:eastAsia="Arial" w:hAnsi="Arial"/>
          <w:sz w:val="21"/>
          <w:szCs w:val="21"/>
          <w:color w:val="auto"/>
        </w:rPr>
        <w:t xml:space="preserve"> but using the Prime Rate instead of the SOFR Rate and (ii) the continuation of any outstanding Loan or the extension of a new Loan hereunder shall be made with interest calculated pursuant to </w:t>
      </w:r>
      <w:r>
        <w:rPr>
          <w:rFonts w:ascii="Arial" w:cs="Arial" w:eastAsia="Arial" w:hAnsi="Arial"/>
          <w:sz w:val="21"/>
          <w:szCs w:val="21"/>
          <w:u w:val="single" w:color="auto"/>
          <w:color w:val="auto"/>
        </w:rPr>
        <w:t>Section 3.4</w:t>
      </w:r>
      <w:r>
        <w:rPr>
          <w:rFonts w:ascii="Arial" w:cs="Arial" w:eastAsia="Arial" w:hAnsi="Arial"/>
          <w:sz w:val="21"/>
          <w:szCs w:val="21"/>
          <w:color w:val="auto"/>
        </w:rPr>
        <w:t xml:space="preserve"> but using the Prime Rate instead of the SOFR Rate.</w:t>
      </w:r>
    </w:p>
    <w:p>
      <w:pPr>
        <w:spacing w:after="0" w:line="184" w:lineRule="exact"/>
        <w:rPr>
          <w:rFonts w:ascii="Arial" w:cs="Arial" w:eastAsia="Arial" w:hAnsi="Arial"/>
          <w:sz w:val="21"/>
          <w:szCs w:val="21"/>
          <w:color w:val="auto"/>
        </w:rPr>
      </w:pPr>
    </w:p>
    <w:p>
      <w:pPr>
        <w:jc w:val="both"/>
        <w:ind w:left="760" w:firstLine="745"/>
        <w:spacing w:after="0" w:line="245" w:lineRule="auto"/>
        <w:tabs>
          <w:tab w:leader="none" w:pos="1941" w:val="left"/>
        </w:tabs>
        <w:numPr>
          <w:ilvl w:val="0"/>
          <w:numId w:val="44"/>
        </w:numPr>
        <w:rPr>
          <w:rFonts w:ascii="Arial" w:cs="Arial" w:eastAsia="Arial" w:hAnsi="Arial"/>
          <w:sz w:val="21"/>
          <w:szCs w:val="21"/>
          <w:color w:val="auto"/>
        </w:rPr>
      </w:pPr>
      <w:r>
        <w:rPr>
          <w:rFonts w:ascii="Arial" w:cs="Arial" w:eastAsia="Arial" w:hAnsi="Arial"/>
          <w:sz w:val="21"/>
          <w:szCs w:val="21"/>
          <w:color w:val="auto"/>
        </w:rPr>
        <w:t xml:space="preserve">If at any time the Administrative Agent determines (which determination shall be conclusive absent manifest error), or the Lenders notify the Administrative Agent that they have determined, that (i) the circumstances set forth in </w:t>
      </w:r>
      <w:r>
        <w:rPr>
          <w:rFonts w:ascii="Arial" w:cs="Arial" w:eastAsia="Arial" w:hAnsi="Arial"/>
          <w:sz w:val="21"/>
          <w:szCs w:val="21"/>
          <w:u w:val="single" w:color="auto"/>
          <w:color w:val="auto"/>
        </w:rPr>
        <w:t>Section 4.6(a)</w:t>
      </w:r>
      <w:r>
        <w:rPr>
          <w:rFonts w:ascii="Arial" w:cs="Arial" w:eastAsia="Arial" w:hAnsi="Arial"/>
          <w:sz w:val="21"/>
          <w:szCs w:val="21"/>
          <w:color w:val="auto"/>
        </w:rPr>
        <w:t xml:space="preserve"> have arisen and such circumstances are unlikely to be temporary or (ii) the circumstances set forth in </w:t>
      </w:r>
      <w:r>
        <w:rPr>
          <w:rFonts w:ascii="Arial" w:cs="Arial" w:eastAsia="Arial" w:hAnsi="Arial"/>
          <w:sz w:val="21"/>
          <w:szCs w:val="21"/>
          <w:u w:val="single" w:color="auto"/>
          <w:color w:val="auto"/>
        </w:rPr>
        <w:t>Section 4.6(a)</w:t>
      </w:r>
      <w:r>
        <w:rPr>
          <w:rFonts w:ascii="Arial" w:cs="Arial" w:eastAsia="Arial" w:hAnsi="Arial"/>
          <w:sz w:val="21"/>
          <w:szCs w:val="21"/>
          <w:color w:val="auto"/>
        </w:rPr>
        <w:t xml:space="preserve"> have not arisen but the supervisor for the administrator of the SOFR Rate has made a public statement identifying a specific date after which the SOFR Rate shall no longer be used for determining interest rates for loans, then the Administrative Agent (at the direction of the Lenders) and the Borrower shall establish an alternate rate of interest to that based on the SOFR Rate that gives due consideration to the then-prevailing market convention for determining a rate of interest for loans in the United States at such time, and the Lenders and the Borrower shall enter into an amendment to this Agreement to reflect such alternate rate of interest and such other related changes as the Administrative Agent</w:t>
      </w:r>
    </w:p>
    <w:p>
      <w:pPr>
        <w:spacing w:after="0" w:line="180" w:lineRule="exact"/>
        <w:rPr>
          <w:rFonts w:ascii="Arial" w:cs="Arial" w:eastAsia="Arial" w:hAnsi="Arial"/>
          <w:sz w:val="21"/>
          <w:szCs w:val="21"/>
          <w:color w:val="auto"/>
        </w:rPr>
      </w:pPr>
    </w:p>
    <w:p>
      <w:pPr>
        <w:ind w:left="5520" w:hanging="130"/>
        <w:spacing w:after="0"/>
        <w:tabs>
          <w:tab w:leader="none" w:pos="5520" w:val="left"/>
        </w:tabs>
        <w:numPr>
          <w:ilvl w:val="1"/>
          <w:numId w:val="44"/>
        </w:numPr>
        <w:rPr>
          <w:rFonts w:ascii="Arial" w:cs="Arial" w:eastAsia="Arial" w:hAnsi="Arial"/>
          <w:sz w:val="22"/>
          <w:szCs w:val="22"/>
          <w:color w:val="auto"/>
        </w:rPr>
      </w:pPr>
      <w:r>
        <w:rPr>
          <w:rFonts w:ascii="Arial" w:cs="Arial" w:eastAsia="Arial" w:hAnsi="Arial"/>
          <w:sz w:val="22"/>
          <w:szCs w:val="22"/>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8" w:name="page69"/>
    <w:bookmarkEnd w:id="68"/>
    <w:p>
      <w:pPr>
        <w:jc w:val="both"/>
        <w:ind w:left="760"/>
        <w:spacing w:after="0" w:line="235" w:lineRule="auto"/>
        <w:rPr>
          <w:sz w:val="20"/>
          <w:szCs w:val="20"/>
          <w:color w:val="auto"/>
        </w:rPr>
      </w:pPr>
      <w:r>
        <w:rPr>
          <w:rFonts w:ascii="Arial" w:cs="Arial" w:eastAsia="Arial" w:hAnsi="Arial"/>
          <w:sz w:val="22"/>
          <w:szCs w:val="22"/>
          <w:color w:val="auto"/>
        </w:rPr>
        <w:t xml:space="preserve">decides (in consultation with the Borrower) may be appropriate to reflect the adoption and implementation of such rate or to permit the use and administrative thereof by the Administrative Agent in a manner substantially consistent with market practice. Until an alternate rate of interest shall be determined in accordance with this </w:t>
      </w:r>
      <w:r>
        <w:rPr>
          <w:rFonts w:ascii="Arial" w:cs="Arial" w:eastAsia="Arial" w:hAnsi="Arial"/>
          <w:sz w:val="22"/>
          <w:szCs w:val="22"/>
          <w:u w:val="single" w:color="auto"/>
          <w:color w:val="auto"/>
        </w:rPr>
        <w:t>Section 4.6(b)</w:t>
      </w:r>
      <w:r>
        <w:rPr>
          <w:rFonts w:ascii="Arial" w:cs="Arial" w:eastAsia="Arial" w:hAnsi="Arial"/>
          <w:sz w:val="22"/>
          <w:szCs w:val="22"/>
          <w:color w:val="auto"/>
        </w:rPr>
        <w:t xml:space="preserve"> (but, in the case of the circumstances described in clause (ii) of the first sentence of this </w:t>
      </w:r>
      <w:r>
        <w:rPr>
          <w:rFonts w:ascii="Arial" w:cs="Arial" w:eastAsia="Arial" w:hAnsi="Arial"/>
          <w:sz w:val="22"/>
          <w:szCs w:val="22"/>
          <w:u w:val="single" w:color="auto"/>
          <w:color w:val="auto"/>
        </w:rPr>
        <w:t>Section 4.6(b)</w:t>
      </w:r>
      <w:r>
        <w:rPr>
          <w:rFonts w:ascii="Arial" w:cs="Arial" w:eastAsia="Arial" w:hAnsi="Arial"/>
          <w:sz w:val="22"/>
          <w:szCs w:val="22"/>
          <w:color w:val="auto"/>
        </w:rPr>
        <w:t xml:space="preserve">, only to the extent the SOFR Rate for such Interest Period is not available or published at such time on a current basis), </w:t>
      </w:r>
      <w:r>
        <w:rPr>
          <w:rFonts w:ascii="Arial" w:cs="Arial" w:eastAsia="Arial" w:hAnsi="Arial"/>
          <w:sz w:val="22"/>
          <w:szCs w:val="22"/>
          <w:u w:val="single" w:color="auto"/>
          <w:color w:val="auto"/>
        </w:rPr>
        <w:t>Section 4.6(a)</w:t>
      </w:r>
      <w:r>
        <w:rPr>
          <w:rFonts w:ascii="Arial" w:cs="Arial" w:eastAsia="Arial" w:hAnsi="Arial"/>
          <w:sz w:val="22"/>
          <w:szCs w:val="22"/>
          <w:color w:val="auto"/>
        </w:rPr>
        <w:t xml:space="preserve"> shall be applicable.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TO MAKING THE LOANS</w:t>
      </w:r>
    </w:p>
    <w:p>
      <w:pPr>
        <w:spacing w:after="0" w:line="188"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u w:val="single" w:color="auto"/>
          <w:color w:val="auto"/>
        </w:rPr>
        <w:t>Credit Extensions</w:t>
      </w:r>
      <w:r>
        <w:rPr>
          <w:rFonts w:ascii="Arial" w:cs="Arial" w:eastAsia="Arial" w:hAnsi="Arial"/>
          <w:sz w:val="19"/>
          <w:szCs w:val="19"/>
          <w:color w:val="auto"/>
        </w:rPr>
        <w:t xml:space="preserve">. The obligation of each Lender to make its portion of the Initial Loan shall be subject to the execution and delivery of this Agreement by the parties hereto, the delivery of a Loan Request as requested pursuant to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and the satisfaction of each of the conditions precedent set forth below in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Sections 5.18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5.19</w:t>
      </w:r>
      <w:r>
        <w:rPr>
          <w:rFonts w:ascii="Arial" w:cs="Arial" w:eastAsia="Arial" w:hAnsi="Arial"/>
          <w:sz w:val="19"/>
          <w:szCs w:val="19"/>
          <w:color w:val="auto"/>
        </w:rPr>
        <w:t xml:space="preserve">). The obligation of each Lender to make its portion of the First Delayed Draw Loan shall be subject to the prior making of the Initial Loan, the delivery of a Loan Request as requested pursuant to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and the satisfaction of each of the conditions precedent set forth below in </w:t>
      </w:r>
      <w:r>
        <w:rPr>
          <w:rFonts w:ascii="Arial" w:cs="Arial" w:eastAsia="Arial" w:hAnsi="Arial"/>
          <w:sz w:val="19"/>
          <w:szCs w:val="19"/>
          <w:u w:val="single" w:color="auto"/>
          <w:color w:val="auto"/>
        </w:rPr>
        <w:t>Sections 5.3</w:t>
      </w:r>
      <w:r>
        <w:rPr>
          <w:rFonts w:ascii="Arial" w:cs="Arial" w:eastAsia="Arial" w:hAnsi="Arial"/>
          <w:sz w:val="19"/>
          <w:szCs w:val="19"/>
          <w:color w:val="auto"/>
        </w:rPr>
        <w:t xml:space="preserve">, </w:t>
      </w:r>
      <w:r>
        <w:rPr>
          <w:rFonts w:ascii="Arial" w:cs="Arial" w:eastAsia="Arial" w:hAnsi="Arial"/>
          <w:sz w:val="19"/>
          <w:szCs w:val="19"/>
          <w:u w:val="single" w:color="auto"/>
          <w:color w:val="auto"/>
        </w:rPr>
        <w:t>5.8</w:t>
      </w:r>
      <w:r>
        <w:rPr>
          <w:rFonts w:ascii="Arial" w:cs="Arial" w:eastAsia="Arial" w:hAnsi="Arial"/>
          <w:sz w:val="19"/>
          <w:szCs w:val="19"/>
          <w:color w:val="auto"/>
        </w:rPr>
        <w:t xml:space="preserve">, </w:t>
      </w:r>
      <w:r>
        <w:rPr>
          <w:rFonts w:ascii="Arial" w:cs="Arial" w:eastAsia="Arial" w:hAnsi="Arial"/>
          <w:sz w:val="19"/>
          <w:szCs w:val="19"/>
          <w:u w:val="single" w:color="auto"/>
          <w:color w:val="auto"/>
        </w:rPr>
        <w:t>5.18(a)</w:t>
      </w:r>
      <w:r>
        <w:rPr>
          <w:rFonts w:ascii="Arial" w:cs="Arial" w:eastAsia="Arial" w:hAnsi="Arial"/>
          <w:sz w:val="19"/>
          <w:szCs w:val="19"/>
          <w:color w:val="auto"/>
        </w:rPr>
        <w:t xml:space="preserve">, </w:t>
      </w:r>
      <w:r>
        <w:rPr>
          <w:rFonts w:ascii="Arial" w:cs="Arial" w:eastAsia="Arial" w:hAnsi="Arial"/>
          <w:sz w:val="19"/>
          <w:szCs w:val="19"/>
          <w:u w:val="single" w:color="auto"/>
          <w:color w:val="auto"/>
        </w:rPr>
        <w:t>5.19(a)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5.20</w:t>
      </w:r>
      <w:r>
        <w:rPr>
          <w:rFonts w:ascii="Arial" w:cs="Arial" w:eastAsia="Arial" w:hAnsi="Arial"/>
          <w:sz w:val="19"/>
          <w:szCs w:val="19"/>
          <w:color w:val="auto"/>
        </w:rPr>
        <w:t xml:space="preserve">. The obligation of each Lender to make its portion of the Second Delayed Draw Loan shall be subject to the prior making of the Initial Loan and the First Delayed Draw Loan, the delivery of a Loan Request as requested pursuant to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and the satisfaction of each of the conditions precedent set forth below in </w:t>
      </w:r>
      <w:r>
        <w:rPr>
          <w:rFonts w:ascii="Arial" w:cs="Arial" w:eastAsia="Arial" w:hAnsi="Arial"/>
          <w:sz w:val="19"/>
          <w:szCs w:val="19"/>
          <w:u w:val="single" w:color="auto"/>
          <w:color w:val="auto"/>
        </w:rPr>
        <w:t>Sections 5.3</w:t>
      </w:r>
      <w:r>
        <w:rPr>
          <w:rFonts w:ascii="Arial" w:cs="Arial" w:eastAsia="Arial" w:hAnsi="Arial"/>
          <w:sz w:val="19"/>
          <w:szCs w:val="19"/>
          <w:color w:val="auto"/>
        </w:rPr>
        <w:t xml:space="preserve">, </w:t>
      </w:r>
      <w:r>
        <w:rPr>
          <w:rFonts w:ascii="Arial" w:cs="Arial" w:eastAsia="Arial" w:hAnsi="Arial"/>
          <w:sz w:val="19"/>
          <w:szCs w:val="19"/>
          <w:u w:val="single" w:color="auto"/>
          <w:color w:val="auto"/>
        </w:rPr>
        <w:t>5.8</w:t>
      </w:r>
      <w:r>
        <w:rPr>
          <w:rFonts w:ascii="Arial" w:cs="Arial" w:eastAsia="Arial" w:hAnsi="Arial"/>
          <w:sz w:val="19"/>
          <w:szCs w:val="19"/>
          <w:color w:val="auto"/>
        </w:rPr>
        <w:t xml:space="preserve">, </w:t>
      </w:r>
      <w:r>
        <w:rPr>
          <w:rFonts w:ascii="Arial" w:cs="Arial" w:eastAsia="Arial" w:hAnsi="Arial"/>
          <w:sz w:val="19"/>
          <w:szCs w:val="19"/>
          <w:u w:val="single" w:color="auto"/>
          <w:color w:val="auto"/>
        </w:rPr>
        <w:t>5.18(b)</w:t>
      </w:r>
      <w:r>
        <w:rPr>
          <w:rFonts w:ascii="Arial" w:cs="Arial" w:eastAsia="Arial" w:hAnsi="Arial"/>
          <w:sz w:val="19"/>
          <w:szCs w:val="19"/>
          <w:color w:val="auto"/>
        </w:rPr>
        <w:t xml:space="preserve">, </w:t>
      </w:r>
      <w:r>
        <w:rPr>
          <w:rFonts w:ascii="Arial" w:cs="Arial" w:eastAsia="Arial" w:hAnsi="Arial"/>
          <w:sz w:val="19"/>
          <w:szCs w:val="19"/>
          <w:u w:val="single" w:color="auto"/>
          <w:color w:val="auto"/>
        </w:rPr>
        <w:t>5.19(b)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5.20</w:t>
      </w:r>
      <w:r>
        <w:rPr>
          <w:rFonts w:ascii="Arial" w:cs="Arial" w:eastAsia="Arial" w:hAnsi="Arial"/>
          <w:sz w:val="19"/>
          <w:szCs w:val="19"/>
          <w:color w:val="auto"/>
        </w:rPr>
        <w:t>.</w:t>
      </w:r>
    </w:p>
    <w:p>
      <w:pPr>
        <w:spacing w:after="0" w:line="158"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Secretary’s Certificate, Etc</w:t>
      </w:r>
      <w:r>
        <w:rPr>
          <w:rFonts w:ascii="Arial" w:cs="Arial" w:eastAsia="Arial" w:hAnsi="Arial"/>
          <w:sz w:val="22"/>
          <w:szCs w:val="22"/>
          <w:color w:val="auto"/>
        </w:rPr>
        <w:t>. The Administrative Agent and the Lenders shall have received from the Borrower and each Subsidiary party to an Investment Document, (i) a copy of a good standing certificate, dated a date reasonably close to the Closing Date, for each such Person and (ii) a certificate, dated as of the Closing Date, duly executed and delivered by such Person’s Secretary or Assistant Secretary, managing member or general partner, or other Authorized Officer, as applicable, as to:</w:t>
      </w:r>
    </w:p>
    <w:p>
      <w:pPr>
        <w:spacing w:after="0" w:line="187" w:lineRule="exact"/>
        <w:rPr>
          <w:sz w:val="20"/>
          <w:szCs w:val="20"/>
          <w:color w:val="auto"/>
        </w:rPr>
      </w:pPr>
    </w:p>
    <w:p>
      <w:pPr>
        <w:jc w:val="both"/>
        <w:ind w:left="760" w:firstLine="745"/>
        <w:spacing w:after="0" w:line="236" w:lineRule="auto"/>
        <w:tabs>
          <w:tab w:leader="none" w:pos="1941" w:val="left"/>
        </w:tabs>
        <w:numPr>
          <w:ilvl w:val="0"/>
          <w:numId w:val="45"/>
        </w:numPr>
        <w:rPr>
          <w:rFonts w:ascii="Arial" w:cs="Arial" w:eastAsia="Arial" w:hAnsi="Arial"/>
          <w:sz w:val="22"/>
          <w:szCs w:val="22"/>
          <w:color w:val="auto"/>
        </w:rPr>
      </w:pPr>
      <w:r>
        <w:rPr>
          <w:rFonts w:ascii="Arial" w:cs="Arial" w:eastAsia="Arial" w:hAnsi="Arial"/>
          <w:sz w:val="22"/>
          <w:szCs w:val="22"/>
          <w:color w:val="auto"/>
        </w:rPr>
        <w:t>resolutions of each such Person’s board of directors or a duly authorized committee thereof (or other managing body, in the case of a Person other than a corporation) and any other corporate resolutions required by applicable Law or pursuant to such Person’s Organic Documents, each of which shall be then in full force and effect authorizing the execution, delivery and performance of each Investment Document to be executed by such Person and the transactions contemplated hereby and thereby;</w:t>
      </w:r>
    </w:p>
    <w:p>
      <w:pPr>
        <w:spacing w:after="0" w:line="187" w:lineRule="exact"/>
        <w:rPr>
          <w:rFonts w:ascii="Arial" w:cs="Arial" w:eastAsia="Arial" w:hAnsi="Arial"/>
          <w:sz w:val="22"/>
          <w:szCs w:val="22"/>
          <w:color w:val="auto"/>
        </w:rPr>
      </w:pPr>
    </w:p>
    <w:p>
      <w:pPr>
        <w:ind w:left="760" w:right="20" w:firstLine="745"/>
        <w:spacing w:after="0" w:line="328" w:lineRule="auto"/>
        <w:tabs>
          <w:tab w:leader="none" w:pos="1941"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incumbency and signatures of those of its officers, managers, managing member or general partner, as applicable, authorized to act with respect to each Investment Document to be executed by such Person; and</w:t>
      </w:r>
    </w:p>
    <w:p>
      <w:pPr>
        <w:spacing w:after="0" w:line="104" w:lineRule="exact"/>
        <w:rPr>
          <w:rFonts w:ascii="Arial" w:cs="Arial" w:eastAsia="Arial" w:hAnsi="Arial"/>
          <w:sz w:val="19"/>
          <w:szCs w:val="19"/>
          <w:color w:val="auto"/>
        </w:rPr>
      </w:pPr>
    </w:p>
    <w:p>
      <w:pPr>
        <w:ind w:left="1940" w:hanging="435"/>
        <w:spacing w:after="0"/>
        <w:tabs>
          <w:tab w:leader="none" w:pos="19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full force and validity of each Organic Document of such Person and copies thereof;</w:t>
      </w:r>
    </w:p>
    <w:p>
      <w:pPr>
        <w:spacing w:after="0" w:line="20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upon which certificates the Administrative Agent and each Lender may conclusively rely until it shall have received a further certificate of the Secretary, Assistant Secretary, managing member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auto"/>
        </w:rPr>
        <w:t>or general partner, as applicable, of any such Person canceling or amending the prior certificate of such Person.</w:t>
      </w:r>
    </w:p>
    <w:p>
      <w:pPr>
        <w:spacing w:after="0" w:line="20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u w:val="single" w:color="auto"/>
          <w:color w:val="auto"/>
        </w:rPr>
        <w:t>Closing Date Certificates</w:t>
      </w:r>
      <w:r>
        <w:rPr>
          <w:rFonts w:ascii="Arial" w:cs="Arial" w:eastAsia="Arial" w:hAnsi="Arial"/>
          <w:sz w:val="19"/>
          <w:szCs w:val="19"/>
          <w:color w:val="auto"/>
        </w:rPr>
        <w:t xml:space="preserve">. The Administrative Agent and each Lender shall have received a Closing Date Certificate, dated as of the Closing Date, the First Delayed Draw Closing Date or the Second Delayed Draw Closing Date, as the case may be, and duly executed and delivered by an Authorized Officer of the Borrower, in which certificate the Borrower shall agree and acknowledge that the statements made therein shall be deemed in all material respects to be true and correct representations and warranties (except with respect to any representation or warranty qualified by materiality or Material Adverse Effect, each of which representation or warranty is true and correct in all respects) of the Borrower as of such date (except to the extent that they relate specifically to an earlier specified date, in which case they are true and correct in all material respects (except with respect to any representation or warranty qualified by materiality or Material Adverse Effect, each of which representation or warranty is true and correct in all respects) on and as of such earlier date), and, at the time such certificate is delivered, such statements shall in fact be true and correct in all material respects (except with respect to any representation or warranty qualified by materiality or Material Adverse Effect, each of which representation or warranty is true and correct in all respects), and such statements shall include that (i) the representations and warranties set forth in each Investment Document shall, in each case, be true and correct in all material respects (except with respect to any representation or warranty qualified by materiality or Material Adverse Effect, each of which representation or warranty is true and correct in all respects), (ii) no Default shall have then occurred and be continuing, or would result from the Loans to be advanced on the Closing Date, the First Delayed Draw Closing Date or the Second Delayed Draw Closing Date, as the case may be, and (iii) all of the applicable conditions set forth in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have been satisfied. All documents and agreements required to be appended to the Closing Date Certificate, if any, shall be in form and substance satisfactory to the Administrative Agent and the Lenders, shall have been executed and delivered by the requisite parties, and shall be in full force and effect.</w:t>
      </w:r>
    </w:p>
    <w:p>
      <w:pPr>
        <w:spacing w:after="0" w:line="163" w:lineRule="exact"/>
        <w:rPr>
          <w:sz w:val="20"/>
          <w:szCs w:val="20"/>
          <w:color w:val="auto"/>
        </w:rPr>
      </w:pPr>
    </w:p>
    <w:p>
      <w:pPr>
        <w:jc w:val="both"/>
        <w:ind w:firstLine="749"/>
        <w:spacing w:after="0" w:line="248" w:lineRule="exact"/>
        <w:rPr>
          <w:sz w:val="20"/>
          <w:szCs w:val="20"/>
          <w:color w:val="auto"/>
        </w:rPr>
      </w:pPr>
      <w:r>
        <w:rPr>
          <w:rFonts w:ascii="Arial" w:cs="Arial" w:eastAsia="Arial" w:hAnsi="Arial"/>
          <w:sz w:val="22"/>
          <w:szCs w:val="22"/>
          <w:color w:val="auto"/>
        </w:rPr>
        <w:t xml:space="preserve">SECTION 5.4 </w:t>
      </w:r>
      <w:r>
        <w:rPr>
          <w:rFonts w:ascii="Arial" w:cs="Arial" w:eastAsia="Arial" w:hAnsi="Arial"/>
          <w:sz w:val="22"/>
          <w:szCs w:val="22"/>
          <w:u w:val="single" w:color="auto"/>
          <w:color w:val="auto"/>
        </w:rPr>
        <w:t>Payment of Outstanding Indebtedness, Etc</w:t>
      </w:r>
      <w:r>
        <w:rPr>
          <w:rFonts w:ascii="Arial" w:cs="Arial" w:eastAsia="Arial" w:hAnsi="Arial"/>
          <w:sz w:val="22"/>
          <w:szCs w:val="22"/>
          <w:color w:val="auto"/>
        </w:rPr>
        <w:t xml:space="preserve">. All Indebtedness identified in </w:t>
      </w:r>
      <w:r>
        <w:rPr>
          <w:rFonts w:ascii="Arial" w:cs="Arial" w:eastAsia="Arial" w:hAnsi="Arial"/>
          <w:sz w:val="22"/>
          <w:szCs w:val="22"/>
          <w:u w:val="single" w:color="auto"/>
          <w:color w:val="auto"/>
        </w:rPr>
        <w:t>Schedule 8.2(a)</w:t>
      </w:r>
      <w:r>
        <w:rPr>
          <w:rFonts w:ascii="Arial" w:cs="Arial" w:eastAsia="Arial" w:hAnsi="Arial"/>
          <w:sz w:val="22"/>
          <w:szCs w:val="22"/>
          <w:color w:val="auto"/>
        </w:rPr>
        <w:t>, together with all interest, all prepayment premiums and all other amounts due and payable with respect thereto, shall have been paid in full from the proceeds of the Initial Loan and the commitments in respect of such Indebtedness shall have been terminated, and all Liens securing payment of any such Indebtedness shall have been released and the Administrative Agent shall have received all UCC Form UCC</w:t>
      </w:r>
      <w:r>
        <w:rPr>
          <w:rFonts w:ascii="MS PGothic" w:cs="MS PGothic" w:eastAsia="MS PGothic" w:hAnsi="MS PGothic"/>
          <w:sz w:val="22"/>
          <w:szCs w:val="22"/>
          <w:color w:val="auto"/>
        </w:rPr>
        <w:t>‑</w:t>
      </w:r>
      <w:r>
        <w:rPr>
          <w:rFonts w:ascii="Arial" w:cs="Arial" w:eastAsia="Arial" w:hAnsi="Arial"/>
          <w:sz w:val="22"/>
          <w:szCs w:val="22"/>
          <w:color w:val="auto"/>
        </w:rPr>
        <w:t>3 termination statements or other instruments (including customary payoff letters) as may be suitable or appropriate in connection therewith.</w:t>
      </w:r>
    </w:p>
    <w:p>
      <w:pPr>
        <w:spacing w:after="0" w:line="18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5.5 </w:t>
      </w:r>
      <w:r>
        <w:rPr>
          <w:rFonts w:ascii="Arial" w:cs="Arial" w:eastAsia="Arial" w:hAnsi="Arial"/>
          <w:sz w:val="22"/>
          <w:szCs w:val="22"/>
          <w:u w:val="single" w:color="auto"/>
          <w:color w:val="auto"/>
        </w:rPr>
        <w:t>Delivery of Note</w:t>
      </w:r>
      <w:r>
        <w:rPr>
          <w:rFonts w:ascii="Arial" w:cs="Arial" w:eastAsia="Arial" w:hAnsi="Arial"/>
          <w:sz w:val="22"/>
          <w:szCs w:val="22"/>
          <w:color w:val="auto"/>
        </w:rPr>
        <w:t>. Each Lender shall have received a Note duly executed and delivered by an Authorized Officer of the Borrower.</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5.6 </w:t>
      </w:r>
      <w:r>
        <w:rPr>
          <w:rFonts w:ascii="Arial" w:cs="Arial" w:eastAsia="Arial" w:hAnsi="Arial"/>
          <w:sz w:val="22"/>
          <w:szCs w:val="22"/>
          <w:u w:val="single" w:color="auto"/>
          <w:color w:val="auto"/>
        </w:rPr>
        <w:t>Financial Information, Etc</w:t>
      </w:r>
      <w:r>
        <w:rPr>
          <w:rFonts w:ascii="Arial" w:cs="Arial" w:eastAsia="Arial" w:hAnsi="Arial"/>
          <w:sz w:val="22"/>
          <w:szCs w:val="22"/>
          <w:color w:val="auto"/>
        </w:rPr>
        <w:t>. The Administrative Agent and each Lender shall have received:</w:t>
      </w:r>
    </w:p>
    <w:p>
      <w:pPr>
        <w:spacing w:after="0" w:line="206" w:lineRule="exact"/>
        <w:rPr>
          <w:sz w:val="20"/>
          <w:szCs w:val="20"/>
          <w:color w:val="auto"/>
        </w:rPr>
      </w:pPr>
    </w:p>
    <w:p>
      <w:pPr>
        <w:ind w:left="760" w:right="20" w:firstLine="745"/>
        <w:spacing w:after="0" w:line="250" w:lineRule="auto"/>
        <w:tabs>
          <w:tab w:leader="none" w:pos="1941" w:val="left"/>
        </w:tabs>
        <w:numPr>
          <w:ilvl w:val="0"/>
          <w:numId w:val="46"/>
        </w:numPr>
        <w:rPr>
          <w:rFonts w:ascii="Arial" w:cs="Arial" w:eastAsia="Arial" w:hAnsi="Arial"/>
          <w:sz w:val="22"/>
          <w:szCs w:val="22"/>
          <w:color w:val="auto"/>
        </w:rPr>
      </w:pPr>
      <w:r>
        <w:rPr>
          <w:rFonts w:ascii="Arial" w:cs="Arial" w:eastAsia="Arial" w:hAnsi="Arial"/>
          <w:sz w:val="22"/>
          <w:szCs w:val="22"/>
          <w:color w:val="auto"/>
        </w:rPr>
        <w:t>audited consolidated financial statements of the Borrower and the Subsidiaries for each of the Fiscal Years ended December 31, 2020, December 31, 2021, and December 31, 2022;</w:t>
      </w:r>
    </w:p>
    <w:p>
      <w:pPr>
        <w:spacing w:after="0" w:line="174" w:lineRule="exact"/>
        <w:rPr>
          <w:rFonts w:ascii="Arial" w:cs="Arial" w:eastAsia="Arial" w:hAnsi="Arial"/>
          <w:sz w:val="22"/>
          <w:szCs w:val="22"/>
          <w:color w:val="auto"/>
        </w:rPr>
      </w:pPr>
    </w:p>
    <w:p>
      <w:pPr>
        <w:ind w:left="5520" w:hanging="130"/>
        <w:spacing w:after="0"/>
        <w:tabs>
          <w:tab w:leader="none" w:pos="5520" w:val="left"/>
        </w:tabs>
        <w:numPr>
          <w:ilvl w:val="1"/>
          <w:numId w:val="46"/>
        </w:numPr>
        <w:rPr>
          <w:rFonts w:ascii="Arial" w:cs="Arial" w:eastAsia="Arial" w:hAnsi="Arial"/>
          <w:sz w:val="22"/>
          <w:szCs w:val="22"/>
          <w:color w:val="auto"/>
        </w:rPr>
      </w:pPr>
      <w:r>
        <w:rPr>
          <w:rFonts w:ascii="Arial" w:cs="Arial" w:eastAsia="Arial" w:hAnsi="Arial"/>
          <w:sz w:val="22"/>
          <w:szCs w:val="22"/>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0" w:name="page71"/>
    <w:bookmarkEnd w:id="70"/>
    <w:p>
      <w:pPr>
        <w:jc w:val="both"/>
        <w:ind w:left="760" w:right="20" w:firstLine="745"/>
        <w:spacing w:after="0"/>
        <w:tabs>
          <w:tab w:leader="none" w:pos="1941" w:val="left"/>
        </w:tabs>
        <w:numPr>
          <w:ilvl w:val="0"/>
          <w:numId w:val="47"/>
        </w:numPr>
        <w:rPr>
          <w:rFonts w:ascii="Arial" w:cs="Arial" w:eastAsia="Arial" w:hAnsi="Arial"/>
          <w:sz w:val="22"/>
          <w:szCs w:val="22"/>
          <w:color w:val="auto"/>
        </w:rPr>
      </w:pPr>
      <w:r>
        <w:rPr>
          <w:rFonts w:ascii="Arial" w:cs="Arial" w:eastAsia="Arial" w:hAnsi="Arial"/>
          <w:sz w:val="22"/>
          <w:szCs w:val="22"/>
          <w:color w:val="auto"/>
        </w:rPr>
        <w:t>unaudited consolidated balance sheets of the Borrower and the Subsidiaries for the Fiscal Quarters ended March 31, 2023 and June 30, 2023, together with the related statements of operations, comprehensive loss, stockholders’ equity and cash flows for the three months then ended; and</w:t>
      </w:r>
    </w:p>
    <w:p>
      <w:pPr>
        <w:spacing w:after="0" w:line="186" w:lineRule="exact"/>
        <w:rPr>
          <w:rFonts w:ascii="Arial" w:cs="Arial" w:eastAsia="Arial" w:hAnsi="Arial"/>
          <w:sz w:val="22"/>
          <w:szCs w:val="22"/>
          <w:color w:val="auto"/>
        </w:rPr>
      </w:pPr>
    </w:p>
    <w:p>
      <w:pPr>
        <w:ind w:left="760" w:right="20" w:firstLine="745"/>
        <w:spacing w:after="0" w:line="250" w:lineRule="auto"/>
        <w:tabs>
          <w:tab w:leader="none" w:pos="1941" w:val="left"/>
        </w:tabs>
        <w:numPr>
          <w:ilvl w:val="0"/>
          <w:numId w:val="47"/>
        </w:numPr>
        <w:rPr>
          <w:rFonts w:ascii="Arial" w:cs="Arial" w:eastAsia="Arial" w:hAnsi="Arial"/>
          <w:sz w:val="22"/>
          <w:szCs w:val="22"/>
          <w:color w:val="auto"/>
        </w:rPr>
      </w:pPr>
      <w:r>
        <w:rPr>
          <w:rFonts w:ascii="Arial" w:cs="Arial" w:eastAsia="Arial" w:hAnsi="Arial"/>
          <w:sz w:val="22"/>
          <w:szCs w:val="22"/>
          <w:color w:val="auto"/>
        </w:rPr>
        <w:t>such other financial information as to the Borrower and the Subsidiaries and their respective businesses, assets and liabilities as the Administrative Agent may reasonably request.</w:t>
      </w:r>
    </w:p>
    <w:p>
      <w:pPr>
        <w:spacing w:after="0" w:line="175"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 xml:space="preserve">SECTION 5.7 </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The Administrative Agent and the Lenders shall have received an initial Compliance Certificate on a pro forma basis as if the Initial Loan had been made as of June 30, 2023 and as to such items therein as the Administrative Agent or any Lender reasonably requests, dated the Closing Date, duly executed (and with all schedules thereto duly completed) and delivered by the chief financial or accounting Authorized Officer of the Borrower.</w:t>
      </w:r>
    </w:p>
    <w:p>
      <w:pPr>
        <w:spacing w:after="0" w:line="143"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5.8 </w:t>
      </w:r>
      <w:r>
        <w:rPr>
          <w:rFonts w:ascii="Arial" w:cs="Arial" w:eastAsia="Arial" w:hAnsi="Arial"/>
          <w:sz w:val="22"/>
          <w:szCs w:val="22"/>
          <w:u w:val="single" w:color="auto"/>
          <w:color w:val="auto"/>
        </w:rPr>
        <w:t>Solvency, Etc</w:t>
      </w:r>
      <w:r>
        <w:rPr>
          <w:rFonts w:ascii="Arial" w:cs="Arial" w:eastAsia="Arial" w:hAnsi="Arial"/>
          <w:sz w:val="22"/>
          <w:szCs w:val="22"/>
          <w:color w:val="auto"/>
        </w:rPr>
        <w:t>. The Administrative Agent and the Lenders shall have received a solvency certificate duly executed and delivered by the chief financial or accounting Authorized Officer of the Borrower, dated as of the Closing Date, the First Delayed Draw Closing Date or the Second Delayed Draw Closing Date, as the case may be, in form and substance satisfactory to the Administrative Agent and the Lenders.</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5.9 </w:t>
      </w:r>
      <w:r>
        <w:rPr>
          <w:rFonts w:ascii="Arial" w:cs="Arial" w:eastAsia="Arial" w:hAnsi="Arial"/>
          <w:sz w:val="22"/>
          <w:szCs w:val="22"/>
          <w:u w:val="single" w:color="auto"/>
          <w:color w:val="auto"/>
        </w:rPr>
        <w:t>Guarantee</w:t>
      </w:r>
      <w:r>
        <w:rPr>
          <w:rFonts w:ascii="Arial" w:cs="Arial" w:eastAsia="Arial" w:hAnsi="Arial"/>
          <w:sz w:val="22"/>
          <w:szCs w:val="22"/>
          <w:color w:val="auto"/>
        </w:rPr>
        <w:t>. The Administrative Agent and the Lenders shall have received executed counterparts of the Guarantee, dated as of the date hereof, duly executed and delivered by each Guarantor.</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Security Agreements.</w:t>
      </w:r>
      <w:r>
        <w:rPr>
          <w:rFonts w:ascii="Arial" w:cs="Arial" w:eastAsia="Arial" w:hAnsi="Arial"/>
          <w:sz w:val="22"/>
          <w:szCs w:val="22"/>
          <w:color w:val="auto"/>
        </w:rPr>
        <w:t xml:space="preserve"> The Administrative Agent and the Lenders shall have received executed counterparts of the Security Agreement, dated as of the date hereof, duly executed and delivered by the Borrower and each Guarantor, together with:</w:t>
      </w:r>
    </w:p>
    <w:p>
      <w:pPr>
        <w:spacing w:after="0" w:line="186" w:lineRule="exact"/>
        <w:rPr>
          <w:sz w:val="20"/>
          <w:szCs w:val="20"/>
          <w:color w:val="auto"/>
        </w:rPr>
      </w:pPr>
    </w:p>
    <w:p>
      <w:pPr>
        <w:jc w:val="both"/>
        <w:ind w:left="760" w:firstLine="745"/>
        <w:spacing w:after="0" w:line="246" w:lineRule="auto"/>
        <w:tabs>
          <w:tab w:leader="none" w:pos="1941" w:val="left"/>
        </w:tabs>
        <w:numPr>
          <w:ilvl w:val="0"/>
          <w:numId w:val="48"/>
        </w:numPr>
        <w:rPr>
          <w:rFonts w:ascii="Arial" w:cs="Arial" w:eastAsia="Arial" w:hAnsi="Arial"/>
          <w:sz w:val="21"/>
          <w:szCs w:val="21"/>
          <w:color w:val="auto"/>
        </w:rPr>
      </w:pPr>
      <w:r>
        <w:rPr>
          <w:rFonts w:ascii="Arial" w:cs="Arial" w:eastAsia="Arial" w:hAnsi="Arial"/>
          <w:sz w:val="21"/>
          <w:szCs w:val="21"/>
          <w:color w:val="auto"/>
        </w:rPr>
        <w:t>certificates (in the case of Capital Securities that are securities (as defined in the UCC)) evidencing all of the issued and outstanding Capital Securities owned by the Borrower or any Guarantor in any Subsidiary of the Borrower, which certificates in each case shall be accompanied by undated instruments of transfer duly executed in blank, or, in the case of Capital Securities that are uncertificated securities (as defined in the UCC), confirmation and evidence satisfactory to the Administrative Agent that the security interest therein has been transferred to and perfected by the Administrative Agent in accordance with Articles 8 and 9 of the UCC and all laws otherwise applicable to the perfection of the pledge of such Capital Securities;</w:t>
      </w:r>
    </w:p>
    <w:p>
      <w:pPr>
        <w:spacing w:after="0" w:line="184" w:lineRule="exact"/>
        <w:rPr>
          <w:rFonts w:ascii="Arial" w:cs="Arial" w:eastAsia="Arial" w:hAnsi="Arial"/>
          <w:sz w:val="21"/>
          <w:szCs w:val="21"/>
          <w:color w:val="auto"/>
        </w:rPr>
      </w:pPr>
    </w:p>
    <w:p>
      <w:pPr>
        <w:jc w:val="both"/>
        <w:ind w:left="760" w:right="20" w:firstLine="745"/>
        <w:spacing w:after="0" w:line="238" w:lineRule="auto"/>
        <w:tabs>
          <w:tab w:leader="none" w:pos="1941" w:val="left"/>
        </w:tabs>
        <w:numPr>
          <w:ilvl w:val="0"/>
          <w:numId w:val="48"/>
        </w:numPr>
        <w:rPr>
          <w:rFonts w:ascii="Arial" w:cs="Arial" w:eastAsia="Arial" w:hAnsi="Arial"/>
          <w:sz w:val="22"/>
          <w:szCs w:val="22"/>
          <w:color w:val="auto"/>
        </w:rPr>
      </w:pPr>
      <w:r>
        <w:rPr>
          <w:rFonts w:ascii="Arial" w:cs="Arial" w:eastAsia="Arial" w:hAnsi="Arial"/>
          <w:sz w:val="22"/>
          <w:szCs w:val="22"/>
          <w:color w:val="auto"/>
        </w:rPr>
        <w:t>financing statements suitable in form for naming the Borrower and each Guarantor as a debtor and the Administrative Agent as the secured party, or other similar instruments or documents to be filed under the UCC of all jurisdictions as may be necessary or, in the opinion of the Administrative Agent, desirable to perfect the security interests of the Secured Parties pursuant to the Security Agreement;</w:t>
      </w:r>
    </w:p>
    <w:p>
      <w:pPr>
        <w:spacing w:after="0" w:line="184" w:lineRule="exact"/>
        <w:rPr>
          <w:rFonts w:ascii="Arial" w:cs="Arial" w:eastAsia="Arial" w:hAnsi="Arial"/>
          <w:sz w:val="22"/>
          <w:szCs w:val="22"/>
          <w:color w:val="auto"/>
        </w:rPr>
      </w:pPr>
    </w:p>
    <w:p>
      <w:pPr>
        <w:ind w:left="760" w:right="40" w:firstLine="745"/>
        <w:spacing w:after="0" w:line="259" w:lineRule="exact"/>
        <w:tabs>
          <w:tab w:leader="none" w:pos="1941" w:val="left"/>
        </w:tabs>
        <w:numPr>
          <w:ilvl w:val="0"/>
          <w:numId w:val="48"/>
        </w:numPr>
        <w:rPr>
          <w:rFonts w:ascii="Arial" w:cs="Arial" w:eastAsia="Arial" w:hAnsi="Arial"/>
          <w:sz w:val="22"/>
          <w:szCs w:val="22"/>
          <w:color w:val="auto"/>
        </w:rPr>
      </w:pPr>
      <w:r>
        <w:rPr>
          <w:rFonts w:ascii="Arial" w:cs="Arial" w:eastAsia="Arial" w:hAnsi="Arial"/>
          <w:sz w:val="22"/>
          <w:szCs w:val="22"/>
          <w:color w:val="auto"/>
        </w:rPr>
        <w:t>UCC Form UCC</w:t>
      </w:r>
      <w:r>
        <w:rPr>
          <w:rFonts w:ascii="MS PGothic" w:cs="MS PGothic" w:eastAsia="MS PGothic" w:hAnsi="MS PGothic"/>
          <w:sz w:val="22"/>
          <w:szCs w:val="22"/>
          <w:color w:val="auto"/>
        </w:rPr>
        <w:t>‑</w:t>
      </w:r>
      <w:r>
        <w:rPr>
          <w:rFonts w:ascii="Arial" w:cs="Arial" w:eastAsia="Arial" w:hAnsi="Arial"/>
          <w:sz w:val="22"/>
          <w:szCs w:val="22"/>
          <w:color w:val="auto"/>
        </w:rPr>
        <w:t>3 termination statements, if any, necessary to release all Liens and other rights of any Person (i) in any assets of the Borrower or any Subsidiary, or</w:t>
      </w:r>
    </w:p>
    <w:p>
      <w:pPr>
        <w:spacing w:after="0" w:line="185" w:lineRule="exact"/>
        <w:rPr>
          <w:rFonts w:ascii="Arial" w:cs="Arial" w:eastAsia="Arial" w:hAnsi="Arial"/>
          <w:sz w:val="22"/>
          <w:szCs w:val="22"/>
          <w:color w:val="auto"/>
        </w:rPr>
      </w:pPr>
    </w:p>
    <w:p>
      <w:pPr>
        <w:ind w:left="5520" w:hanging="130"/>
        <w:spacing w:after="0"/>
        <w:tabs>
          <w:tab w:leader="none" w:pos="5520" w:val="left"/>
        </w:tabs>
        <w:numPr>
          <w:ilvl w:val="1"/>
          <w:numId w:val="48"/>
        </w:numPr>
        <w:rPr>
          <w:rFonts w:ascii="Arial" w:cs="Arial" w:eastAsia="Arial" w:hAnsi="Arial"/>
          <w:sz w:val="22"/>
          <w:szCs w:val="22"/>
          <w:color w:val="auto"/>
        </w:rPr>
      </w:pPr>
      <w:r>
        <w:rPr>
          <w:rFonts w:ascii="Arial" w:cs="Arial" w:eastAsia="Arial" w:hAnsi="Arial"/>
          <w:sz w:val="22"/>
          <w:szCs w:val="22"/>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1" w:name="page72"/>
    <w:bookmarkEnd w:id="71"/>
    <w:p>
      <w:pPr>
        <w:jc w:val="both"/>
        <w:ind w:left="760" w:hanging="3"/>
        <w:spacing w:after="0" w:line="253" w:lineRule="exact"/>
        <w:tabs>
          <w:tab w:leader="none" w:pos="1135"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securing any of the Indebtedness identified in </w:t>
      </w:r>
      <w:r>
        <w:rPr>
          <w:rFonts w:ascii="Arial" w:cs="Arial" w:eastAsia="Arial" w:hAnsi="Arial"/>
          <w:sz w:val="22"/>
          <w:szCs w:val="22"/>
          <w:u w:val="single" w:color="auto"/>
          <w:color w:val="auto"/>
        </w:rPr>
        <w:t>Schedule 8.2(a)</w:t>
      </w:r>
      <w:r>
        <w:rPr>
          <w:rFonts w:ascii="Arial" w:cs="Arial" w:eastAsia="Arial" w:hAnsi="Arial"/>
          <w:sz w:val="22"/>
          <w:szCs w:val="22"/>
          <w:color w:val="auto"/>
        </w:rPr>
        <w:t>, together with such other UCC Form UCC</w:t>
      </w:r>
      <w:r>
        <w:rPr>
          <w:rFonts w:ascii="MS PGothic" w:cs="MS PGothic" w:eastAsia="MS PGothic" w:hAnsi="MS PGothic"/>
          <w:sz w:val="22"/>
          <w:szCs w:val="22"/>
          <w:color w:val="auto"/>
        </w:rPr>
        <w:t>‑</w:t>
      </w:r>
      <w:r>
        <w:rPr>
          <w:rFonts w:ascii="Arial" w:cs="Arial" w:eastAsia="Arial" w:hAnsi="Arial"/>
          <w:sz w:val="22"/>
          <w:szCs w:val="22"/>
          <w:color w:val="auto"/>
        </w:rPr>
        <w:t>3 termination statements as the Administrative Agent and the Lenders may reasonably request from the Borrower or any Subsidiary;</w:t>
      </w:r>
    </w:p>
    <w:p>
      <w:pPr>
        <w:spacing w:after="0" w:line="186" w:lineRule="exact"/>
        <w:rPr>
          <w:rFonts w:ascii="Arial" w:cs="Arial" w:eastAsia="Arial" w:hAnsi="Arial"/>
          <w:sz w:val="22"/>
          <w:szCs w:val="22"/>
          <w:color w:val="auto"/>
        </w:rPr>
      </w:pPr>
    </w:p>
    <w:p>
      <w:pPr>
        <w:jc w:val="both"/>
        <w:ind w:left="760" w:firstLine="745"/>
        <w:spacing w:after="0"/>
        <w:tabs>
          <w:tab w:leader="none" w:pos="1941" w:val="left"/>
        </w:tabs>
        <w:numPr>
          <w:ilvl w:val="1"/>
          <w:numId w:val="49"/>
        </w:numPr>
        <w:rPr>
          <w:rFonts w:ascii="Arial" w:cs="Arial" w:eastAsia="Arial" w:hAnsi="Arial"/>
          <w:sz w:val="22"/>
          <w:szCs w:val="22"/>
          <w:color w:val="auto"/>
        </w:rPr>
      </w:pPr>
      <w:r>
        <w:rPr>
          <w:rFonts w:ascii="Arial" w:cs="Arial" w:eastAsia="Arial" w:hAnsi="Arial"/>
          <w:sz w:val="22"/>
          <w:szCs w:val="22"/>
          <w:color w:val="auto"/>
        </w:rPr>
        <w:t>landlord access agreements and bailee letters in form and substance satisfactory to the Administrative Agent and the Lenders from each landlord to the Borrower or any Guarantor and each other Person that has possession of any books and records, or more than $250,000 of other Collateral; and</w:t>
      </w:r>
    </w:p>
    <w:p>
      <w:pPr>
        <w:spacing w:after="0" w:line="186" w:lineRule="exact"/>
        <w:rPr>
          <w:rFonts w:ascii="Arial" w:cs="Arial" w:eastAsia="Arial" w:hAnsi="Arial"/>
          <w:sz w:val="22"/>
          <w:szCs w:val="22"/>
          <w:color w:val="auto"/>
        </w:rPr>
      </w:pPr>
    </w:p>
    <w:p>
      <w:pPr>
        <w:jc w:val="both"/>
        <w:ind w:left="760" w:right="20" w:firstLine="745"/>
        <w:spacing w:after="0"/>
        <w:tabs>
          <w:tab w:leader="none" w:pos="1941" w:val="left"/>
        </w:tabs>
        <w:numPr>
          <w:ilvl w:val="1"/>
          <w:numId w:val="49"/>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7.16</w:t>
      </w:r>
      <w:r>
        <w:rPr>
          <w:rFonts w:ascii="Arial" w:cs="Arial" w:eastAsia="Arial" w:hAnsi="Arial"/>
          <w:sz w:val="22"/>
          <w:szCs w:val="22"/>
          <w:color w:val="auto"/>
        </w:rPr>
        <w:t>, evidence that all deposit accounts, lockboxes, disbursement accounts, investment accounts or other similar accounts of the Borrower and each Guarantor are Controlled Accounts (other than Excluded Accounts).</w:t>
      </w:r>
    </w:p>
    <w:p>
      <w:pPr>
        <w:spacing w:after="0" w:line="18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SECTION 5.11 </w:t>
      </w:r>
      <w:r>
        <w:rPr>
          <w:rFonts w:ascii="Arial" w:cs="Arial" w:eastAsia="Arial" w:hAnsi="Arial"/>
          <w:sz w:val="22"/>
          <w:szCs w:val="22"/>
          <w:u w:val="single" w:color="auto"/>
          <w:color w:val="auto"/>
        </w:rPr>
        <w:t>Intellectual Property Security Agreements</w:t>
      </w:r>
      <w:r>
        <w:rPr>
          <w:rFonts w:ascii="Arial" w:cs="Arial" w:eastAsia="Arial" w:hAnsi="Arial"/>
          <w:sz w:val="22"/>
          <w:szCs w:val="22"/>
          <w:color w:val="auto"/>
        </w:rPr>
        <w:t>. The Administrative Agent and the Lenders shall have received a Patent Security Agreement, a Copyright Security Agreement and a Trademark Security Agreement, as applicable, each dated as of the Closing Date, duly executed and delivered by the Borrower or any Guarantor that, pursuant to the Security Agreement, is required to provide such intellectual property security agreements to the Administrative Agent for the benefit of the Secured Parties.</w:t>
      </w:r>
    </w:p>
    <w:p>
      <w:pPr>
        <w:spacing w:after="0" w:line="18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u w:val="single" w:color="auto"/>
          <w:color w:val="auto"/>
        </w:rPr>
        <w:t>Warrants</w:t>
      </w:r>
      <w:r>
        <w:rPr>
          <w:rFonts w:ascii="Arial" w:cs="Arial" w:eastAsia="Arial" w:hAnsi="Arial"/>
          <w:sz w:val="22"/>
          <w:szCs w:val="22"/>
          <w:color w:val="auto"/>
        </w:rPr>
        <w:t>. The Initial Lender shall have received satisfactory evidence that the Warrants, dated as of the Closing Date, have been executed and delivered by an Authorized Officer of the Borrower.</w:t>
      </w:r>
    </w:p>
    <w:p>
      <w:pPr>
        <w:spacing w:after="0" w:line="17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 xml:space="preserve">SECTION 5.13 </w:t>
      </w:r>
      <w:r>
        <w:rPr>
          <w:rFonts w:ascii="Arial" w:cs="Arial" w:eastAsia="Arial" w:hAnsi="Arial"/>
          <w:sz w:val="21"/>
          <w:szCs w:val="21"/>
          <w:u w:val="single" w:color="auto"/>
          <w:color w:val="auto"/>
        </w:rPr>
        <w:t>Opinions of Counsel.</w:t>
      </w:r>
      <w:r>
        <w:rPr>
          <w:rFonts w:ascii="Arial" w:cs="Arial" w:eastAsia="Arial" w:hAnsi="Arial"/>
          <w:sz w:val="21"/>
          <w:szCs w:val="21"/>
          <w:color w:val="auto"/>
        </w:rPr>
        <w:t xml:space="preserve"> The Administrative Agent and the Lenders shall have received an opinion, dated the Closing Date and addressed to the Administrative Agent and the Lenders, from K&amp;L Gates LLP, counsel to the Borrower and the Guarantors, in form and substance satisfactory to the Administrative Agent and the Lenders.</w:t>
      </w:r>
    </w:p>
    <w:p>
      <w:pPr>
        <w:spacing w:after="0" w:line="169"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5.14 </w:t>
      </w:r>
      <w:r>
        <w:rPr>
          <w:rFonts w:ascii="Arial" w:cs="Arial" w:eastAsia="Arial" w:hAnsi="Arial"/>
          <w:sz w:val="22"/>
          <w:szCs w:val="22"/>
          <w:u w:val="single" w:color="auto"/>
          <w:color w:val="auto"/>
        </w:rPr>
        <w:t>Insurance</w:t>
      </w:r>
      <w:r>
        <w:rPr>
          <w:rFonts w:ascii="Arial" w:cs="Arial" w:eastAsia="Arial" w:hAnsi="Arial"/>
          <w:sz w:val="22"/>
          <w:szCs w:val="22"/>
          <w:color w:val="auto"/>
        </w:rPr>
        <w:t>. The Administrative Agent and the Lenders shall have received certified copies of the insurance policies (or binders in respect thereof), from one or more insurance companies satisfactory to the Administrative Agent, evidencing coverage required to be maintained pursuant to each Loan Document, with the Administrative Agent named as loss payee or additional insured, as applicable.</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5.15 </w:t>
      </w:r>
      <w:r>
        <w:rPr>
          <w:rFonts w:ascii="Arial" w:cs="Arial" w:eastAsia="Arial" w:hAnsi="Arial"/>
          <w:sz w:val="22"/>
          <w:szCs w:val="22"/>
          <w:u w:val="single" w:color="auto"/>
          <w:color w:val="auto"/>
        </w:rPr>
        <w:t>Closing Fees, Expenses, Etc.</w:t>
      </w:r>
      <w:r>
        <w:rPr>
          <w:rFonts w:ascii="Arial" w:cs="Arial" w:eastAsia="Arial" w:hAnsi="Arial"/>
          <w:sz w:val="22"/>
          <w:szCs w:val="22"/>
          <w:color w:val="auto"/>
        </w:rPr>
        <w:t xml:space="preserve">. The Administrative Agent and each Lender, as applicable, shall have received for its own account (i) all fees, costs and expenses due and payable pursuant to </w:t>
      </w:r>
      <w:r>
        <w:rPr>
          <w:rFonts w:ascii="Arial" w:cs="Arial" w:eastAsia="Arial" w:hAnsi="Arial"/>
          <w:sz w:val="22"/>
          <w:szCs w:val="22"/>
          <w:u w:val="single" w:color="auto"/>
          <w:color w:val="auto"/>
        </w:rPr>
        <w:t>Section 10.3</w:t>
      </w:r>
      <w:r>
        <w:rPr>
          <w:rFonts w:ascii="Arial" w:cs="Arial" w:eastAsia="Arial" w:hAnsi="Arial"/>
          <w:sz w:val="22"/>
          <w:szCs w:val="22"/>
          <w:color w:val="auto"/>
        </w:rPr>
        <w:t xml:space="preserve">, (ii) the Upfront Fee and (iii) the initial Administration Fee as set forth in </w:t>
      </w:r>
      <w:r>
        <w:rPr>
          <w:rFonts w:ascii="Arial" w:cs="Arial" w:eastAsia="Arial" w:hAnsi="Arial"/>
          <w:sz w:val="22"/>
          <w:szCs w:val="22"/>
          <w:u w:val="single" w:color="auto"/>
          <w:color w:val="auto"/>
        </w:rPr>
        <w:t>Section 3.11</w:t>
      </w:r>
      <w:r>
        <w:rPr>
          <w:rFonts w:ascii="Arial" w:cs="Arial" w:eastAsia="Arial" w:hAnsi="Arial"/>
          <w:sz w:val="22"/>
          <w:szCs w:val="22"/>
          <w:color w:val="auto"/>
        </w:rPr>
        <w:t>.</w:t>
      </w:r>
    </w:p>
    <w:p>
      <w:pPr>
        <w:spacing w:after="0" w:line="186"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 xml:space="preserve">SECTION 5.16 </w:t>
      </w:r>
      <w:r>
        <w:rPr>
          <w:rFonts w:ascii="Arial" w:cs="Arial" w:eastAsia="Arial" w:hAnsi="Arial"/>
          <w:sz w:val="19"/>
          <w:szCs w:val="19"/>
          <w:u w:val="single" w:color="auto"/>
          <w:color w:val="auto"/>
        </w:rPr>
        <w:t>Anti-Terrorism Laws</w:t>
      </w:r>
      <w:r>
        <w:rPr>
          <w:rFonts w:ascii="Arial" w:cs="Arial" w:eastAsia="Arial" w:hAnsi="Arial"/>
          <w:sz w:val="19"/>
          <w:szCs w:val="19"/>
          <w:color w:val="auto"/>
        </w:rPr>
        <w:t>. The Administrative Agent and each Lender, as applicable, shall have received, as applicable, all documentation and other information required by bank regulatory authorities under applicable “know your customer” and anti-money laundering rules and regulations, including the U.S.A. Patriot Act and any other foreign or local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2" w:name="page73"/>
    <w:bookmarkEnd w:id="72"/>
    <w:p>
      <w:pPr>
        <w:jc w:val="both"/>
        <w:ind w:firstLine="749"/>
        <w:spacing w:after="0" w:line="252" w:lineRule="auto"/>
        <w:rPr>
          <w:sz w:val="20"/>
          <w:szCs w:val="20"/>
          <w:color w:val="auto"/>
        </w:rPr>
      </w:pPr>
      <w:r>
        <w:rPr>
          <w:rFonts w:ascii="Arial" w:cs="Arial" w:eastAsia="Arial" w:hAnsi="Arial"/>
          <w:sz w:val="21"/>
          <w:szCs w:val="21"/>
          <w:color w:val="auto"/>
        </w:rPr>
        <w:t xml:space="preserve">SECTION 5.17 </w:t>
      </w:r>
      <w:r>
        <w:rPr>
          <w:rFonts w:ascii="Arial" w:cs="Arial" w:eastAsia="Arial" w:hAnsi="Arial"/>
          <w:sz w:val="21"/>
          <w:szCs w:val="21"/>
          <w:u w:val="single" w:color="auto"/>
          <w:color w:val="auto"/>
        </w:rPr>
        <w:t>Satisfactory Legal Form</w:t>
      </w:r>
      <w:r>
        <w:rPr>
          <w:rFonts w:ascii="Arial" w:cs="Arial" w:eastAsia="Arial" w:hAnsi="Arial"/>
          <w:sz w:val="21"/>
          <w:szCs w:val="21"/>
          <w:color w:val="auto"/>
        </w:rPr>
        <w:t>. All documents executed or submitted pursuant hereto by or on behalf of the Borrower or any Subsidiary shall be satisfactory in form and substance to the Administrative Agent and the Lenders, and the Administrative Agent and the Lenders shall have received all information, approvals, resolutions, opinions, documents or instruments as the Administrative Agent or any Lender may reasonably request.</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5.18 </w:t>
      </w:r>
      <w:r>
        <w:rPr>
          <w:rFonts w:ascii="Arial" w:cs="Arial" w:eastAsia="Arial" w:hAnsi="Arial"/>
          <w:sz w:val="22"/>
          <w:szCs w:val="22"/>
          <w:u w:val="single" w:color="auto"/>
          <w:color w:val="auto"/>
        </w:rPr>
        <w:t>Product Revenue Base.</w:t>
      </w:r>
    </w:p>
    <w:p>
      <w:pPr>
        <w:spacing w:after="0" w:line="206" w:lineRule="exact"/>
        <w:rPr>
          <w:sz w:val="20"/>
          <w:szCs w:val="20"/>
          <w:color w:val="auto"/>
        </w:rPr>
      </w:pPr>
    </w:p>
    <w:p>
      <w:pPr>
        <w:jc w:val="both"/>
        <w:ind w:left="760" w:firstLine="745"/>
        <w:spacing w:after="0"/>
        <w:tabs>
          <w:tab w:leader="none" w:pos="1941" w:val="left"/>
        </w:tabs>
        <w:numPr>
          <w:ilvl w:val="0"/>
          <w:numId w:val="50"/>
        </w:numPr>
        <w:rPr>
          <w:rFonts w:ascii="Arial" w:cs="Arial" w:eastAsia="Arial" w:hAnsi="Arial"/>
          <w:sz w:val="22"/>
          <w:szCs w:val="22"/>
          <w:color w:val="auto"/>
        </w:rPr>
      </w:pPr>
      <w:r>
        <w:rPr>
          <w:rFonts w:ascii="Arial" w:cs="Arial" w:eastAsia="Arial" w:hAnsi="Arial"/>
          <w:sz w:val="22"/>
          <w:szCs w:val="22"/>
          <w:color w:val="auto"/>
        </w:rPr>
        <w:t>Solely as a condition to the First Delayed Draw Closing Date, the Administrative Agent and the Lenders shall be satisfied that Product Revenue Base for the trailing 12-months ending on the last day of the month immediately prior to the First Delayed Draw Closing Date was at least $75,000,000.</w:t>
      </w:r>
    </w:p>
    <w:p>
      <w:pPr>
        <w:spacing w:after="0" w:line="186" w:lineRule="exact"/>
        <w:rPr>
          <w:rFonts w:ascii="Arial" w:cs="Arial" w:eastAsia="Arial" w:hAnsi="Arial"/>
          <w:sz w:val="22"/>
          <w:szCs w:val="22"/>
          <w:color w:val="auto"/>
        </w:rPr>
      </w:pPr>
    </w:p>
    <w:p>
      <w:pPr>
        <w:jc w:val="both"/>
        <w:ind w:left="760" w:firstLine="745"/>
        <w:spacing w:after="0"/>
        <w:tabs>
          <w:tab w:leader="none" w:pos="1941" w:val="left"/>
        </w:tabs>
        <w:numPr>
          <w:ilvl w:val="0"/>
          <w:numId w:val="50"/>
        </w:numPr>
        <w:rPr>
          <w:rFonts w:ascii="Arial" w:cs="Arial" w:eastAsia="Arial" w:hAnsi="Arial"/>
          <w:sz w:val="22"/>
          <w:szCs w:val="22"/>
          <w:color w:val="auto"/>
        </w:rPr>
      </w:pPr>
      <w:r>
        <w:rPr>
          <w:rFonts w:ascii="Arial" w:cs="Arial" w:eastAsia="Arial" w:hAnsi="Arial"/>
          <w:sz w:val="22"/>
          <w:szCs w:val="22"/>
          <w:color w:val="auto"/>
        </w:rPr>
        <w:t>Solely as a condition to the Second Delayed Draw Closing Date, the Administrative Agent and the Lenders shall be satisfied that Product Revenue Base for the trailing 12-months ending on the last day of the month immediately prior to the Second Delayed Draw Closing Date was at least $100,000,000.</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5.19 </w:t>
      </w:r>
      <w:r>
        <w:rPr>
          <w:rFonts w:ascii="Arial" w:cs="Arial" w:eastAsia="Arial" w:hAnsi="Arial"/>
          <w:sz w:val="22"/>
          <w:szCs w:val="22"/>
          <w:u w:val="single" w:color="auto"/>
          <w:color w:val="auto"/>
        </w:rPr>
        <w:t>Disclosure Schedules.</w:t>
      </w:r>
    </w:p>
    <w:p>
      <w:pPr>
        <w:spacing w:after="0" w:line="206" w:lineRule="exact"/>
        <w:rPr>
          <w:sz w:val="20"/>
          <w:szCs w:val="20"/>
          <w:color w:val="auto"/>
        </w:rPr>
      </w:pPr>
    </w:p>
    <w:p>
      <w:pPr>
        <w:ind w:left="760" w:firstLine="745"/>
        <w:spacing w:after="0" w:line="297" w:lineRule="auto"/>
        <w:tabs>
          <w:tab w:leader="none" w:pos="1941"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Immediately prior to the First Delayed Draw Closing Date, the Borrower shall deliver to the Administrative Agent updates to </w:t>
      </w:r>
      <w:r>
        <w:rPr>
          <w:rFonts w:ascii="Arial" w:cs="Arial" w:eastAsia="Arial" w:hAnsi="Arial"/>
          <w:sz w:val="19"/>
          <w:szCs w:val="19"/>
          <w:u w:val="single" w:color="auto"/>
          <w:color w:val="auto"/>
        </w:rPr>
        <w:t>Schedules 6.15(a)</w:t>
      </w:r>
      <w:r>
        <w:rPr>
          <w:rFonts w:ascii="Arial" w:cs="Arial" w:eastAsia="Arial" w:hAnsi="Arial"/>
          <w:sz w:val="19"/>
          <w:szCs w:val="19"/>
          <w:color w:val="auto"/>
        </w:rPr>
        <w:t xml:space="preserve">, </w:t>
      </w:r>
      <w:r>
        <w:rPr>
          <w:rFonts w:ascii="Arial" w:cs="Arial" w:eastAsia="Arial" w:hAnsi="Arial"/>
          <w:sz w:val="19"/>
          <w:szCs w:val="19"/>
          <w:u w:val="single" w:color="auto"/>
          <w:color w:val="auto"/>
        </w:rPr>
        <w:t>6.16</w:t>
      </w:r>
      <w:r>
        <w:rPr>
          <w:rFonts w:ascii="Arial" w:cs="Arial" w:eastAsia="Arial" w:hAnsi="Arial"/>
          <w:sz w:val="19"/>
          <w:szCs w:val="19"/>
          <w:color w:val="auto"/>
        </w:rPr>
        <w:t xml:space="preserve">, </w:t>
      </w:r>
      <w:r>
        <w:rPr>
          <w:rFonts w:ascii="Arial" w:cs="Arial" w:eastAsia="Arial" w:hAnsi="Arial"/>
          <w:sz w:val="19"/>
          <w:szCs w:val="19"/>
          <w:u w:val="single" w:color="auto"/>
          <w:color w:val="auto"/>
        </w:rPr>
        <w:t>6.19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6.22</w:t>
      </w:r>
      <w:r>
        <w:rPr>
          <w:rFonts w:ascii="Arial" w:cs="Arial" w:eastAsia="Arial" w:hAnsi="Arial"/>
          <w:sz w:val="19"/>
          <w:szCs w:val="19"/>
          <w:color w:val="auto"/>
        </w:rPr>
        <w:t xml:space="preserve"> and Schedules III through VI of the Security Agreement, each such updated Schedule to be complete and accurate as of the First Delayed Draw Closing Date.</w:t>
      </w:r>
    </w:p>
    <w:p>
      <w:pPr>
        <w:spacing w:after="0" w:line="133" w:lineRule="exact"/>
        <w:rPr>
          <w:rFonts w:ascii="Arial" w:cs="Arial" w:eastAsia="Arial" w:hAnsi="Arial"/>
          <w:sz w:val="19"/>
          <w:szCs w:val="19"/>
          <w:color w:val="auto"/>
        </w:rPr>
      </w:pPr>
    </w:p>
    <w:p>
      <w:pPr>
        <w:ind w:left="760" w:firstLine="745"/>
        <w:spacing w:after="0" w:line="297" w:lineRule="auto"/>
        <w:tabs>
          <w:tab w:leader="none" w:pos="1941"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Immediately prior to the Second Delayed Draw Closing Date, the Borrower shall deliver to the Administrative Agent updates to </w:t>
      </w:r>
      <w:r>
        <w:rPr>
          <w:rFonts w:ascii="Arial" w:cs="Arial" w:eastAsia="Arial" w:hAnsi="Arial"/>
          <w:sz w:val="19"/>
          <w:szCs w:val="19"/>
          <w:u w:val="single" w:color="auto"/>
          <w:color w:val="auto"/>
        </w:rPr>
        <w:t>Schedules 6.15(a)</w:t>
      </w:r>
      <w:r>
        <w:rPr>
          <w:rFonts w:ascii="Arial" w:cs="Arial" w:eastAsia="Arial" w:hAnsi="Arial"/>
          <w:sz w:val="19"/>
          <w:szCs w:val="19"/>
          <w:color w:val="auto"/>
        </w:rPr>
        <w:t xml:space="preserve">, </w:t>
      </w:r>
      <w:r>
        <w:rPr>
          <w:rFonts w:ascii="Arial" w:cs="Arial" w:eastAsia="Arial" w:hAnsi="Arial"/>
          <w:sz w:val="19"/>
          <w:szCs w:val="19"/>
          <w:u w:val="single" w:color="auto"/>
          <w:color w:val="auto"/>
        </w:rPr>
        <w:t>6.16</w:t>
      </w:r>
      <w:r>
        <w:rPr>
          <w:rFonts w:ascii="Arial" w:cs="Arial" w:eastAsia="Arial" w:hAnsi="Arial"/>
          <w:sz w:val="19"/>
          <w:szCs w:val="19"/>
          <w:color w:val="auto"/>
        </w:rPr>
        <w:t xml:space="preserve">, </w:t>
      </w:r>
      <w:r>
        <w:rPr>
          <w:rFonts w:ascii="Arial" w:cs="Arial" w:eastAsia="Arial" w:hAnsi="Arial"/>
          <w:sz w:val="19"/>
          <w:szCs w:val="19"/>
          <w:u w:val="single" w:color="auto"/>
          <w:color w:val="auto"/>
        </w:rPr>
        <w:t>6.19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6.22</w:t>
      </w:r>
      <w:r>
        <w:rPr>
          <w:rFonts w:ascii="Arial" w:cs="Arial" w:eastAsia="Arial" w:hAnsi="Arial"/>
          <w:sz w:val="19"/>
          <w:szCs w:val="19"/>
          <w:color w:val="auto"/>
        </w:rPr>
        <w:t xml:space="preserve"> and Schedules III through VI of the Security Agreement, each such updated Schedule to be complete and accurate as of the Second Delayed Draw Closing Date.</w:t>
      </w:r>
    </w:p>
    <w:p>
      <w:pPr>
        <w:spacing w:after="0" w:line="134"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5.20 </w:t>
      </w:r>
      <w:r>
        <w:rPr>
          <w:rFonts w:ascii="Arial" w:cs="Arial" w:eastAsia="Arial" w:hAnsi="Arial"/>
          <w:sz w:val="22"/>
          <w:szCs w:val="22"/>
          <w:u w:val="single" w:color="auto"/>
          <w:color w:val="auto"/>
        </w:rPr>
        <w:t>Material Adverse Change</w:t>
      </w:r>
      <w:r>
        <w:rPr>
          <w:rFonts w:ascii="Arial" w:cs="Arial" w:eastAsia="Arial" w:hAnsi="Arial"/>
          <w:sz w:val="22"/>
          <w:szCs w:val="22"/>
          <w:color w:val="auto"/>
        </w:rPr>
        <w:t>. From December 31, 2022 until the Closing Date or the applicable Delayed Draw Closing Date, no event, change, circumstance, effect or other matter shall have occurred that could reasonably be expected to have a Material Adverse Effect.</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5.21 </w:t>
      </w:r>
      <w:r>
        <w:rPr>
          <w:rFonts w:ascii="Arial" w:cs="Arial" w:eastAsia="Arial" w:hAnsi="Arial"/>
          <w:sz w:val="22"/>
          <w:szCs w:val="22"/>
          <w:u w:val="single" w:color="auto"/>
          <w:color w:val="auto"/>
        </w:rPr>
        <w:t>Excluded Subsidiaries</w:t>
      </w:r>
      <w:r>
        <w:rPr>
          <w:rFonts w:ascii="Arial" w:cs="Arial" w:eastAsia="Arial" w:hAnsi="Arial"/>
          <w:sz w:val="22"/>
          <w:szCs w:val="22"/>
          <w:color w:val="auto"/>
        </w:rPr>
        <w:t>. As of the Closing Date, the only Excluded Subsidiaries are (i) AVITA Medical Pty Limited, (ii) C3 Operations Pty Ltd, (iii) Visiomed Group Pty Ltd, (iv) Infamed Pty Ltd and (v) AVITA Medical Europe Limited.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REPRESENTATIONS AND WARRANTIES</w:t>
      </w:r>
    </w:p>
    <w:p>
      <w:pPr>
        <w:spacing w:after="0" w:line="18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In order to induce the Administrative Agent and the Lenders to enter into this Agreement and to make the Loans hereunder, the Borrower represents and warrants to the Administrative Agent and the Lenders that:</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6.1 </w:t>
      </w:r>
      <w:r>
        <w:rPr>
          <w:rFonts w:ascii="Arial" w:cs="Arial" w:eastAsia="Arial" w:hAnsi="Arial"/>
          <w:sz w:val="22"/>
          <w:szCs w:val="22"/>
          <w:u w:val="single" w:color="auto"/>
          <w:color w:val="auto"/>
        </w:rPr>
        <w:t>Organization, Etc</w:t>
      </w:r>
      <w:r>
        <w:rPr>
          <w:rFonts w:ascii="Arial" w:cs="Arial" w:eastAsia="Arial" w:hAnsi="Arial"/>
          <w:sz w:val="22"/>
          <w:szCs w:val="22"/>
          <w:color w:val="auto"/>
        </w:rPr>
        <w:t>. The Borrower and each Subsidiary (a) is validly organized and existing and in good standing under the laws of the jurisdiction of its incorporation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3" w:name="page74"/>
    <w:bookmarkEnd w:id="73"/>
    <w:p>
      <w:pPr>
        <w:jc w:val="both"/>
        <w:spacing w:after="0" w:line="235" w:lineRule="auto"/>
        <w:rPr>
          <w:sz w:val="20"/>
          <w:szCs w:val="20"/>
          <w:color w:val="auto"/>
        </w:rPr>
      </w:pPr>
      <w:r>
        <w:rPr>
          <w:rFonts w:ascii="Arial" w:cs="Arial" w:eastAsia="Arial" w:hAnsi="Arial"/>
          <w:sz w:val="22"/>
          <w:szCs w:val="22"/>
          <w:color w:val="auto"/>
        </w:rPr>
        <w:t>or organization, is duly qualified to do business and is in good standing as a foreign entity in each jurisdiction where the nature of its business requires such qualification (unless the failure to so qualify as a foreign entity could not, individually or in the aggregate, reasonably be expected to have a Material Adverse Effect), and (b) has full power and authority and holds all requisite governmental licenses, permits, clearances and other approvals required (i) to enter into and perform its obligations under each Investment Document to which it is a party, and (ii) to own and hold under lease its property and to conduct its business substantially as currently conducted by it.</w:t>
      </w:r>
    </w:p>
    <w:p>
      <w:pPr>
        <w:spacing w:after="0" w:line="188"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Due Authorization, Non-Contravention, Etc</w:t>
      </w:r>
      <w:r>
        <w:rPr>
          <w:rFonts w:ascii="Arial" w:cs="Arial" w:eastAsia="Arial" w:hAnsi="Arial"/>
          <w:sz w:val="19"/>
          <w:szCs w:val="19"/>
          <w:color w:val="auto"/>
        </w:rPr>
        <w:t>. The execution, delivery and performance by the Borrower and each Subsidiary of each Investment Document executed or to be executed by it are in each case within such Person’s corporate or organizational powers, have been duly authorized by all necessary corporate or organizational action, and do not:</w:t>
      </w:r>
    </w:p>
    <w:p>
      <w:pPr>
        <w:spacing w:after="0" w:line="134" w:lineRule="exact"/>
        <w:rPr>
          <w:sz w:val="20"/>
          <w:szCs w:val="20"/>
          <w:color w:val="auto"/>
        </w:rPr>
      </w:pPr>
    </w:p>
    <w:p>
      <w:pPr>
        <w:jc w:val="both"/>
        <w:ind w:left="760" w:right="20" w:firstLine="745"/>
        <w:spacing w:after="0"/>
        <w:tabs>
          <w:tab w:leader="none" w:pos="1941" w:val="left"/>
        </w:tabs>
        <w:numPr>
          <w:ilvl w:val="0"/>
          <w:numId w:val="52"/>
        </w:numPr>
        <w:rPr>
          <w:rFonts w:ascii="Arial" w:cs="Arial" w:eastAsia="Arial" w:hAnsi="Arial"/>
          <w:sz w:val="22"/>
          <w:szCs w:val="22"/>
          <w:color w:val="auto"/>
        </w:rPr>
      </w:pPr>
      <w:r>
        <w:rPr>
          <w:rFonts w:ascii="Arial" w:cs="Arial" w:eastAsia="Arial" w:hAnsi="Arial"/>
          <w:sz w:val="22"/>
          <w:szCs w:val="22"/>
          <w:color w:val="auto"/>
        </w:rPr>
        <w:t>contravene (i) the Borrower’s or any Subsidiary’s Organic Documents, (ii) any court decree or order binding on or affecting the Borrower or any Subsidiary or (iii) any Law or governmental regulation binding on or affecting the Borrower or any Subsidiary; or</w:t>
      </w:r>
    </w:p>
    <w:p>
      <w:pPr>
        <w:spacing w:after="0" w:line="186" w:lineRule="exact"/>
        <w:rPr>
          <w:rFonts w:ascii="Arial" w:cs="Arial" w:eastAsia="Arial" w:hAnsi="Arial"/>
          <w:sz w:val="22"/>
          <w:szCs w:val="22"/>
          <w:color w:val="auto"/>
        </w:rPr>
      </w:pPr>
    </w:p>
    <w:p>
      <w:pPr>
        <w:jc w:val="both"/>
        <w:ind w:left="760" w:firstLine="745"/>
        <w:spacing w:after="0"/>
        <w:tabs>
          <w:tab w:leader="none" w:pos="1941" w:val="left"/>
        </w:tabs>
        <w:numPr>
          <w:ilvl w:val="0"/>
          <w:numId w:val="52"/>
        </w:numPr>
        <w:rPr>
          <w:rFonts w:ascii="Arial" w:cs="Arial" w:eastAsia="Arial" w:hAnsi="Arial"/>
          <w:sz w:val="22"/>
          <w:szCs w:val="22"/>
          <w:color w:val="auto"/>
        </w:rPr>
      </w:pPr>
      <w:r>
        <w:rPr>
          <w:rFonts w:ascii="Arial" w:cs="Arial" w:eastAsia="Arial" w:hAnsi="Arial"/>
          <w:sz w:val="22"/>
          <w:szCs w:val="22"/>
          <w:color w:val="auto"/>
        </w:rPr>
        <w:t>result in (i) or require the creation or imposition of any Lien on the Borrower’s or any Subsidiary’s properties (except as permitted by this Agreement) or (ii) a default under any contract, agreement, or instrument binding on or affecting the Borrower or any Subsidiary.</w:t>
      </w:r>
    </w:p>
    <w:p>
      <w:pPr>
        <w:spacing w:after="0" w:line="18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 xml:space="preserve">SECTION 6.3 </w:t>
      </w:r>
      <w:r>
        <w:rPr>
          <w:rFonts w:ascii="Arial" w:cs="Arial" w:eastAsia="Arial" w:hAnsi="Arial"/>
          <w:sz w:val="19"/>
          <w:szCs w:val="19"/>
          <w:u w:val="single" w:color="auto"/>
          <w:color w:val="auto"/>
        </w:rPr>
        <w:t>Government Approval, Regulation, Etc.</w:t>
      </w:r>
      <w:r>
        <w:rPr>
          <w:rFonts w:ascii="Arial" w:cs="Arial" w:eastAsia="Arial" w:hAnsi="Arial"/>
          <w:sz w:val="19"/>
          <w:szCs w:val="19"/>
          <w:color w:val="auto"/>
        </w:rPr>
        <w:t xml:space="preserve"> No authorization or approval, clearance or other action by, and no notice to or filing with, any Governmental Authority or other Person (other than those that have been, or on the Closing Date will be, duly obtained or made and which are, or on the Closing Date will be, in full force and effect) is required for the due execution, delivery or performance by the Borrower or any Subsidiary of any Investment Document to which it is a party.</w:t>
      </w:r>
    </w:p>
    <w:p>
      <w:pPr>
        <w:spacing w:after="0" w:line="143"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6.4 </w:t>
      </w:r>
      <w:r>
        <w:rPr>
          <w:rFonts w:ascii="Arial" w:cs="Arial" w:eastAsia="Arial" w:hAnsi="Arial"/>
          <w:sz w:val="22"/>
          <w:szCs w:val="22"/>
          <w:u w:val="single" w:color="auto"/>
          <w:color w:val="auto"/>
        </w:rPr>
        <w:t>Validity, Etc</w:t>
      </w:r>
      <w:r>
        <w:rPr>
          <w:rFonts w:ascii="Arial" w:cs="Arial" w:eastAsia="Arial" w:hAnsi="Arial"/>
          <w:sz w:val="22"/>
          <w:szCs w:val="22"/>
          <w:color w:val="auto"/>
        </w:rPr>
        <w:t>. Each Investment Document to which the Borrower or any Subsidiary is a party constitutes the legal, valid and binding obligations of such Person enforceable against such Person in accordance with its respective terms (except, in any case, as such enforceability may be limited by applicable bankruptcy, insolvency, reorganization or similar laws affecting creditors’ rights generally and by principles of equity).</w:t>
      </w:r>
    </w:p>
    <w:p>
      <w:pPr>
        <w:spacing w:after="0" w:line="18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6.5 </w:t>
      </w:r>
      <w:r>
        <w:rPr>
          <w:rFonts w:ascii="Arial" w:cs="Arial" w:eastAsia="Arial" w:hAnsi="Arial"/>
          <w:sz w:val="22"/>
          <w:szCs w:val="22"/>
          <w:u w:val="single" w:color="auto"/>
          <w:color w:val="auto"/>
        </w:rPr>
        <w:t>Financial Information</w:t>
      </w:r>
      <w:r>
        <w:rPr>
          <w:rFonts w:ascii="Arial" w:cs="Arial" w:eastAsia="Arial" w:hAnsi="Arial"/>
          <w:sz w:val="22"/>
          <w:szCs w:val="22"/>
          <w:color w:val="auto"/>
        </w:rPr>
        <w:t xml:space="preserve">. The consolidated financial statements of the Borrower and the Subsidiaries furnished to the Administrative Agent and the Lenders pursuant to </w:t>
      </w:r>
      <w:r>
        <w:rPr>
          <w:rFonts w:ascii="Arial" w:cs="Arial" w:eastAsia="Arial" w:hAnsi="Arial"/>
          <w:sz w:val="22"/>
          <w:szCs w:val="22"/>
          <w:u w:val="single" w:color="auto"/>
          <w:color w:val="auto"/>
        </w:rPr>
        <w:t>Sections 5.6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7.1</w:t>
      </w:r>
      <w:r>
        <w:rPr>
          <w:rFonts w:ascii="Arial" w:cs="Arial" w:eastAsia="Arial" w:hAnsi="Arial"/>
          <w:sz w:val="22"/>
          <w:szCs w:val="22"/>
          <w:color w:val="auto"/>
        </w:rPr>
        <w:t xml:space="preserve"> have been prepared in accordance with GAAP, consistently applied, and present fairly the consolidated financial condition of the Persons covered thereby as at the dates thereof and the results of their operations for the periods then ended.</w:t>
      </w:r>
    </w:p>
    <w:p>
      <w:pPr>
        <w:spacing w:after="0" w:line="185"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 xml:space="preserve">SECTION 6.6 </w:t>
      </w:r>
      <w:r>
        <w:rPr>
          <w:rFonts w:ascii="Arial" w:cs="Arial" w:eastAsia="Arial" w:hAnsi="Arial"/>
          <w:sz w:val="22"/>
          <w:szCs w:val="22"/>
          <w:u w:val="single" w:color="auto"/>
          <w:color w:val="auto"/>
        </w:rPr>
        <w:t>No Material Adverse Change</w:t>
      </w:r>
      <w:r>
        <w:rPr>
          <w:rFonts w:ascii="Arial" w:cs="Arial" w:eastAsia="Arial" w:hAnsi="Arial"/>
          <w:sz w:val="22"/>
          <w:szCs w:val="22"/>
          <w:color w:val="auto"/>
        </w:rPr>
        <w:t>. Since December 31, 2022, there has been no event, change, circumstance, effect or other matter that has had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4" w:name="page75"/>
    <w:bookmarkEnd w:id="74"/>
    <w:p>
      <w:pPr>
        <w:ind w:left="760"/>
        <w:spacing w:after="0"/>
        <w:rPr>
          <w:sz w:val="20"/>
          <w:szCs w:val="20"/>
          <w:color w:val="auto"/>
        </w:rPr>
      </w:pPr>
      <w:r>
        <w:rPr>
          <w:rFonts w:ascii="Arial" w:cs="Arial" w:eastAsia="Arial" w:hAnsi="Arial"/>
          <w:sz w:val="22"/>
          <w:szCs w:val="22"/>
          <w:color w:val="auto"/>
        </w:rPr>
        <w:t xml:space="preserve">SECTION 6.7 </w:t>
      </w:r>
      <w:r>
        <w:rPr>
          <w:rFonts w:ascii="Arial" w:cs="Arial" w:eastAsia="Arial" w:hAnsi="Arial"/>
          <w:sz w:val="22"/>
          <w:szCs w:val="22"/>
          <w:u w:val="single" w:color="auto"/>
          <w:color w:val="auto"/>
        </w:rPr>
        <w:t>Litigation, Labor Matters and Environmental Matters</w:t>
      </w:r>
      <w:r>
        <w:rPr>
          <w:rFonts w:ascii="Arial" w:cs="Arial" w:eastAsia="Arial" w:hAnsi="Arial"/>
          <w:sz w:val="22"/>
          <w:szCs w:val="22"/>
          <w:color w:val="auto"/>
        </w:rPr>
        <w:t>.</w:t>
      </w:r>
    </w:p>
    <w:p>
      <w:pPr>
        <w:spacing w:after="0" w:line="206" w:lineRule="exact"/>
        <w:rPr>
          <w:sz w:val="20"/>
          <w:szCs w:val="20"/>
          <w:color w:val="auto"/>
        </w:rPr>
      </w:pPr>
    </w:p>
    <w:p>
      <w:pPr>
        <w:jc w:val="both"/>
        <w:ind w:left="760" w:firstLine="745"/>
        <w:spacing w:after="0" w:line="235" w:lineRule="auto"/>
        <w:tabs>
          <w:tab w:leader="none" w:pos="1941"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Except as described on </w:t>
      </w:r>
      <w:r>
        <w:rPr>
          <w:rFonts w:ascii="Arial" w:cs="Arial" w:eastAsia="Arial" w:hAnsi="Arial"/>
          <w:sz w:val="22"/>
          <w:szCs w:val="22"/>
          <w:u w:val="single" w:color="auto"/>
          <w:color w:val="auto"/>
        </w:rPr>
        <w:t>Schedule 6.7(a)</w:t>
      </w:r>
      <w:r>
        <w:rPr>
          <w:rFonts w:ascii="Arial" w:cs="Arial" w:eastAsia="Arial" w:hAnsi="Arial"/>
          <w:sz w:val="22"/>
          <w:szCs w:val="22"/>
          <w:color w:val="auto"/>
        </w:rPr>
        <w:t>, there are no actions, suits or proceedings by or before any arbitrator or Governmental Authority pending against or, to the knowledge of the Borrower, threatened against or affecting the Borrower or any Subsidiary (i) as to which there is a reasonable likelihood of an adverse determination and that, if adversely determined, would reasonably be expected, individually or in the aggregate, to result in liabilities in excess of $250,000 or (ii) that would reasonably be likely to adversely affect this Agreement or the transactions contemplated hereby.</w:t>
      </w:r>
    </w:p>
    <w:p>
      <w:pPr>
        <w:spacing w:after="0" w:line="187" w:lineRule="exact"/>
        <w:rPr>
          <w:rFonts w:ascii="Arial" w:cs="Arial" w:eastAsia="Arial" w:hAnsi="Arial"/>
          <w:sz w:val="22"/>
          <w:szCs w:val="22"/>
          <w:color w:val="auto"/>
        </w:rPr>
      </w:pPr>
    </w:p>
    <w:p>
      <w:pPr>
        <w:jc w:val="both"/>
        <w:ind w:left="760" w:firstLine="745"/>
        <w:spacing w:after="0" w:line="238" w:lineRule="auto"/>
        <w:tabs>
          <w:tab w:leader="none" w:pos="1941"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There are no labor controversies pending against or, to the knowledge of the Borrower, threatened against or affecting the Borrower or any Subsidiary (i) that would reasonably be expected, individually or in the aggregate, to result in liabilities in excess of $250,000 or (ii) that would reasonably be likely to adversely affect this Agreement or the transactions contemplated hereby.</w:t>
      </w:r>
    </w:p>
    <w:p>
      <w:pPr>
        <w:spacing w:after="0" w:line="184" w:lineRule="exact"/>
        <w:rPr>
          <w:rFonts w:ascii="Arial" w:cs="Arial" w:eastAsia="Arial" w:hAnsi="Arial"/>
          <w:sz w:val="22"/>
          <w:szCs w:val="22"/>
          <w:color w:val="auto"/>
        </w:rPr>
      </w:pPr>
    </w:p>
    <w:p>
      <w:pPr>
        <w:jc w:val="both"/>
        <w:ind w:left="760" w:firstLine="745"/>
        <w:spacing w:after="0" w:line="235" w:lineRule="auto"/>
        <w:tabs>
          <w:tab w:leader="none" w:pos="1941" w:val="left"/>
        </w:tabs>
        <w:numPr>
          <w:ilvl w:val="0"/>
          <w:numId w:val="53"/>
        </w:numPr>
        <w:rPr>
          <w:rFonts w:ascii="Arial" w:cs="Arial" w:eastAsia="Arial" w:hAnsi="Arial"/>
          <w:sz w:val="22"/>
          <w:szCs w:val="22"/>
          <w:color w:val="auto"/>
        </w:rPr>
      </w:pPr>
      <w:r>
        <w:rPr>
          <w:rFonts w:ascii="Arial" w:cs="Arial" w:eastAsia="Arial" w:hAnsi="Arial"/>
          <w:sz w:val="22"/>
          <w:szCs w:val="22"/>
          <w:color w:val="auto"/>
        </w:rPr>
        <w:t>None of the Borrower or any Subsidiary (i) has failed to comply with any Environmental Law or to obtain, maintain or comply with any Permit under or in connection with any Environmental Law (“</w:t>
      </w:r>
      <w:r>
        <w:rPr>
          <w:rFonts w:ascii="Arial" w:cs="Arial" w:eastAsia="Arial" w:hAnsi="Arial"/>
          <w:sz w:val="22"/>
          <w:szCs w:val="22"/>
          <w:u w:val="single" w:color="auto"/>
          <w:color w:val="auto"/>
        </w:rPr>
        <w:t>Environmental Permit</w:t>
      </w:r>
      <w:r>
        <w:rPr>
          <w:rFonts w:ascii="Arial" w:cs="Arial" w:eastAsia="Arial" w:hAnsi="Arial"/>
          <w:sz w:val="22"/>
          <w:szCs w:val="22"/>
          <w:color w:val="auto"/>
        </w:rPr>
        <w:t>”), (ii) is or has been subject to any Environmental Liability, (iii) has received notice of any Environmental Liability, or (iv) knows of any basis for any Environmental Liability, in each case of clauses (i) through (iv) above, which would reasonably be expected to result in liabilities to the Borrower and the Subsidiaries, taken as a whole, in excess of $250,000.</w:t>
      </w:r>
    </w:p>
    <w:p>
      <w:pPr>
        <w:spacing w:after="0" w:line="188"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 xml:space="preserve">SECTION 6.8 </w:t>
      </w:r>
      <w:r>
        <w:rPr>
          <w:rFonts w:ascii="Arial" w:cs="Arial" w:eastAsia="Arial" w:hAnsi="Arial"/>
          <w:sz w:val="19"/>
          <w:szCs w:val="19"/>
          <w:u w:val="single" w:color="auto"/>
          <w:color w:val="auto"/>
        </w:rPr>
        <w:t>Subsidiaries</w:t>
      </w:r>
      <w:r>
        <w:rPr>
          <w:rFonts w:ascii="Arial" w:cs="Arial" w:eastAsia="Arial" w:hAnsi="Arial"/>
          <w:sz w:val="19"/>
          <w:szCs w:val="19"/>
          <w:color w:val="auto"/>
        </w:rPr>
        <w:t xml:space="preserve">. The Borrower has no Subsidiaries except those Subsidiaries which are identified in </w:t>
      </w:r>
      <w:r>
        <w:rPr>
          <w:rFonts w:ascii="Arial" w:cs="Arial" w:eastAsia="Arial" w:hAnsi="Arial"/>
          <w:sz w:val="19"/>
          <w:szCs w:val="19"/>
          <w:u w:val="single" w:color="auto"/>
          <w:color w:val="auto"/>
        </w:rPr>
        <w:t>Schedule 6.8</w:t>
      </w:r>
      <w:r>
        <w:rPr>
          <w:rFonts w:ascii="Arial" w:cs="Arial" w:eastAsia="Arial" w:hAnsi="Arial"/>
          <w:sz w:val="19"/>
          <w:szCs w:val="19"/>
          <w:color w:val="auto"/>
        </w:rPr>
        <w:t xml:space="preserve"> (which Schedule also identifies the direct and indirect owners of the Capital Securities of such Subsidiaries) or which are permitted to have been organized or acquired after the Closing Date in accordance with </w:t>
      </w:r>
      <w:r>
        <w:rPr>
          <w:rFonts w:ascii="Arial" w:cs="Arial" w:eastAsia="Arial" w:hAnsi="Arial"/>
          <w:sz w:val="19"/>
          <w:szCs w:val="19"/>
          <w:u w:val="single" w:color="auto"/>
          <w:color w:val="auto"/>
        </w:rPr>
        <w:t>Section 8.5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8.7</w:t>
      </w:r>
      <w:r>
        <w:rPr>
          <w:rFonts w:ascii="Arial" w:cs="Arial" w:eastAsia="Arial" w:hAnsi="Arial"/>
          <w:sz w:val="19"/>
          <w:szCs w:val="19"/>
          <w:color w:val="auto"/>
        </w:rPr>
        <w:t>.</w:t>
      </w:r>
    </w:p>
    <w:p>
      <w:pPr>
        <w:spacing w:after="0" w:line="134"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SECTION 6.9 </w:t>
      </w:r>
      <w:r>
        <w:rPr>
          <w:rFonts w:ascii="Arial" w:cs="Arial" w:eastAsia="Arial" w:hAnsi="Arial"/>
          <w:sz w:val="22"/>
          <w:szCs w:val="22"/>
          <w:u w:val="single" w:color="auto"/>
          <w:color w:val="auto"/>
        </w:rPr>
        <w:t>Ownership of Properties</w:t>
      </w:r>
      <w:r>
        <w:rPr>
          <w:rFonts w:ascii="Arial" w:cs="Arial" w:eastAsia="Arial" w:hAnsi="Arial"/>
          <w:sz w:val="22"/>
          <w:szCs w:val="22"/>
          <w:color w:val="auto"/>
        </w:rPr>
        <w:t xml:space="preserve">. The Borrower and each Subsidiary owns (i) in the case of owned real property, good and marketable fee title to, and (ii) in the case of owned personal property, good and valid title to, or, in the case of leased real or personal property, valid and enforceable leasehold interests (as the case may be) in, all of its properties and assets, tangible and intangible, of any nature whatsoever, free and clear in each case of all Liens or claims, except for Liens permitted pursuant to </w:t>
      </w:r>
      <w:r>
        <w:rPr>
          <w:rFonts w:ascii="Arial" w:cs="Arial" w:eastAsia="Arial" w:hAnsi="Arial"/>
          <w:sz w:val="22"/>
          <w:szCs w:val="22"/>
          <w:u w:val="single" w:color="auto"/>
          <w:color w:val="auto"/>
        </w:rPr>
        <w:t>Section 8.3</w:t>
      </w:r>
      <w:r>
        <w:rPr>
          <w:rFonts w:ascii="Arial" w:cs="Arial" w:eastAsia="Arial" w:hAnsi="Arial"/>
          <w:sz w:val="22"/>
          <w:szCs w:val="22"/>
          <w:color w:val="auto"/>
        </w:rPr>
        <w:t>.</w:t>
      </w:r>
    </w:p>
    <w:p>
      <w:pPr>
        <w:spacing w:after="0" w:line="187"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Taxes</w:t>
      </w:r>
      <w:r>
        <w:rPr>
          <w:rFonts w:ascii="Arial" w:cs="Arial" w:eastAsia="Arial" w:hAnsi="Arial"/>
          <w:sz w:val="22"/>
          <w:szCs w:val="22"/>
          <w:color w:val="auto"/>
        </w:rPr>
        <w:t>. Each of the Borrower and each Subsidiary has filed all tax returns and reports required by Law to have been filed by it and has paid all Taxes due and owing, except any such Taxes which are being diligently contested in good faith by appropriate proceedings and for which adequate reserves in accordance with GAAP shall have been set aside on its books.</w:t>
      </w:r>
    </w:p>
    <w:p>
      <w:pPr>
        <w:spacing w:after="0" w:line="18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 xml:space="preserve">SECTION 6.11 </w:t>
      </w:r>
      <w:r>
        <w:rPr>
          <w:rFonts w:ascii="Arial" w:cs="Arial" w:eastAsia="Arial" w:hAnsi="Arial"/>
          <w:sz w:val="21"/>
          <w:szCs w:val="21"/>
          <w:u w:val="single" w:color="auto"/>
          <w:color w:val="auto"/>
        </w:rPr>
        <w:t>Benefit Plans, Etc</w:t>
      </w:r>
      <w:r>
        <w:rPr>
          <w:rFonts w:ascii="Arial" w:cs="Arial" w:eastAsia="Arial" w:hAnsi="Arial"/>
          <w:sz w:val="21"/>
          <w:szCs w:val="21"/>
          <w:color w:val="auto"/>
        </w:rPr>
        <w:t>. None of the Borrower or any of the Subsidiaries or any of their respective ERISA Affiliates sponsors, maintains, contributes to, is required to contribute to, or has any actual or potential liability with respect to, any Benefit Plan. None of the Borrower or any of the Subsidiaries is a party to any collective bargaining agreement, and none of the employees of the Borrower or any of the Subsidiaries are subject to any collective bargaining agreement with respect to their employment with the Borrower, any of the Subsidiaries, or any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5" w:name="page76"/>
    <w:bookmarkEnd w:id="75"/>
    <w:p>
      <w:pPr>
        <w:jc w:val="both"/>
        <w:spacing w:after="0" w:line="274" w:lineRule="auto"/>
        <w:rPr>
          <w:sz w:val="20"/>
          <w:szCs w:val="20"/>
          <w:color w:val="auto"/>
        </w:rPr>
      </w:pPr>
      <w:r>
        <w:rPr>
          <w:rFonts w:ascii="Arial" w:cs="Arial" w:eastAsia="Arial" w:hAnsi="Arial"/>
          <w:sz w:val="19"/>
          <w:szCs w:val="19"/>
          <w:color w:val="auto"/>
        </w:rPr>
        <w:t>their respective ERISA Affiliates. Each “employee benefit plan” as defined in section 3(3) of ERISA that provides retirement benefits, is sponsored by the Borrower or any of their ERISA Affiliates, and is intended to be tax qualified under section 401 of the Code has a determination letter or opinion letter from the Internal Revenue Service on which it remains entitled to rely, and no assets of any such plan are invested in Capital Securities of the Borrower or any of the Subsidiaries. Each employee benefit plan, program or arrangement sponsored, maintained, contributed to or required to be contributed to by the Borrower or any Subsidiary has complied, both in form and in operation, in all material respects with its terms and applicable law. Except as set forth on Schedule 6.11, each employee benefit plan as defined in Section 3(3) of ERISA that provides medical, dental, vision, or long-term disability benefits and that is sponsored by the Borrower or any of the Subsidiaries or any of their ERISA Affiliates (or under which any of these entities has any actual or potential liability), is fully insured by a third-party insurance company.</w:t>
      </w:r>
    </w:p>
    <w:p>
      <w:pPr>
        <w:spacing w:after="0" w:line="158"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 xml:space="preserve">SECTION 6.12 </w:t>
      </w:r>
      <w:r>
        <w:rPr>
          <w:rFonts w:ascii="Arial" w:cs="Arial" w:eastAsia="Arial" w:hAnsi="Arial"/>
          <w:sz w:val="19"/>
          <w:szCs w:val="19"/>
          <w:u w:val="single" w:color="auto"/>
          <w:color w:val="auto"/>
        </w:rPr>
        <w:t>Accuracy of Information</w:t>
      </w:r>
      <w:r>
        <w:rPr>
          <w:rFonts w:ascii="Arial" w:cs="Arial" w:eastAsia="Arial" w:hAnsi="Arial"/>
          <w:sz w:val="19"/>
          <w:szCs w:val="19"/>
          <w:color w:val="auto"/>
        </w:rPr>
        <w:t xml:space="preserve">. None of the information heretofore or contemporaneously furnished in writing to the Administrative Agent or any Lender by or on behalf of the Borrower or any Subsidiary in connection with any Investment Document or any transaction contemplated hereby (other than any such information of a general economic or industry specific nature, projected financial information or other forward looking information), when taken as a whole, at the time furnished, contains any untrue statement of a material fact, or omits to state any material fact necessary to make any information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projected financial information, the Borrower represents only that such information was prepared in good faith based upon assumptions reasonably believed to be reasonable at the time made (it being understood that projections may vary from actual results and that such variances may be material).</w:t>
      </w:r>
    </w:p>
    <w:p>
      <w:pPr>
        <w:spacing w:after="0" w:line="15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 xml:space="preserve">SECTION 6.13 </w:t>
      </w:r>
      <w:r>
        <w:rPr>
          <w:rFonts w:ascii="Arial" w:cs="Arial" w:eastAsia="Arial" w:hAnsi="Arial"/>
          <w:sz w:val="21"/>
          <w:szCs w:val="21"/>
          <w:u w:val="single" w:color="auto"/>
          <w:color w:val="auto"/>
        </w:rPr>
        <w:t>Regulations U and X</w:t>
      </w:r>
      <w:r>
        <w:rPr>
          <w:rFonts w:ascii="Arial" w:cs="Arial" w:eastAsia="Arial" w:hAnsi="Arial"/>
          <w:sz w:val="21"/>
          <w:szCs w:val="21"/>
          <w:color w:val="auto"/>
        </w:rPr>
        <w:t>. None of the Borrower or any Subsidiary is engaged in the business of extending credit for the purpose of buying or carrying margin stock, and no proceeds of the Loans will be used to purchase or carry margin stock or otherwise for a purpose which violates, or would be inconsistent with, F.R.S. Board Regulation U or Regulation X. Terms for which meanings are provided in F.R.S. Board Regulation U or Regulation X or any regulations substituted therefor, as from time to time in effect, are used in this Section with such meanings.</w:t>
      </w:r>
    </w:p>
    <w:p>
      <w:pPr>
        <w:spacing w:after="0" w:line="178"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 xml:space="preserve">SECTION 6.14 </w:t>
      </w:r>
      <w:r>
        <w:rPr>
          <w:rFonts w:ascii="Arial" w:cs="Arial" w:eastAsia="Arial" w:hAnsi="Arial"/>
          <w:sz w:val="22"/>
          <w:szCs w:val="22"/>
          <w:u w:val="single" w:color="auto"/>
          <w:color w:val="auto"/>
        </w:rPr>
        <w:t>Solvency</w:t>
      </w:r>
      <w:r>
        <w:rPr>
          <w:rFonts w:ascii="Arial" w:cs="Arial" w:eastAsia="Arial" w:hAnsi="Arial"/>
          <w:sz w:val="22"/>
          <w:szCs w:val="22"/>
          <w:color w:val="auto"/>
        </w:rPr>
        <w:t>. The Borrower, individually, and the Borrower and its Subsidiaries taken as a whole, on a consolidated basis, both before and after giving effect to the Loans, are Solvent.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6.15 </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w:t>
      </w:r>
    </w:p>
    <w:p>
      <w:pPr>
        <w:spacing w:after="0" w:line="206" w:lineRule="exact"/>
        <w:rPr>
          <w:sz w:val="20"/>
          <w:szCs w:val="20"/>
          <w:color w:val="auto"/>
        </w:rPr>
      </w:pPr>
    </w:p>
    <w:p>
      <w:pPr>
        <w:jc w:val="both"/>
        <w:ind w:left="760" w:firstLine="745"/>
        <w:spacing w:after="0" w:line="279" w:lineRule="auto"/>
        <w:tabs>
          <w:tab w:leader="none" w:pos="1954"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Schedule 6.15(a)</w:t>
      </w:r>
      <w:r>
        <w:rPr>
          <w:rFonts w:ascii="Arial" w:cs="Arial" w:eastAsia="Arial" w:hAnsi="Arial"/>
          <w:sz w:val="19"/>
          <w:szCs w:val="19"/>
          <w:color w:val="auto"/>
        </w:rPr>
        <w:t xml:space="preserve"> sets forth a complete and accurate list as of the Closing Date, the First Delayed Draw Closing Date or the Second Delayed Draw Closing Date, as the case may be, of all (i) Patents including any Patent applications and other material so defined as Patents, (ii) registered and material unregistered Trademarks (including domain names) and any pending registrations for Trademarks, (iii) any other registered Intellectual Property (including registered Copyrights) and (iv) any commercially significant unregistered Intellectual Property (including material unregistered Copyrights), but excluding trade secrets, in each case (i) through (iv), owned by, purportedly owned by or</w:t>
      </w:r>
    </w:p>
    <w:p>
      <w:pPr>
        <w:spacing w:after="0" w:line="150" w:lineRule="exact"/>
        <w:rPr>
          <w:rFonts w:ascii="Arial" w:cs="Arial" w:eastAsia="Arial" w:hAnsi="Arial"/>
          <w:sz w:val="19"/>
          <w:szCs w:val="19"/>
          <w:color w:val="auto"/>
        </w:rPr>
      </w:pPr>
    </w:p>
    <w:p>
      <w:pPr>
        <w:ind w:left="5520" w:hanging="130"/>
        <w:spacing w:after="0"/>
        <w:tabs>
          <w:tab w:leader="none" w:pos="5520" w:val="left"/>
        </w:tabs>
        <w:numPr>
          <w:ilvl w:val="1"/>
          <w:numId w:val="54"/>
        </w:numPr>
        <w:rPr>
          <w:rFonts w:ascii="Arial" w:cs="Arial" w:eastAsia="Arial" w:hAnsi="Arial"/>
          <w:sz w:val="22"/>
          <w:szCs w:val="22"/>
          <w:color w:val="auto"/>
        </w:rPr>
      </w:pPr>
      <w:r>
        <w:rPr>
          <w:rFonts w:ascii="Arial" w:cs="Arial" w:eastAsia="Arial" w:hAnsi="Arial"/>
          <w:sz w:val="22"/>
          <w:szCs w:val="22"/>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6" w:name="page77"/>
    <w:bookmarkEnd w:id="76"/>
    <w:p>
      <w:pPr>
        <w:jc w:val="both"/>
        <w:spacing w:after="0" w:line="235" w:lineRule="auto"/>
        <w:rPr>
          <w:sz w:val="20"/>
          <w:szCs w:val="20"/>
          <w:color w:val="auto"/>
        </w:rPr>
      </w:pPr>
      <w:r>
        <w:rPr>
          <w:rFonts w:ascii="Arial" w:cs="Arial" w:eastAsia="Arial" w:hAnsi="Arial"/>
          <w:sz w:val="22"/>
          <w:szCs w:val="22"/>
          <w:color w:val="auto"/>
        </w:rPr>
        <w:t xml:space="preserve">licensed to the Borrower or any of the Subsidiaries. For each item of Intellectual Property listed on </w:t>
      </w:r>
      <w:r>
        <w:rPr>
          <w:rFonts w:ascii="Arial" w:cs="Arial" w:eastAsia="Arial" w:hAnsi="Arial"/>
          <w:sz w:val="22"/>
          <w:szCs w:val="22"/>
          <w:u w:val="single" w:color="auto"/>
          <w:color w:val="auto"/>
        </w:rPr>
        <w:t>Schedule 6.15(a)</w:t>
      </w:r>
      <w:r>
        <w:rPr>
          <w:rFonts w:ascii="Arial" w:cs="Arial" w:eastAsia="Arial" w:hAnsi="Arial"/>
          <w:sz w:val="22"/>
          <w:szCs w:val="22"/>
          <w:color w:val="auto"/>
        </w:rPr>
        <w:t>, the Borrower has, where relevant, indicated (A) the countries in each case in which such item is registered, (B) the application numbers, (C) the registration or patent numbers, (D) with respect to the Patents, the expected expiration date of the issued Patents, (E) the owner of such item of Intellectual Property and (F) with respect to Intellectual Property owned by any Third Party, the agreement pursuant to which that Intellectual Property is licensed to the Borrower or any Subsidiary.</w:t>
      </w:r>
    </w:p>
    <w:p>
      <w:pPr>
        <w:spacing w:after="0" w:line="188" w:lineRule="exact"/>
        <w:rPr>
          <w:sz w:val="20"/>
          <w:szCs w:val="20"/>
          <w:color w:val="auto"/>
        </w:rPr>
      </w:pPr>
    </w:p>
    <w:p>
      <w:pPr>
        <w:jc w:val="both"/>
        <w:ind w:firstLine="745"/>
        <w:spacing w:after="0" w:line="238" w:lineRule="auto"/>
        <w:tabs>
          <w:tab w:leader="none" w:pos="1181"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6.15(k)</w:t>
      </w:r>
      <w:r>
        <w:rPr>
          <w:rFonts w:ascii="Arial" w:cs="Arial" w:eastAsia="Arial" w:hAnsi="Arial"/>
          <w:sz w:val="22"/>
          <w:szCs w:val="22"/>
          <w:color w:val="auto"/>
        </w:rPr>
        <w:t xml:space="preserve"> with respect to the Infringement of any Intellectual Property of a Third Party, the Owned Intellectual Property and Licensed Intellectual Property together constitute all Intellectual Property necessary for the operation of the business of the Borrower and the Subsidiaries as currently conducted and as currently proposed to be conducted by the Borrower and the Subsidiaries.</w:t>
      </w:r>
    </w:p>
    <w:p>
      <w:pPr>
        <w:spacing w:after="0" w:line="184" w:lineRule="exact"/>
        <w:rPr>
          <w:rFonts w:ascii="Arial" w:cs="Arial" w:eastAsia="Arial" w:hAnsi="Arial"/>
          <w:sz w:val="22"/>
          <w:szCs w:val="22"/>
          <w:color w:val="auto"/>
        </w:rPr>
      </w:pPr>
    </w:p>
    <w:p>
      <w:pPr>
        <w:jc w:val="both"/>
        <w:ind w:firstLine="745"/>
        <w:spacing w:after="0" w:line="238" w:lineRule="auto"/>
        <w:tabs>
          <w:tab w:leader="none" w:pos="1181"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The Borrower or a Subsidiary owns or has a valid license or rights in any other form to all rights associated with the Owned Intellectual Property and Licensed Intellectual Property listed in </w:t>
      </w:r>
      <w:r>
        <w:rPr>
          <w:rFonts w:ascii="Arial" w:cs="Arial" w:eastAsia="Arial" w:hAnsi="Arial"/>
          <w:sz w:val="22"/>
          <w:szCs w:val="22"/>
          <w:u w:val="single" w:color="auto"/>
          <w:color w:val="auto"/>
        </w:rPr>
        <w:t>Schedule 6.15(a)</w:t>
      </w:r>
      <w:r>
        <w:rPr>
          <w:rFonts w:ascii="Arial" w:cs="Arial" w:eastAsia="Arial" w:hAnsi="Arial"/>
          <w:sz w:val="22"/>
          <w:szCs w:val="22"/>
          <w:color w:val="auto"/>
        </w:rPr>
        <w:t xml:space="preserve">, as applicable, and all Owned Intellectual Property that are trade secrets, free and clear of any and all Liens other than Liens permitted pursuant to </w:t>
      </w:r>
      <w:r>
        <w:rPr>
          <w:rFonts w:ascii="Arial" w:cs="Arial" w:eastAsia="Arial" w:hAnsi="Arial"/>
          <w:sz w:val="22"/>
          <w:szCs w:val="22"/>
          <w:u w:val="single" w:color="auto"/>
          <w:color w:val="auto"/>
        </w:rPr>
        <w:t>Section 8.3</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firstLine="745"/>
        <w:spacing w:after="0"/>
        <w:tabs>
          <w:tab w:leader="none" w:pos="1181"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Except as disclosed on </w:t>
      </w:r>
      <w:r>
        <w:rPr>
          <w:rFonts w:ascii="Arial" w:cs="Arial" w:eastAsia="Arial" w:hAnsi="Arial"/>
          <w:sz w:val="22"/>
          <w:szCs w:val="22"/>
          <w:u w:val="single" w:color="auto"/>
          <w:color w:val="auto"/>
        </w:rPr>
        <w:t>Schedule 6.15(a)</w:t>
      </w:r>
      <w:r>
        <w:rPr>
          <w:rFonts w:ascii="Arial" w:cs="Arial" w:eastAsia="Arial" w:hAnsi="Arial"/>
          <w:sz w:val="22"/>
          <w:szCs w:val="22"/>
          <w:color w:val="auto"/>
        </w:rPr>
        <w:t xml:space="preserve">, the Borrower or a Subsidiary, as applicable, is the sole and exclusive owner of all right, title and interest in and to all Owned Intellectual Property listed in </w:t>
      </w:r>
      <w:r>
        <w:rPr>
          <w:rFonts w:ascii="Arial" w:cs="Arial" w:eastAsia="Arial" w:hAnsi="Arial"/>
          <w:sz w:val="22"/>
          <w:szCs w:val="22"/>
          <w:u w:val="single" w:color="auto"/>
          <w:color w:val="auto"/>
        </w:rPr>
        <w:t>Schedule 6.15(a)</w:t>
      </w:r>
      <w:r>
        <w:rPr>
          <w:rFonts w:ascii="Arial" w:cs="Arial" w:eastAsia="Arial" w:hAnsi="Arial"/>
          <w:sz w:val="22"/>
          <w:szCs w:val="22"/>
          <w:color w:val="auto"/>
        </w:rPr>
        <w:t xml:space="preserve"> and all Owned Intellectual Property that are trade secrets.</w:t>
      </w:r>
    </w:p>
    <w:p>
      <w:pPr>
        <w:spacing w:after="0" w:line="186" w:lineRule="exact"/>
        <w:rPr>
          <w:rFonts w:ascii="Arial" w:cs="Arial" w:eastAsia="Arial" w:hAnsi="Arial"/>
          <w:sz w:val="22"/>
          <w:szCs w:val="22"/>
          <w:color w:val="auto"/>
        </w:rPr>
      </w:pPr>
    </w:p>
    <w:p>
      <w:pPr>
        <w:jc w:val="both"/>
        <w:ind w:firstLine="745"/>
        <w:spacing w:after="0"/>
        <w:tabs>
          <w:tab w:leader="none" w:pos="1181"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Except as disclosed on </w:t>
      </w:r>
      <w:r>
        <w:rPr>
          <w:rFonts w:ascii="Arial" w:cs="Arial" w:eastAsia="Arial" w:hAnsi="Arial"/>
          <w:sz w:val="22"/>
          <w:szCs w:val="22"/>
          <w:u w:val="single" w:color="auto"/>
          <w:color w:val="auto"/>
        </w:rPr>
        <w:t>Schedule 6.15(a)</w:t>
      </w:r>
      <w:r>
        <w:rPr>
          <w:rFonts w:ascii="Arial" w:cs="Arial" w:eastAsia="Arial" w:hAnsi="Arial"/>
          <w:sz w:val="22"/>
          <w:szCs w:val="22"/>
          <w:color w:val="auto"/>
        </w:rPr>
        <w:t xml:space="preserve">, all Owned Intellectual Property listed on </w:t>
      </w:r>
      <w:r>
        <w:rPr>
          <w:rFonts w:ascii="Arial" w:cs="Arial" w:eastAsia="Arial" w:hAnsi="Arial"/>
          <w:sz w:val="22"/>
          <w:szCs w:val="22"/>
          <w:u w:val="single" w:color="auto"/>
          <w:color w:val="auto"/>
        </w:rPr>
        <w:t>Schedule 6.15(a)</w:t>
      </w:r>
      <w:r>
        <w:rPr>
          <w:rFonts w:ascii="Arial" w:cs="Arial" w:eastAsia="Arial" w:hAnsi="Arial"/>
          <w:sz w:val="22"/>
          <w:szCs w:val="22"/>
          <w:color w:val="auto"/>
        </w:rPr>
        <w:t xml:space="preserve"> and, to the knowledge of the Borrower, all Licensed Intellectual Property is subsisting and unexpired, and has not lapsed or been forfeited, cancelled or abandoned unless permitted hereunder.</w:t>
      </w:r>
    </w:p>
    <w:p>
      <w:pPr>
        <w:spacing w:after="0" w:line="186" w:lineRule="exact"/>
        <w:rPr>
          <w:rFonts w:ascii="Arial" w:cs="Arial" w:eastAsia="Arial" w:hAnsi="Arial"/>
          <w:sz w:val="22"/>
          <w:szCs w:val="22"/>
          <w:color w:val="auto"/>
        </w:rPr>
      </w:pPr>
    </w:p>
    <w:p>
      <w:pPr>
        <w:jc w:val="both"/>
        <w:ind w:firstLine="745"/>
        <w:spacing w:after="0" w:line="238" w:lineRule="auto"/>
        <w:tabs>
          <w:tab w:leader="none" w:pos="1181" w:val="left"/>
        </w:tabs>
        <w:numPr>
          <w:ilvl w:val="0"/>
          <w:numId w:val="55"/>
        </w:numPr>
        <w:rPr>
          <w:rFonts w:ascii="Arial" w:cs="Arial" w:eastAsia="Arial" w:hAnsi="Arial"/>
          <w:sz w:val="22"/>
          <w:szCs w:val="22"/>
          <w:color w:val="auto"/>
        </w:rPr>
      </w:pPr>
      <w:r>
        <w:rPr>
          <w:rFonts w:ascii="Arial" w:cs="Arial" w:eastAsia="Arial" w:hAnsi="Arial"/>
          <w:sz w:val="22"/>
          <w:szCs w:val="22"/>
          <w:color w:val="auto"/>
        </w:rPr>
        <w:t>Each of the Borrower and the Subsidiaries, as applicable, has taken commercially reasonable actions to maintain and protect all Owned Intellectual Property and all Licensed Intellectual Property that is exclusively licensed, and there are no unpaid maintenance or renewal fees payable by the Borrower or any of the Subsidiaries that are currently overdue for any of such registered Intellectual Property.</w:t>
      </w:r>
    </w:p>
    <w:p>
      <w:pPr>
        <w:spacing w:after="0" w:line="184" w:lineRule="exact"/>
        <w:rPr>
          <w:rFonts w:ascii="Arial" w:cs="Arial" w:eastAsia="Arial" w:hAnsi="Arial"/>
          <w:sz w:val="22"/>
          <w:szCs w:val="22"/>
          <w:color w:val="auto"/>
        </w:rPr>
      </w:pPr>
    </w:p>
    <w:p>
      <w:pPr>
        <w:jc w:val="both"/>
        <w:ind w:firstLine="745"/>
        <w:spacing w:after="0" w:line="249" w:lineRule="auto"/>
        <w:tabs>
          <w:tab w:leader="none" w:pos="1181"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There is no actual or threatened (in writing or, to the knowledge of the Borrower, orally) proceeding challenging the ownership, validity or enforceability of any Owned Intellectual Property or Licensed Intellectual Property, and none of the Borrower or any of the Subsidiaries is involved in any proceeding challenging the ownership, validity or enforceability of any Intellectual Property of any Person and none of the Owned Intellectual Property or Licensed Intellectual Property is the subject of any Other Administrative Proceeding.</w:t>
      </w:r>
    </w:p>
    <w:p>
      <w:pPr>
        <w:spacing w:after="0" w:line="178" w:lineRule="exact"/>
        <w:rPr>
          <w:rFonts w:ascii="Arial" w:cs="Arial" w:eastAsia="Arial" w:hAnsi="Arial"/>
          <w:sz w:val="21"/>
          <w:szCs w:val="21"/>
          <w:color w:val="auto"/>
        </w:rPr>
      </w:pPr>
    </w:p>
    <w:p>
      <w:pPr>
        <w:jc w:val="both"/>
        <w:ind w:right="20" w:firstLine="745"/>
        <w:spacing w:after="0"/>
        <w:tabs>
          <w:tab w:leader="none" w:pos="1181" w:val="left"/>
        </w:tabs>
        <w:numPr>
          <w:ilvl w:val="0"/>
          <w:numId w:val="55"/>
        </w:numPr>
        <w:rPr>
          <w:rFonts w:ascii="Arial" w:cs="Arial" w:eastAsia="Arial" w:hAnsi="Arial"/>
          <w:sz w:val="22"/>
          <w:szCs w:val="22"/>
          <w:color w:val="auto"/>
        </w:rPr>
      </w:pPr>
      <w:r>
        <w:rPr>
          <w:rFonts w:ascii="Arial" w:cs="Arial" w:eastAsia="Arial" w:hAnsi="Arial"/>
          <w:sz w:val="22"/>
          <w:szCs w:val="22"/>
          <w:color w:val="auto"/>
        </w:rPr>
        <w:t>(i) All Owned Intellectual Property and Licensed Intellectual Property is subsisting and, to the knowledge of the Borrower, enforceable and valid, and (ii) no event has, to the knowledge of the Borrower, occurred, and nothing has been done or omitted to</w:t>
      </w:r>
    </w:p>
    <w:p>
      <w:pPr>
        <w:spacing w:after="0" w:line="186" w:lineRule="exact"/>
        <w:rPr>
          <w:rFonts w:ascii="Arial" w:cs="Arial" w:eastAsia="Arial" w:hAnsi="Arial"/>
          <w:sz w:val="22"/>
          <w:szCs w:val="22"/>
          <w:color w:val="auto"/>
        </w:rPr>
      </w:pPr>
    </w:p>
    <w:p>
      <w:pPr>
        <w:ind w:left="4760" w:hanging="130"/>
        <w:spacing w:after="0"/>
        <w:tabs>
          <w:tab w:leader="none" w:pos="4760" w:val="left"/>
        </w:tabs>
        <w:numPr>
          <w:ilvl w:val="1"/>
          <w:numId w:val="55"/>
        </w:numPr>
        <w:rPr>
          <w:rFonts w:ascii="Arial" w:cs="Arial" w:eastAsia="Arial" w:hAnsi="Arial"/>
          <w:sz w:val="22"/>
          <w:szCs w:val="22"/>
          <w:color w:val="auto"/>
        </w:rPr>
      </w:pPr>
      <w:r>
        <w:rPr>
          <w:rFonts w:ascii="Arial" w:cs="Arial" w:eastAsia="Arial" w:hAnsi="Arial"/>
          <w:sz w:val="22"/>
          <w:szCs w:val="22"/>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405765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1" w:right="339" w:bottom="1440" w:gutter="0" w:footer="0" w:header="0"/>
        </w:sectPr>
      </w:pPr>
    </w:p>
    <w:bookmarkStart w:id="77" w:name="page78"/>
    <w:bookmarkEnd w:id="77"/>
    <w:p>
      <w:pPr>
        <w:jc w:val="both"/>
        <w:spacing w:after="0"/>
        <w:rPr>
          <w:sz w:val="20"/>
          <w:szCs w:val="20"/>
          <w:color w:val="auto"/>
        </w:rPr>
      </w:pPr>
      <w:r>
        <w:rPr>
          <w:rFonts w:ascii="Arial" w:cs="Arial" w:eastAsia="Arial" w:hAnsi="Arial"/>
          <w:sz w:val="22"/>
          <w:szCs w:val="22"/>
          <w:color w:val="auto"/>
        </w:rPr>
        <w:t>have been done (A) by the Borrower or a Subsidiary that cannot be cured, or (B) to the knowledge of the Borrower, by a Third Party, in each case ((A) and (B)), that would result in the invalidity or unenforceability of any such Intellectual Property.</w:t>
      </w:r>
    </w:p>
    <w:p>
      <w:pPr>
        <w:spacing w:after="0" w:line="186" w:lineRule="exact"/>
        <w:rPr>
          <w:sz w:val="20"/>
          <w:szCs w:val="20"/>
          <w:color w:val="auto"/>
        </w:rPr>
      </w:pPr>
    </w:p>
    <w:p>
      <w:pPr>
        <w:jc w:val="both"/>
        <w:ind w:firstLine="745"/>
        <w:spacing w:after="0" w:line="238" w:lineRule="auto"/>
        <w:tabs>
          <w:tab w:leader="none" w:pos="1181"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There are no claims pending or threatened in writing that have been brought by the Borrower or any Subsidiary against any Person alleging Infringement of any Owned Intellectual Property or Licensed Intellectual Property. To the knowledge of the Borrower, no Third Party is committing any act of Infringement of any Owned Intellectual Property or Licensed Intellectual Property.</w:t>
      </w:r>
    </w:p>
    <w:p>
      <w:pPr>
        <w:spacing w:after="0" w:line="184" w:lineRule="exact"/>
        <w:rPr>
          <w:rFonts w:ascii="Arial" w:cs="Arial" w:eastAsia="Arial" w:hAnsi="Arial"/>
          <w:sz w:val="22"/>
          <w:szCs w:val="22"/>
          <w:color w:val="auto"/>
        </w:rPr>
      </w:pPr>
    </w:p>
    <w:p>
      <w:pPr>
        <w:jc w:val="both"/>
        <w:ind w:firstLine="745"/>
        <w:spacing w:after="0" w:line="246" w:lineRule="auto"/>
        <w:tabs>
          <w:tab w:leader="none" w:pos="1181" w:val="left"/>
        </w:tabs>
        <w:numPr>
          <w:ilvl w:val="0"/>
          <w:numId w:val="56"/>
        </w:numPr>
        <w:rPr>
          <w:rFonts w:ascii="Arial" w:cs="Arial" w:eastAsia="Arial" w:hAnsi="Arial"/>
          <w:sz w:val="21"/>
          <w:szCs w:val="21"/>
          <w:color w:val="auto"/>
        </w:rPr>
      </w:pPr>
      <w:r>
        <w:rPr>
          <w:rFonts w:ascii="Arial" w:cs="Arial" w:eastAsia="Arial" w:hAnsi="Arial"/>
          <w:sz w:val="21"/>
          <w:szCs w:val="21"/>
          <w:color w:val="auto"/>
        </w:rPr>
        <w:t xml:space="preserve">With respect to each license agreement listed on </w:t>
      </w:r>
      <w:r>
        <w:rPr>
          <w:rFonts w:ascii="Arial" w:cs="Arial" w:eastAsia="Arial" w:hAnsi="Arial"/>
          <w:sz w:val="21"/>
          <w:szCs w:val="21"/>
          <w:u w:val="single" w:color="auto"/>
          <w:color w:val="auto"/>
        </w:rPr>
        <w:t>Schedule 6.15(a)</w:t>
      </w:r>
      <w:r>
        <w:rPr>
          <w:rFonts w:ascii="Arial" w:cs="Arial" w:eastAsia="Arial" w:hAnsi="Arial"/>
          <w:sz w:val="21"/>
          <w:szCs w:val="21"/>
          <w:color w:val="auto"/>
        </w:rPr>
        <w:t xml:space="preserve">, such license agreement (i) is in full force and effect and is binding upon and enforceable against the Borrower and the Subsidiaries party thereto and all other parties thereto in accordance with its terms, (ii) has not been amended or otherwise modified, except as set forth on </w:t>
      </w:r>
      <w:r>
        <w:rPr>
          <w:rFonts w:ascii="Arial" w:cs="Arial" w:eastAsia="Arial" w:hAnsi="Arial"/>
          <w:sz w:val="21"/>
          <w:szCs w:val="21"/>
          <w:u w:val="single" w:color="auto"/>
          <w:color w:val="auto"/>
        </w:rPr>
        <w:t>Schedule 6.15(a)</w:t>
      </w:r>
      <w:r>
        <w:rPr>
          <w:rFonts w:ascii="Arial" w:cs="Arial" w:eastAsia="Arial" w:hAnsi="Arial"/>
          <w:sz w:val="21"/>
          <w:szCs w:val="21"/>
          <w:color w:val="auto"/>
        </w:rPr>
        <w:t>, and (iii) has not suffered a default or breach thereunder. None of the Borrower or any of the Subsidiaries has taken or omitted to take any action that would permit any other Person that is a party to any such license agreement to have, and to the knowledge of the Borrower, no such Person otherwise has, any defenses, counterclaims, termination rights or rights of setoff thereunder.</w:t>
      </w:r>
    </w:p>
    <w:p>
      <w:pPr>
        <w:spacing w:after="0" w:line="184" w:lineRule="exact"/>
        <w:rPr>
          <w:rFonts w:ascii="Arial" w:cs="Arial" w:eastAsia="Arial" w:hAnsi="Arial"/>
          <w:sz w:val="21"/>
          <w:szCs w:val="21"/>
          <w:color w:val="auto"/>
        </w:rPr>
      </w:pPr>
    </w:p>
    <w:p>
      <w:pPr>
        <w:jc w:val="both"/>
        <w:ind w:firstLine="745"/>
        <w:spacing w:after="0" w:line="279" w:lineRule="auto"/>
        <w:tabs>
          <w:tab w:leader="none" w:pos="1181" w:val="left"/>
        </w:tabs>
        <w:numPr>
          <w:ilvl w:val="0"/>
          <w:numId w:val="56"/>
        </w:numPr>
        <w:rPr>
          <w:rFonts w:ascii="Arial" w:cs="Arial" w:eastAsia="Arial" w:hAnsi="Arial"/>
          <w:sz w:val="19"/>
          <w:szCs w:val="19"/>
          <w:color w:val="auto"/>
        </w:rPr>
      </w:pPr>
      <w:r>
        <w:rPr>
          <w:rFonts w:ascii="Arial" w:cs="Arial" w:eastAsia="Arial" w:hAnsi="Arial"/>
          <w:sz w:val="19"/>
          <w:szCs w:val="19"/>
          <w:color w:val="auto"/>
        </w:rPr>
        <w:t>None of the Borrower or any of the Subsidiaries has received written notice or, to the knowledge of the Borrower, any other communications from any Third Party alleging that the conduct of the business of the Borrower or any of the Subsidiaries (including the development, manufacture, use, sale or other commercialization of any Product) Infringes any Intellectual Property of that Third Party and, to the knowledge of the Borrower, the conduct of the business of the Borrower and the Subsidiaries (including the development, manufacture, use, sale or other commercialization of any Product) does not Infringe any Intellectual Property of any Third Party.</w:t>
      </w:r>
    </w:p>
    <w:p>
      <w:pPr>
        <w:spacing w:after="0" w:line="150" w:lineRule="exact"/>
        <w:rPr>
          <w:rFonts w:ascii="Arial" w:cs="Arial" w:eastAsia="Arial" w:hAnsi="Arial"/>
          <w:sz w:val="19"/>
          <w:szCs w:val="19"/>
          <w:color w:val="auto"/>
        </w:rPr>
      </w:pPr>
    </w:p>
    <w:p>
      <w:pPr>
        <w:jc w:val="both"/>
        <w:ind w:firstLine="745"/>
        <w:spacing w:after="0" w:line="245" w:lineRule="auto"/>
        <w:tabs>
          <w:tab w:leader="none" w:pos="1181"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Borrower and the Subsidiaries have used commercially reasonable efforts and precautions to protect their (i) rights in, and with respect to, Confidential Business Information, and maintain the confidentiality of, their respective Owned Intellectual Property and (ii) respective commercially significant unregistered Intellectual Property. All current and former employees of the Borrower and each Subsidiary, and all other Persons with access to any Confidential Business Information, are subject to written agreements that include customary confidentiality terms and restriction on use terms sufficient to maintain the confidential status and limit the use of such Confidential Business Information. No trade secret of the Borrower or any of its Subsidiaries with respect to any Product has been published or disclosed to any Person, except pursuant to a written agreement requiring such Person to keep such trade secret confidential.</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6.16 </w:t>
      </w:r>
      <w:r>
        <w:rPr>
          <w:rFonts w:ascii="Arial" w:cs="Arial" w:eastAsia="Arial" w:hAnsi="Arial"/>
          <w:sz w:val="22"/>
          <w:szCs w:val="22"/>
          <w:u w:val="single" w:color="auto"/>
          <w:color w:val="auto"/>
        </w:rPr>
        <w:t>Material Agreements</w:t>
      </w:r>
      <w:r>
        <w:rPr>
          <w:rFonts w:ascii="Arial" w:cs="Arial" w:eastAsia="Arial" w:hAnsi="Arial"/>
          <w:sz w:val="22"/>
          <w:szCs w:val="22"/>
          <w:color w:val="auto"/>
        </w:rPr>
        <w:t>.</w:t>
      </w:r>
    </w:p>
    <w:p>
      <w:pPr>
        <w:spacing w:after="0" w:line="206" w:lineRule="exact"/>
        <w:rPr>
          <w:sz w:val="20"/>
          <w:szCs w:val="20"/>
          <w:color w:val="auto"/>
        </w:rPr>
      </w:pPr>
    </w:p>
    <w:p>
      <w:pPr>
        <w:jc w:val="both"/>
        <w:ind w:firstLine="745"/>
        <w:spacing w:after="0"/>
        <w:tabs>
          <w:tab w:leader="none" w:pos="1181" w:val="left"/>
        </w:tabs>
        <w:numPr>
          <w:ilvl w:val="0"/>
          <w:numId w:val="57"/>
        </w:numPr>
        <w:rPr>
          <w:rFonts w:ascii="Arial" w:cs="Arial" w:eastAsia="Arial" w:hAnsi="Arial"/>
          <w:sz w:val="22"/>
          <w:szCs w:val="22"/>
          <w:color w:val="auto"/>
        </w:rPr>
      </w:pPr>
      <w:r>
        <w:rPr>
          <w:rFonts w:ascii="Arial" w:cs="Arial" w:eastAsia="Arial" w:hAnsi="Arial"/>
          <w:sz w:val="22"/>
          <w:szCs w:val="22"/>
          <w:color w:val="auto"/>
        </w:rPr>
        <w:t xml:space="preserve">Set forth on </w:t>
      </w:r>
      <w:r>
        <w:rPr>
          <w:rFonts w:ascii="Arial" w:cs="Arial" w:eastAsia="Arial" w:hAnsi="Arial"/>
          <w:sz w:val="22"/>
          <w:szCs w:val="22"/>
          <w:u w:val="single" w:color="auto"/>
          <w:color w:val="auto"/>
        </w:rPr>
        <w:t>Schedule 6.16</w:t>
      </w:r>
      <w:r>
        <w:rPr>
          <w:rFonts w:ascii="Arial" w:cs="Arial" w:eastAsia="Arial" w:hAnsi="Arial"/>
          <w:sz w:val="22"/>
          <w:szCs w:val="22"/>
          <w:color w:val="auto"/>
        </w:rPr>
        <w:t xml:space="preserve"> is a complete and accurate list as of the Closing Date, the First Delayed Draw Closing Date or the Second Delayed Draw Closing Date, as the case may be, of all Material Agreements of the Borrower or any of the Subsidiaries,</w:t>
      </w:r>
    </w:p>
    <w:p>
      <w:pPr>
        <w:spacing w:after="0" w:line="186" w:lineRule="exact"/>
        <w:rPr>
          <w:rFonts w:ascii="Arial" w:cs="Arial" w:eastAsia="Arial" w:hAnsi="Arial"/>
          <w:sz w:val="22"/>
          <w:szCs w:val="22"/>
          <w:color w:val="auto"/>
        </w:rPr>
      </w:pPr>
    </w:p>
    <w:p>
      <w:pPr>
        <w:ind w:left="4760" w:hanging="130"/>
        <w:spacing w:after="0"/>
        <w:tabs>
          <w:tab w:leader="none" w:pos="4760" w:val="left"/>
        </w:tabs>
        <w:numPr>
          <w:ilvl w:val="1"/>
          <w:numId w:val="57"/>
        </w:numPr>
        <w:rPr>
          <w:rFonts w:ascii="Arial" w:cs="Arial" w:eastAsia="Arial" w:hAnsi="Arial"/>
          <w:sz w:val="22"/>
          <w:szCs w:val="22"/>
          <w:color w:val="auto"/>
        </w:rPr>
      </w:pPr>
      <w:r>
        <w:rPr>
          <w:rFonts w:ascii="Arial" w:cs="Arial" w:eastAsia="Arial" w:hAnsi="Arial"/>
          <w:sz w:val="22"/>
          <w:szCs w:val="22"/>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405765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1" w:right="339" w:bottom="1440" w:gutter="0" w:footer="0" w:header="0"/>
        </w:sectPr>
      </w:pPr>
    </w:p>
    <w:bookmarkStart w:id="78" w:name="page79"/>
    <w:bookmarkEnd w:id="78"/>
    <w:p>
      <w:pPr>
        <w:jc w:val="both"/>
        <w:ind w:left="760"/>
        <w:spacing w:after="0" w:line="277" w:lineRule="auto"/>
        <w:rPr>
          <w:sz w:val="20"/>
          <w:szCs w:val="20"/>
          <w:color w:val="auto"/>
        </w:rPr>
      </w:pPr>
      <w:r>
        <w:rPr>
          <w:rFonts w:ascii="Arial" w:cs="Arial" w:eastAsia="Arial" w:hAnsi="Arial"/>
          <w:sz w:val="19"/>
          <w:szCs w:val="19"/>
          <w:color w:val="auto"/>
        </w:rPr>
        <w:t>with an adequate description of the parties thereto, subject matter thereof and amendments and modifications thereto. As of such dates, respectively, each such Material Agreement (i) is in full force and effect and is legal, valid and binding upon and enforceable against the Borrower and the Subsidiaries party thereto and all other parties thereto in accordance with its terms, (ii) has not been amended or otherwise modified and (iii) has not suffered a default or material breach by any parties thereto thereunder. As of such dates, respectively, none of the Borrower or any of the Subsidiaries has taken any action that would permit any other Person party to any Material Agreement to have, and no such Person otherwise has, any defenses, counterclaims, termination rights or rights of setoff thereunder.</w:t>
      </w:r>
    </w:p>
    <w:p>
      <w:pPr>
        <w:spacing w:after="0" w:line="152" w:lineRule="exact"/>
        <w:rPr>
          <w:sz w:val="20"/>
          <w:szCs w:val="20"/>
          <w:color w:val="auto"/>
        </w:rPr>
      </w:pPr>
    </w:p>
    <w:p>
      <w:pPr>
        <w:ind w:left="760" w:right="20" w:firstLine="745"/>
        <w:spacing w:after="0" w:line="250" w:lineRule="auto"/>
        <w:tabs>
          <w:tab w:leader="none" w:pos="1941"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Borrower has provided to the Administrative Agent and the Lenders full, complete and correct copies of all Material Agreements (including all exhibits and schedules thereto).</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6.17 </w:t>
      </w:r>
      <w:r>
        <w:rPr>
          <w:rFonts w:ascii="Arial" w:cs="Arial" w:eastAsia="Arial" w:hAnsi="Arial"/>
          <w:sz w:val="22"/>
          <w:szCs w:val="22"/>
          <w:u w:val="single" w:color="auto"/>
          <w:color w:val="auto"/>
        </w:rPr>
        <w:t>Permits</w:t>
      </w:r>
      <w:r>
        <w:rPr>
          <w:rFonts w:ascii="Arial" w:cs="Arial" w:eastAsia="Arial" w:hAnsi="Arial"/>
          <w:sz w:val="22"/>
          <w:szCs w:val="22"/>
          <w:color w:val="auto"/>
        </w:rPr>
        <w:t>. The Borrower and the Subsidiaries have all Permits, including Key Permits and Environmental Permits, necessary or required for the ownership, operation and conduct of their business and the testing and distribution of the Products. All such Permits are validly held and there are no defaults thereunder.</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6.18 </w:t>
      </w:r>
      <w:r>
        <w:rPr>
          <w:rFonts w:ascii="Arial" w:cs="Arial" w:eastAsia="Arial" w:hAnsi="Arial"/>
          <w:sz w:val="22"/>
          <w:szCs w:val="22"/>
          <w:u w:val="single" w:color="auto"/>
          <w:color w:val="auto"/>
        </w:rPr>
        <w:t>Regulatory Matters</w:t>
      </w:r>
      <w:r>
        <w:rPr>
          <w:rFonts w:ascii="Arial" w:cs="Arial" w:eastAsia="Arial" w:hAnsi="Arial"/>
          <w:sz w:val="22"/>
          <w:szCs w:val="22"/>
          <w:color w:val="auto"/>
        </w:rPr>
        <w:t>.</w:t>
      </w:r>
    </w:p>
    <w:p>
      <w:pPr>
        <w:spacing w:after="0" w:line="206" w:lineRule="exact"/>
        <w:rPr>
          <w:sz w:val="20"/>
          <w:szCs w:val="20"/>
          <w:color w:val="auto"/>
        </w:rPr>
      </w:pPr>
    </w:p>
    <w:p>
      <w:pPr>
        <w:jc w:val="both"/>
        <w:ind w:left="760" w:firstLine="745"/>
        <w:spacing w:after="0" w:line="277" w:lineRule="auto"/>
        <w:tabs>
          <w:tab w:leader="none" w:pos="1941"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business of the Borrower and the Subsidiaries has been, and currently is, being conducted in material compliance with all applicable U.S. federal, state, local or foreign laws, Privacy Laws, statutes, ordinances, rules, regulations, guidances, judgments, orders, injunctions, decrees, arbitration awards and Regulatory Authorizations (including Key Permits) issued by any Governmental Authority (collectively, “</w:t>
      </w:r>
      <w:r>
        <w:rPr>
          <w:rFonts w:ascii="Arial" w:cs="Arial" w:eastAsia="Arial" w:hAnsi="Arial"/>
          <w:sz w:val="19"/>
          <w:szCs w:val="19"/>
          <w:u w:val="single" w:color="auto"/>
          <w:color w:val="auto"/>
        </w:rPr>
        <w:t>Laws</w:t>
      </w:r>
      <w:r>
        <w:rPr>
          <w:rFonts w:ascii="Arial" w:cs="Arial" w:eastAsia="Arial" w:hAnsi="Arial"/>
          <w:sz w:val="19"/>
          <w:szCs w:val="19"/>
          <w:color w:val="auto"/>
        </w:rPr>
        <w:t>”), including, without limitation, FD&amp;C Act and Public Health Service Act (PHSA). The Products of the Borrower and the Subsidiaries are not, and have not been, “adulterated” or “misbranded” within the meaning of the FD&amp;C Act, nor do any such Products constitute an article prohibited from introduction into interstate commerce under the FD&amp;C Act.</w:t>
      </w:r>
    </w:p>
    <w:p>
      <w:pPr>
        <w:spacing w:after="0" w:line="151" w:lineRule="exact"/>
        <w:rPr>
          <w:rFonts w:ascii="Arial" w:cs="Arial" w:eastAsia="Arial" w:hAnsi="Arial"/>
          <w:sz w:val="19"/>
          <w:szCs w:val="19"/>
          <w:color w:val="auto"/>
        </w:rPr>
      </w:pPr>
    </w:p>
    <w:p>
      <w:pPr>
        <w:jc w:val="both"/>
        <w:ind w:left="760" w:firstLine="745"/>
        <w:spacing w:after="0" w:line="279" w:lineRule="auto"/>
        <w:tabs>
          <w:tab w:leader="none" w:pos="1941"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Products have been manufactured, tested, packaged, labeled, distributed, imported, exported, marketed or sold in compliance in all material respects with all applicable requirements under the FD&amp;C Act and the regulations of the FDA promulgated thereunder and similar Laws in any foreign jurisdiction, including those relating to investigational use, premarket clearance, registration and listing, marketing approval to market a Product, good manufacturing practices, quality systems regulations and requirements, ISO requirements, good clinical practices, good laboratory practices, labeling, advertising, record keeping and filing of required reports and security.</w:t>
      </w:r>
    </w:p>
    <w:p>
      <w:pPr>
        <w:spacing w:after="0" w:line="150" w:lineRule="exact"/>
        <w:rPr>
          <w:rFonts w:ascii="Arial" w:cs="Arial" w:eastAsia="Arial" w:hAnsi="Arial"/>
          <w:sz w:val="19"/>
          <w:szCs w:val="19"/>
          <w:color w:val="auto"/>
        </w:rPr>
      </w:pPr>
    </w:p>
    <w:p>
      <w:pPr>
        <w:jc w:val="both"/>
        <w:ind w:left="760" w:firstLine="745"/>
        <w:spacing w:after="0" w:line="236" w:lineRule="auto"/>
        <w:tabs>
          <w:tab w:leader="none" w:pos="1941"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The Borrower and the Subsidiaries own, free and clear of all Liens, except those permitted pursuant to </w:t>
      </w:r>
      <w:r>
        <w:rPr>
          <w:rFonts w:ascii="Arial" w:cs="Arial" w:eastAsia="Arial" w:hAnsi="Arial"/>
          <w:sz w:val="22"/>
          <w:szCs w:val="22"/>
          <w:u w:val="single" w:color="auto"/>
          <w:color w:val="auto"/>
        </w:rPr>
        <w:t>Section 8.3</w:t>
      </w:r>
      <w:r>
        <w:rPr>
          <w:rFonts w:ascii="Arial" w:cs="Arial" w:eastAsia="Arial" w:hAnsi="Arial"/>
          <w:sz w:val="22"/>
          <w:szCs w:val="22"/>
          <w:color w:val="auto"/>
        </w:rPr>
        <w:t>, all Key Permits, including all authorizations under the FD&amp;C Act and state Laws, necessary for the research and development and commercialization of the Products and to carry on the Borrower’s and Subsidiaries’ businesses, as applicable. All such Key Permits are valid, and in full force and effect and the Borrower and the Subsidiaries are in compliance in all material respects with all terms</w:t>
      </w:r>
    </w:p>
    <w:p>
      <w:pPr>
        <w:spacing w:after="0" w:line="187" w:lineRule="exact"/>
        <w:rPr>
          <w:rFonts w:ascii="Arial" w:cs="Arial" w:eastAsia="Arial" w:hAnsi="Arial"/>
          <w:sz w:val="22"/>
          <w:szCs w:val="22"/>
          <w:color w:val="auto"/>
        </w:rPr>
      </w:pPr>
    </w:p>
    <w:p>
      <w:pPr>
        <w:ind w:left="5520" w:hanging="130"/>
        <w:spacing w:after="0"/>
        <w:tabs>
          <w:tab w:leader="none" w:pos="5520" w:val="left"/>
        </w:tabs>
        <w:numPr>
          <w:ilvl w:val="1"/>
          <w:numId w:val="59"/>
        </w:numPr>
        <w:rPr>
          <w:rFonts w:ascii="Arial" w:cs="Arial" w:eastAsia="Arial" w:hAnsi="Arial"/>
          <w:sz w:val="22"/>
          <w:szCs w:val="22"/>
          <w:color w:val="auto"/>
        </w:rPr>
      </w:pPr>
      <w:r>
        <w:rPr>
          <w:rFonts w:ascii="Arial" w:cs="Arial" w:eastAsia="Arial" w:hAnsi="Arial"/>
          <w:sz w:val="22"/>
          <w:szCs w:val="22"/>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9" w:name="page80"/>
    <w:bookmarkEnd w:id="79"/>
    <w:p>
      <w:pPr>
        <w:spacing w:after="0" w:line="250" w:lineRule="auto"/>
        <w:rPr>
          <w:sz w:val="20"/>
          <w:szCs w:val="20"/>
          <w:color w:val="auto"/>
        </w:rPr>
      </w:pPr>
      <w:r>
        <w:rPr>
          <w:rFonts w:ascii="Arial" w:cs="Arial" w:eastAsia="Arial" w:hAnsi="Arial"/>
          <w:sz w:val="22"/>
          <w:szCs w:val="22"/>
          <w:color w:val="auto"/>
        </w:rPr>
        <w:t>and conditions of such Key Permits. Neither Borrower nor any Subsidiary has received any written notice that any Key Permits have been or are being revoked, withdrawn, suspended, limited or challenged.</w:t>
      </w:r>
    </w:p>
    <w:p>
      <w:pPr>
        <w:spacing w:after="0" w:line="175" w:lineRule="exact"/>
        <w:rPr>
          <w:sz w:val="20"/>
          <w:szCs w:val="20"/>
          <w:color w:val="auto"/>
        </w:rPr>
      </w:pPr>
    </w:p>
    <w:p>
      <w:pPr>
        <w:jc w:val="both"/>
        <w:ind w:firstLine="745"/>
        <w:spacing w:after="0" w:line="272" w:lineRule="auto"/>
        <w:tabs>
          <w:tab w:leader="none" w:pos="1181"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Borrower has made available to the Administrative Agent and the Lenders copies of all Key Permits and material correspondence submitted to or received from the FDA or other Governmental Authority (including minutes and official contact reports relating to any material communications with any Governmental Authority) in the Borrower’s or any Subsidiary’s possession or control as requested by the Administrative Agent or any Lender. There has been no material untrue statement of fact and no fraudulent statement made by the Borrower, any of the Subsidiaries, or any of their respective agents or representatives to the FDA or any other Governmental Authority, and there has been no failure to disclose any material fact required to be disclosed to the FDA or any other Governmental Authority</w:t>
      </w:r>
      <w:r>
        <w:rPr>
          <w:rFonts w:ascii="Arial" w:cs="Arial" w:eastAsia="Arial" w:hAnsi="Arial"/>
          <w:sz w:val="19"/>
          <w:szCs w:val="19"/>
          <w:color w:val="0000FF"/>
        </w:rPr>
        <w:t>.</w:t>
      </w:r>
      <w:r>
        <w:rPr>
          <w:rFonts w:ascii="Arial" w:cs="Arial" w:eastAsia="Arial" w:hAnsi="Arial"/>
          <w:sz w:val="19"/>
          <w:szCs w:val="19"/>
          <w:color w:val="auto"/>
        </w:rPr>
        <w:t xml:space="preserve"> All applications, notifications, product reports, submissions, information, claims, reports and statistics, and other data and conclusions derived therefrom, utilized as the basis for or submitted in connection with any and all requests for Key Permit from any Governmental Authority, were truthful, complete and accurate in all material respects as of the date of submission and as of the date of the grant of such Key Permit. All necessary or required changes, supplements, amendments, modifications, updates, or corrections to such applications, notifications, submissions, information and data have been submitted to the applicable Governmental Authority.</w:t>
      </w:r>
    </w:p>
    <w:p>
      <w:pPr>
        <w:spacing w:after="0" w:line="155" w:lineRule="exact"/>
        <w:rPr>
          <w:rFonts w:ascii="Arial" w:cs="Arial" w:eastAsia="Arial" w:hAnsi="Arial"/>
          <w:sz w:val="19"/>
          <w:szCs w:val="19"/>
          <w:color w:val="auto"/>
        </w:rPr>
      </w:pPr>
    </w:p>
    <w:p>
      <w:pPr>
        <w:jc w:val="both"/>
        <w:ind w:firstLine="745"/>
        <w:spacing w:after="0" w:line="282" w:lineRule="auto"/>
        <w:tabs>
          <w:tab w:leader="none" w:pos="1181" w:val="left"/>
        </w:tabs>
        <w:numPr>
          <w:ilvl w:val="0"/>
          <w:numId w:val="60"/>
        </w:numPr>
        <w:rPr>
          <w:rFonts w:ascii="Arial" w:cs="Arial" w:eastAsia="Arial" w:hAnsi="Arial"/>
          <w:sz w:val="19"/>
          <w:szCs w:val="19"/>
          <w:color w:val="auto"/>
        </w:rPr>
      </w:pPr>
      <w:r>
        <w:rPr>
          <w:rFonts w:ascii="Arial" w:cs="Arial" w:eastAsia="Arial" w:hAnsi="Arial"/>
          <w:sz w:val="19"/>
          <w:szCs w:val="19"/>
          <w:color w:val="auto"/>
        </w:rPr>
        <w:t>Neither the Borrower nor any Subsidiary has had any product or manufacturing site (whether owned by the Borrower, a Subsidiary or a contract manufacturer) subject to a Governmental Authority shutdown or import or export prohibition, nor received any notice of inspectional observations, “warning letters,” “untitled letters” or similar correspondence relating to manufacturing processes or procedures and asserting noncompliance with any applicable Law or Permit and, to the knowledge of the Borrower, no Governmental Authority is considering such action.</w:t>
      </w:r>
    </w:p>
    <w:p>
      <w:pPr>
        <w:spacing w:after="0" w:line="147" w:lineRule="exact"/>
        <w:rPr>
          <w:rFonts w:ascii="Arial" w:cs="Arial" w:eastAsia="Arial" w:hAnsi="Arial"/>
          <w:sz w:val="19"/>
          <w:szCs w:val="19"/>
          <w:color w:val="auto"/>
        </w:rPr>
      </w:pPr>
    </w:p>
    <w:p>
      <w:pPr>
        <w:jc w:val="both"/>
        <w:ind w:firstLine="745"/>
        <w:spacing w:after="0" w:line="245" w:lineRule="auto"/>
        <w:tabs>
          <w:tab w:leader="none" w:pos="1181"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There are not and have not been any (i) recalls, field notifications, corrections, product replacements, market withdrawals, warnings, inquiries, “dear doctor” letters, investigator notices, safety alerts, reports of accidental radiation occurrences, notifications of defect, or other notices of any action or court order relating to an alleged lack of safety or regulatory compliance of the medical device products issued by the Borrower or any Subsidiary (“</w:t>
      </w:r>
      <w:r>
        <w:rPr>
          <w:rFonts w:ascii="Arial" w:cs="Arial" w:eastAsia="Arial" w:hAnsi="Arial"/>
          <w:sz w:val="21"/>
          <w:szCs w:val="21"/>
          <w:u w:val="single" w:color="auto"/>
          <w:color w:val="auto"/>
        </w:rPr>
        <w:t>Safety</w:t>
      </w:r>
      <w:r>
        <w:rPr>
          <w:rFonts w:ascii="Arial" w:cs="Arial" w:eastAsia="Arial" w:hAnsi="Arial"/>
          <w:sz w:val="21"/>
          <w:szCs w:val="21"/>
          <w:color w:val="auto"/>
        </w:rPr>
        <w:t xml:space="preserve"> </w:t>
      </w:r>
      <w:r>
        <w:rPr>
          <w:rFonts w:ascii="Arial" w:cs="Arial" w:eastAsia="Arial" w:hAnsi="Arial"/>
          <w:sz w:val="21"/>
          <w:szCs w:val="21"/>
          <w:u w:val="single" w:color="auto"/>
          <w:color w:val="auto"/>
        </w:rPr>
        <w:t>Notices</w:t>
      </w:r>
      <w:r>
        <w:rPr>
          <w:rFonts w:ascii="Arial" w:cs="Arial" w:eastAsia="Arial" w:hAnsi="Arial"/>
          <w:sz w:val="21"/>
          <w:szCs w:val="21"/>
          <w:color w:val="auto"/>
        </w:rPr>
        <w:t>”), or (ii) material product complaints with respect to the medical device products. To the knowledge of the Borrower, there are no facts that would be reasonably likely to result in (x) a material Safety Notice with respect to its products, (y) a material change in the labeling of any of its products, or (z) a termination or suspension of developing and testing of any of its products. All adverse events and malfunctions have been reported to applicable Governmental Authorities in accordance with Law.</w:t>
      </w:r>
    </w:p>
    <w:p>
      <w:pPr>
        <w:spacing w:after="0" w:line="184" w:lineRule="exact"/>
        <w:rPr>
          <w:rFonts w:ascii="Arial" w:cs="Arial" w:eastAsia="Arial" w:hAnsi="Arial"/>
          <w:sz w:val="21"/>
          <w:szCs w:val="21"/>
          <w:color w:val="auto"/>
        </w:rPr>
      </w:pPr>
    </w:p>
    <w:p>
      <w:pPr>
        <w:jc w:val="both"/>
        <w:ind w:firstLine="745"/>
        <w:spacing w:after="0"/>
        <w:tabs>
          <w:tab w:leader="none" w:pos="1181" w:val="left"/>
        </w:tabs>
        <w:numPr>
          <w:ilvl w:val="0"/>
          <w:numId w:val="60"/>
        </w:numPr>
        <w:rPr>
          <w:rFonts w:ascii="Arial" w:cs="Arial" w:eastAsia="Arial" w:hAnsi="Arial"/>
          <w:sz w:val="22"/>
          <w:szCs w:val="22"/>
          <w:color w:val="auto"/>
        </w:rPr>
      </w:pPr>
      <w:r>
        <w:rPr>
          <w:rFonts w:ascii="Arial" w:cs="Arial" w:eastAsia="Arial" w:hAnsi="Arial"/>
          <w:sz w:val="22"/>
          <w:szCs w:val="22"/>
          <w:color w:val="auto"/>
        </w:rPr>
        <w:t>To the Borrower’s knowledge, no investigation by any Governmental Authority with respect to the Borrower or any of the Subsidiaries is pending or threatened. Neither the Borrower nor any Subsidiary has received any written communication from</w:t>
      </w:r>
    </w:p>
    <w:p>
      <w:pPr>
        <w:spacing w:after="0" w:line="186" w:lineRule="exact"/>
        <w:rPr>
          <w:rFonts w:ascii="Arial" w:cs="Arial" w:eastAsia="Arial" w:hAnsi="Arial"/>
          <w:sz w:val="22"/>
          <w:szCs w:val="22"/>
          <w:color w:val="auto"/>
        </w:rPr>
      </w:pPr>
    </w:p>
    <w:p>
      <w:pPr>
        <w:ind w:left="4760" w:hanging="130"/>
        <w:spacing w:after="0"/>
        <w:tabs>
          <w:tab w:leader="none" w:pos="4760" w:val="left"/>
        </w:tabs>
        <w:numPr>
          <w:ilvl w:val="1"/>
          <w:numId w:val="60"/>
        </w:numPr>
        <w:rPr>
          <w:rFonts w:ascii="Arial" w:cs="Arial" w:eastAsia="Arial" w:hAnsi="Arial"/>
          <w:sz w:val="22"/>
          <w:szCs w:val="22"/>
          <w:color w:val="auto"/>
        </w:rPr>
      </w:pPr>
      <w:r>
        <w:rPr>
          <w:rFonts w:ascii="Arial" w:cs="Arial" w:eastAsia="Arial" w:hAnsi="Arial"/>
          <w:sz w:val="22"/>
          <w:szCs w:val="22"/>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405765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1" w:right="339" w:bottom="1440" w:gutter="0" w:footer="0" w:header="0"/>
        </w:sectPr>
      </w:pPr>
    </w:p>
    <w:bookmarkStart w:id="80" w:name="page81"/>
    <w:bookmarkEnd w:id="80"/>
    <w:p>
      <w:pPr>
        <w:jc w:val="both"/>
        <w:spacing w:after="0" w:line="282" w:lineRule="auto"/>
        <w:rPr>
          <w:sz w:val="20"/>
          <w:szCs w:val="20"/>
          <w:color w:val="auto"/>
        </w:rPr>
      </w:pPr>
      <w:r>
        <w:rPr>
          <w:rFonts w:ascii="Arial" w:cs="Arial" w:eastAsia="Arial" w:hAnsi="Arial"/>
          <w:sz w:val="19"/>
          <w:szCs w:val="19"/>
          <w:color w:val="auto"/>
        </w:rPr>
        <w:t>any Person (including any Governmental Authority) of any noncompliance with any Laws or any written communication from any Governmental Authority or accrediting organization of any material issues, problems, or concerns regarding the quality or performance of the Products, or the practices of the Borrower or any of the Subsidiaries with respect to advertising, promoting, or otherwise commercializing the Products, and to the knowledge of the Borrower, there is no basis for any adverse regulatory action against the Borrower or any of the Subsidiaries.</w:t>
      </w:r>
    </w:p>
    <w:p>
      <w:pPr>
        <w:spacing w:after="0" w:line="147" w:lineRule="exact"/>
        <w:rPr>
          <w:sz w:val="20"/>
          <w:szCs w:val="20"/>
          <w:color w:val="auto"/>
        </w:rPr>
      </w:pPr>
    </w:p>
    <w:p>
      <w:pPr>
        <w:jc w:val="both"/>
        <w:ind w:firstLine="745"/>
        <w:spacing w:after="0" w:line="236" w:lineRule="auto"/>
        <w:tabs>
          <w:tab w:leader="none" w:pos="1181" w:val="left"/>
        </w:tabs>
        <w:numPr>
          <w:ilvl w:val="0"/>
          <w:numId w:val="61"/>
        </w:numPr>
        <w:rPr>
          <w:rFonts w:ascii="Arial" w:cs="Arial" w:eastAsia="Arial" w:hAnsi="Arial"/>
          <w:sz w:val="22"/>
          <w:szCs w:val="22"/>
          <w:color w:val="auto"/>
        </w:rPr>
      </w:pPr>
      <w:r>
        <w:rPr>
          <w:rFonts w:ascii="Arial" w:cs="Arial" w:eastAsia="Arial" w:hAnsi="Arial"/>
          <w:sz w:val="22"/>
          <w:szCs w:val="22"/>
          <w:color w:val="auto"/>
        </w:rPr>
        <w:t>No right of the Borrower or any of the Subsidiaries to receive reimbursements pursuant to any government program or private program has ever been terminated or otherwise adversely affected as a result of any investigation or enforcement action, whether by any Governmental Authority or other Third Party, and neither the Borrower nor any of the Subsidiaries has been the subject of any inspection, investigation, or audit, by any Governmental Authority in connection with any alleged improper activity.</w:t>
      </w:r>
    </w:p>
    <w:p>
      <w:pPr>
        <w:spacing w:after="0" w:line="187" w:lineRule="exact"/>
        <w:rPr>
          <w:rFonts w:ascii="Arial" w:cs="Arial" w:eastAsia="Arial" w:hAnsi="Arial"/>
          <w:sz w:val="22"/>
          <w:szCs w:val="22"/>
          <w:color w:val="auto"/>
        </w:rPr>
      </w:pPr>
    </w:p>
    <w:p>
      <w:pPr>
        <w:jc w:val="both"/>
        <w:ind w:firstLine="745"/>
        <w:spacing w:after="0" w:line="248" w:lineRule="auto"/>
        <w:tabs>
          <w:tab w:leader="none" w:pos="1181"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There is no arrangement relating to the Borrower or the Subsidiaries providing for any rebates, kickbacks or other forms of compensation that are unlawful to be paid to any Person in return for the purchase or use of any of the Products or for the referral of business or for the arrangement for recommendation of such referrals. All billings by the Borrower and the Subsidiaries for its services, if any, have been true and correct in all material respects and, to the Borrower’s knowledge, are in compliance with all applicable Laws, including the Federal False Claims Act or any applicable state false claim or fraud Law.</w:t>
      </w:r>
    </w:p>
    <w:p>
      <w:pPr>
        <w:spacing w:after="0" w:line="176" w:lineRule="exact"/>
        <w:rPr>
          <w:rFonts w:ascii="Arial" w:cs="Arial" w:eastAsia="Arial" w:hAnsi="Arial"/>
          <w:sz w:val="21"/>
          <w:szCs w:val="21"/>
          <w:color w:val="auto"/>
        </w:rPr>
      </w:pPr>
    </w:p>
    <w:p>
      <w:pPr>
        <w:jc w:val="both"/>
        <w:ind w:firstLine="745"/>
        <w:spacing w:after="0" w:line="271" w:lineRule="auto"/>
        <w:tabs>
          <w:tab w:leader="none" w:pos="1181" w:val="left"/>
        </w:tabs>
        <w:numPr>
          <w:ilvl w:val="0"/>
          <w:numId w:val="61"/>
        </w:numPr>
        <w:rPr>
          <w:rFonts w:ascii="Arial" w:cs="Arial" w:eastAsia="Arial" w:hAnsi="Arial"/>
          <w:sz w:val="19"/>
          <w:szCs w:val="19"/>
          <w:color w:val="auto"/>
        </w:rPr>
      </w:pPr>
      <w:r>
        <w:rPr>
          <w:rFonts w:ascii="Arial" w:cs="Arial" w:eastAsia="Arial" w:hAnsi="Arial"/>
          <w:sz w:val="19"/>
          <w:szCs w:val="19"/>
          <w:color w:val="auto"/>
        </w:rPr>
        <w:t>None of the Borrower or any of the Subsidiaries nor, to the Borrower’s knowledge, any individual who is an officer, director, manager, employee, stockholder, agent or managing agent of the Borrower or any of the Subsidiaries has been convicted of, charged with or, to the Borrower’s knowledge, investigated for any federal or state health program-related offense or any other offense related to healthcare or been excluded or suspended from participation in any such program; or, to the Borrower’s knowledge, has been convicted of, charged with or, to the Borrower’s knowledge, investigated for a violation of Laws related to fraud, theft, embezzlement, breach of fiduciary responsibility, financial misconduct, obstruction of an investigation or controlled substances, or has been subject to any judgment, stipulation, order or decree of, or criminal or civil fine or penalty imposed by, any Governmental Authority related to fraud, theft, embezzlement, breach of fiduciary responsibility, financial misconduct, obstruction of an investigation or controlled substances. None of the Borrower or any of the Subsidiaries nor, to the Borrower’s knowledge, any individual who is an officer, director, manager, employee, stockholder, agent or managing agent of the Borrower or any of the Subsidiaries has been convicted of any crime or engaged in any conduct that has resulted or would reasonably be expected to result in a debarment or exclusion under (i) 21 U.S.C. Section 335a, (ii) Section 1128 of the Social Security Act or (iii) any similar applicable Law. No debarment proceedings or investigations in respect of the business of the Borrower or any of the Subsidiaries, are pending or, to the Borrower’s knowledge, threatened against the Borrower, any of the Subsidiaries or any individual who is an officer, director, manager or employee of, or, to</w:t>
      </w:r>
    </w:p>
    <w:p>
      <w:pPr>
        <w:spacing w:after="0" w:line="156" w:lineRule="exact"/>
        <w:rPr>
          <w:rFonts w:ascii="Arial" w:cs="Arial" w:eastAsia="Arial" w:hAnsi="Arial"/>
          <w:sz w:val="19"/>
          <w:szCs w:val="19"/>
          <w:color w:val="auto"/>
        </w:rPr>
      </w:pPr>
    </w:p>
    <w:p>
      <w:pPr>
        <w:ind w:left="4760" w:hanging="130"/>
        <w:spacing w:after="0"/>
        <w:tabs>
          <w:tab w:leader="none" w:pos="4760" w:val="left"/>
        </w:tabs>
        <w:numPr>
          <w:ilvl w:val="1"/>
          <w:numId w:val="61"/>
        </w:numPr>
        <w:rPr>
          <w:rFonts w:ascii="Arial" w:cs="Arial" w:eastAsia="Arial" w:hAnsi="Arial"/>
          <w:sz w:val="22"/>
          <w:szCs w:val="22"/>
          <w:color w:val="auto"/>
        </w:rPr>
      </w:pPr>
      <w:r>
        <w:rPr>
          <w:rFonts w:ascii="Arial" w:cs="Arial" w:eastAsia="Arial" w:hAnsi="Arial"/>
          <w:sz w:val="22"/>
          <w:szCs w:val="22"/>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405765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1" w:right="339" w:bottom="1440" w:gutter="0" w:footer="0" w:header="0"/>
        </w:sectPr>
      </w:pPr>
    </w:p>
    <w:bookmarkStart w:id="81" w:name="page82"/>
    <w:bookmarkEnd w:id="81"/>
    <w:p>
      <w:pPr>
        <w:ind w:left="760"/>
        <w:spacing w:after="0"/>
        <w:rPr>
          <w:sz w:val="20"/>
          <w:szCs w:val="20"/>
          <w:color w:val="auto"/>
        </w:rPr>
      </w:pPr>
      <w:r>
        <w:rPr>
          <w:rFonts w:ascii="Arial" w:cs="Arial" w:eastAsia="Arial" w:hAnsi="Arial"/>
          <w:sz w:val="22"/>
          <w:szCs w:val="22"/>
          <w:color w:val="auto"/>
        </w:rPr>
        <w:t>the Borrower’s knowledge, an agent or managing agent of, the Borrower or any of the Subsidiaries.</w:t>
      </w:r>
    </w:p>
    <w:p>
      <w:pPr>
        <w:spacing w:after="0" w:line="206" w:lineRule="exact"/>
        <w:rPr>
          <w:sz w:val="20"/>
          <w:szCs w:val="20"/>
          <w:color w:val="auto"/>
        </w:rPr>
      </w:pPr>
    </w:p>
    <w:p>
      <w:pPr>
        <w:jc w:val="both"/>
        <w:ind w:left="760" w:firstLine="745"/>
        <w:spacing w:after="0" w:line="273" w:lineRule="auto"/>
        <w:tabs>
          <w:tab w:leader="none" w:pos="1941"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Products were researched, developed, designed and validated in compliance in all material respects with all applicable Laws, including the FD&amp;C Act, Privacy Laws and state laws. All studies, tests and preclinical and clinical trials conducted relating to the Products, by or on behalf of the Borrower and the Subsidiaries and, to the knowledge of the Borrower, their respective licensees, licensors and Third Party services providers and consultants, have been conducted, and are currently being conducted, in compliance in all material respects with all applicable Laws, procedures and controls pursuant to, where applicable, current good clinical practices and current good laboratory practices and other applicable laws, rules,regulations and guidance. All results of such studies, tests and trials, and all other material information related to such studies, tests and trials, have been made available to the Administrative Agent or any Lender as requested by it. To the extent required by applicable Law, the Borrower and the Subsidiaries have obtained all necessary Regulatory Authorizations, including an investigational device exemption (IDE) for the conduct of any clinical investigations conducted by or on behalf of the Borrower or any of the Subsidiaries.</w:t>
      </w:r>
    </w:p>
    <w:p>
      <w:pPr>
        <w:spacing w:after="0" w:line="155" w:lineRule="exact"/>
        <w:rPr>
          <w:rFonts w:ascii="Arial" w:cs="Arial" w:eastAsia="Arial" w:hAnsi="Arial"/>
          <w:sz w:val="19"/>
          <w:szCs w:val="19"/>
          <w:color w:val="auto"/>
        </w:rPr>
      </w:pPr>
    </w:p>
    <w:p>
      <w:pPr>
        <w:jc w:val="both"/>
        <w:ind w:left="760" w:firstLine="745"/>
        <w:spacing w:after="0" w:line="246" w:lineRule="auto"/>
        <w:tabs>
          <w:tab w:leader="none" w:pos="1941" w:val="left"/>
        </w:tabs>
        <w:numPr>
          <w:ilvl w:val="0"/>
          <w:numId w:val="62"/>
        </w:numPr>
        <w:rPr>
          <w:rFonts w:ascii="Arial" w:cs="Arial" w:eastAsia="Arial" w:hAnsi="Arial"/>
          <w:sz w:val="21"/>
          <w:szCs w:val="21"/>
          <w:color w:val="auto"/>
        </w:rPr>
      </w:pPr>
      <w:r>
        <w:rPr>
          <w:rFonts w:ascii="Arial" w:cs="Arial" w:eastAsia="Arial" w:hAnsi="Arial"/>
          <w:sz w:val="21"/>
          <w:szCs w:val="21"/>
          <w:color w:val="auto"/>
        </w:rPr>
        <w:t>To the Borrower’s knowledge, none of the clinical investigators in any clinical trial conducted by or on behalf of the Borrower or any Subsidiary has been or is disqualified or otherwise sanctioned by the FDA, the Department of Health and Human Services, or any other Governmental Authority and, to the Borrower’s knowledge, no such disqualification, or other sanction of any such clinical investigator is pending or threatened in writing or, to the Borrower’s knowledge, otherwise. Neither the Borrower nor any of the Subsidiaries has received from the FDA or other applicable Governmental Authority any written or, to its knowledge, other notices or correspondence requiring or threatening the termination, suspension, material modification or clinical hold of any clinical trials conducted by, or on behalf of, the Borrower or any of the Subsidiaries.</w:t>
      </w:r>
    </w:p>
    <w:p>
      <w:pPr>
        <w:spacing w:after="0" w:line="18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 xml:space="preserve">SECTION 6.19 </w:t>
      </w:r>
      <w:r>
        <w:rPr>
          <w:rFonts w:ascii="Arial" w:cs="Arial" w:eastAsia="Arial" w:hAnsi="Arial"/>
          <w:sz w:val="21"/>
          <w:szCs w:val="21"/>
          <w:u w:val="single" w:color="auto"/>
          <w:color w:val="auto"/>
        </w:rPr>
        <w:t>Transactions with Affiliates</w:t>
      </w:r>
      <w:r>
        <w:rPr>
          <w:rFonts w:ascii="Arial" w:cs="Arial" w:eastAsia="Arial" w:hAnsi="Arial"/>
          <w:sz w:val="21"/>
          <w:szCs w:val="21"/>
          <w:color w:val="auto"/>
        </w:rPr>
        <w:t>. None of the Borrower or any Subsidiary has entered into, renewed, extended or been a party to, any transaction (including the purchase, sale, lease, transfer or exchange of property or assets of any kind or the rendering of services of any kind) with any of its Affiliates during the three-year period immediately prior to the Closing Date, the First Delayed Draw Closing Date or the Delayed Draw Closing Date.</w:t>
      </w:r>
    </w:p>
    <w:p>
      <w:pPr>
        <w:spacing w:after="0" w:line="174"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6.20 </w:t>
      </w:r>
      <w:r>
        <w:rPr>
          <w:rFonts w:ascii="Arial" w:cs="Arial" w:eastAsia="Arial" w:hAnsi="Arial"/>
          <w:sz w:val="22"/>
          <w:szCs w:val="22"/>
          <w:u w:val="single" w:color="auto"/>
          <w:color w:val="auto"/>
        </w:rPr>
        <w:t>Investment Company Act</w:t>
      </w:r>
      <w:r>
        <w:rPr>
          <w:rFonts w:ascii="Arial" w:cs="Arial" w:eastAsia="Arial" w:hAnsi="Arial"/>
          <w:sz w:val="22"/>
          <w:szCs w:val="22"/>
          <w:color w:val="auto"/>
        </w:rPr>
        <w:t xml:space="preserve"> None of the Borrower or any Subsidiary is an “investment company” or is “controlled” by an “investment company,” as such terms are defined in, or subject to regulation under, the Investment Company Act of 1940, as amended.</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SECTION 6.21 </w:t>
      </w:r>
      <w:r>
        <w:rPr>
          <w:rFonts w:ascii="Arial" w:cs="Arial" w:eastAsia="Arial" w:hAnsi="Arial"/>
          <w:sz w:val="19"/>
          <w:szCs w:val="19"/>
          <w:u w:val="single" w:color="auto"/>
          <w:color w:val="auto"/>
        </w:rPr>
        <w:t>OFAC</w:t>
      </w:r>
      <w:r>
        <w:rPr>
          <w:rFonts w:ascii="Arial" w:cs="Arial" w:eastAsia="Arial" w:hAnsi="Arial"/>
          <w:sz w:val="19"/>
          <w:szCs w:val="19"/>
          <w:color w:val="auto"/>
        </w:rPr>
        <w:t>. None of the Borrower, any Subsidiary or, to the knowledge of the Borrower, any Related Party</w:t>
      </w:r>
    </w:p>
    <w:p>
      <w:pPr>
        <w:spacing w:after="0" w:line="43" w:lineRule="exact"/>
        <w:rPr>
          <w:sz w:val="20"/>
          <w:szCs w:val="20"/>
          <w:color w:val="auto"/>
        </w:rPr>
      </w:pPr>
    </w:p>
    <w:p>
      <w:pPr>
        <w:jc w:val="both"/>
        <w:ind w:firstLine="8"/>
        <w:spacing w:after="0" w:line="233" w:lineRule="auto"/>
        <w:tabs>
          <w:tab w:leader="none" w:pos="306" w:val="left"/>
        </w:tabs>
        <w:numPr>
          <w:ilvl w:val="0"/>
          <w:numId w:val="63"/>
        </w:numPr>
        <w:rPr>
          <w:rFonts w:ascii="Arial" w:cs="Arial" w:eastAsia="Arial" w:hAnsi="Arial"/>
          <w:sz w:val="22"/>
          <w:szCs w:val="22"/>
          <w:color w:val="auto"/>
        </w:rPr>
      </w:pPr>
      <w:r>
        <w:rPr>
          <w:rFonts w:ascii="Arial" w:cs="Arial" w:eastAsia="Arial" w:hAnsi="Arial"/>
          <w:sz w:val="22"/>
          <w:szCs w:val="22"/>
          <w:color w:val="auto"/>
        </w:rPr>
        <w:t>is currently the subject of any Sanctions, (b) is located, organized or residing in any Designated Jurisdiction, or (c) is or has been (within the previous five years) engaged in any transaction with any Person who is now or was then the subject of Sanctions or who is located, organized or residing in any Designated Jurisdiction. No Loan, nor the proceeds from any Loan, has been or will be used, directly or indirectly, to lend, contribute or provide to, or</w:t>
      </w:r>
    </w:p>
    <w:p>
      <w:pPr>
        <w:spacing w:after="0" w:line="187" w:lineRule="exact"/>
        <w:rPr>
          <w:rFonts w:ascii="Arial" w:cs="Arial" w:eastAsia="Arial" w:hAnsi="Arial"/>
          <w:sz w:val="22"/>
          <w:szCs w:val="22"/>
          <w:color w:val="auto"/>
        </w:rPr>
      </w:pPr>
    </w:p>
    <w:p>
      <w:pPr>
        <w:ind w:left="5520" w:hanging="130"/>
        <w:spacing w:after="0"/>
        <w:tabs>
          <w:tab w:leader="none" w:pos="5520" w:val="left"/>
        </w:tabs>
        <w:numPr>
          <w:ilvl w:val="1"/>
          <w:numId w:val="63"/>
        </w:numPr>
        <w:rPr>
          <w:rFonts w:ascii="Arial" w:cs="Arial" w:eastAsia="Arial" w:hAnsi="Arial"/>
          <w:sz w:val="22"/>
          <w:szCs w:val="22"/>
          <w:color w:val="auto"/>
        </w:rPr>
      </w:pPr>
      <w:r>
        <w:rPr>
          <w:rFonts w:ascii="Arial" w:cs="Arial" w:eastAsia="Arial" w:hAnsi="Arial"/>
          <w:sz w:val="22"/>
          <w:szCs w:val="22"/>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2" w:name="page83"/>
    <w:bookmarkEnd w:id="82"/>
    <w:p>
      <w:pPr>
        <w:jc w:val="both"/>
        <w:spacing w:after="0" w:line="238" w:lineRule="auto"/>
        <w:rPr>
          <w:sz w:val="20"/>
          <w:szCs w:val="20"/>
          <w:color w:val="auto"/>
        </w:rPr>
      </w:pPr>
      <w:r>
        <w:rPr>
          <w:rFonts w:ascii="Arial" w:cs="Arial" w:eastAsia="Arial" w:hAnsi="Arial"/>
          <w:sz w:val="22"/>
          <w:szCs w:val="22"/>
          <w:color w:val="auto"/>
        </w:rPr>
        <w:t>has been or will be otherwise made available to fund, any activity or business in any Designated Jurisdiction or to fund any activity or business of any Person located, organized or residing in any Designated Jurisdiction or who is the subject of any Sanctions, or in any other manner that will result in any violation by any Person (including the Administrative Agent, any Lender and its Affiliates) of Sanctions.</w:t>
      </w:r>
    </w:p>
    <w:p>
      <w:pPr>
        <w:spacing w:after="0" w:line="18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 xml:space="preserve">SECTION 6.22 </w:t>
      </w:r>
      <w:r>
        <w:rPr>
          <w:rFonts w:ascii="Arial" w:cs="Arial" w:eastAsia="Arial" w:hAnsi="Arial"/>
          <w:sz w:val="21"/>
          <w:szCs w:val="21"/>
          <w:u w:val="single" w:color="auto"/>
          <w:color w:val="auto"/>
        </w:rPr>
        <w:t>Deposit and Disbursement Accounts</w:t>
      </w:r>
      <w:r>
        <w:rPr>
          <w:rFonts w:ascii="Arial" w:cs="Arial" w:eastAsia="Arial" w:hAnsi="Arial"/>
          <w:sz w:val="21"/>
          <w:szCs w:val="21"/>
          <w:color w:val="auto"/>
        </w:rPr>
        <w:t xml:space="preserve">. Set forth on </w:t>
      </w:r>
      <w:r>
        <w:rPr>
          <w:rFonts w:ascii="Arial" w:cs="Arial" w:eastAsia="Arial" w:hAnsi="Arial"/>
          <w:sz w:val="21"/>
          <w:szCs w:val="21"/>
          <w:u w:val="single" w:color="auto"/>
          <w:color w:val="auto"/>
        </w:rPr>
        <w:t>Schedule 6.22</w:t>
      </w:r>
      <w:r>
        <w:rPr>
          <w:rFonts w:ascii="Arial" w:cs="Arial" w:eastAsia="Arial" w:hAnsi="Arial"/>
          <w:sz w:val="21"/>
          <w:szCs w:val="21"/>
          <w:color w:val="auto"/>
        </w:rPr>
        <w:t xml:space="preserve"> is a complete and accurate list as of the Closing Date, the First Delayed Draw Closing Date or the Second Delayed Draw Closing Date, as the case may be, of all banks and other financial institutions at which the Borrower or any Subsidiary maintains deposit accounts, lockboxes, disbursement accounts, investment accounts or other similar accounts, such Schedule correctly identifies the name, address and telephone number of each bank or financial institution, the name in which each such account is held, the type of each such account, and the complete account number for each such account, and each such account (other than Excluded Accounts) is a Controlled Account to the extent required pursuant to </w:t>
      </w:r>
      <w:r>
        <w:rPr>
          <w:rFonts w:ascii="Arial" w:cs="Arial" w:eastAsia="Arial" w:hAnsi="Arial"/>
          <w:sz w:val="21"/>
          <w:szCs w:val="21"/>
          <w:u w:val="single" w:color="auto"/>
          <w:color w:val="auto"/>
        </w:rPr>
        <w:t>Section 7.12</w:t>
      </w:r>
      <w:r>
        <w:rPr>
          <w:rFonts w:ascii="Arial" w:cs="Arial" w:eastAsia="Arial" w:hAnsi="Arial"/>
          <w:sz w:val="21"/>
          <w:szCs w:val="21"/>
          <w:color w:val="auto"/>
        </w:rPr>
        <w:t>.</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6.23 </w:t>
      </w:r>
      <w:r>
        <w:rPr>
          <w:rFonts w:ascii="Arial" w:cs="Arial" w:eastAsia="Arial" w:hAnsi="Arial"/>
          <w:sz w:val="22"/>
          <w:szCs w:val="22"/>
          <w:u w:val="single" w:color="auto"/>
          <w:color w:val="auto"/>
        </w:rPr>
        <w:t>Data Privacy and Information Security</w:t>
      </w:r>
      <w:r>
        <w:rPr>
          <w:rFonts w:ascii="Arial" w:cs="Arial" w:eastAsia="Arial" w:hAnsi="Arial"/>
          <w:sz w:val="22"/>
          <w:szCs w:val="22"/>
          <w:color w:val="auto"/>
        </w:rPr>
        <w:t>.</w:t>
      </w:r>
    </w:p>
    <w:p>
      <w:pPr>
        <w:spacing w:after="0" w:line="206" w:lineRule="exact"/>
        <w:rPr>
          <w:sz w:val="20"/>
          <w:szCs w:val="20"/>
          <w:color w:val="auto"/>
        </w:rPr>
      </w:pPr>
    </w:p>
    <w:p>
      <w:pPr>
        <w:jc w:val="both"/>
        <w:ind w:left="760" w:firstLine="745"/>
        <w:spacing w:after="0" w:line="273" w:lineRule="auto"/>
        <w:tabs>
          <w:tab w:leader="none" w:pos="1941" w:val="left"/>
        </w:tabs>
        <w:numPr>
          <w:ilvl w:val="1"/>
          <w:numId w:val="64"/>
        </w:numPr>
        <w:rPr>
          <w:rFonts w:ascii="Arial" w:cs="Arial" w:eastAsia="Arial" w:hAnsi="Arial"/>
          <w:sz w:val="19"/>
          <w:szCs w:val="19"/>
          <w:color w:val="auto"/>
        </w:rPr>
      </w:pPr>
      <w:r>
        <w:rPr>
          <w:rFonts w:ascii="Arial" w:cs="Arial" w:eastAsia="Arial" w:hAnsi="Arial"/>
          <w:sz w:val="19"/>
          <w:szCs w:val="19"/>
          <w:color w:val="auto"/>
        </w:rPr>
        <w:t xml:space="preserve">The Borrower and the Subsidiaries maintain appropriate data security policies, processes, and controls and an appropriate, comprehensive privacy program, all of which meet or exceed any requirements of applicable Law. </w:t>
      </w:r>
      <w:r>
        <w:rPr>
          <w:rFonts w:ascii="Arial" w:cs="Arial" w:eastAsia="Arial" w:hAnsi="Arial"/>
          <w:sz w:val="19"/>
          <w:szCs w:val="19"/>
          <w:u w:val="single" w:color="auto"/>
          <w:color w:val="auto"/>
        </w:rPr>
        <w:t>Schedule 6.23(a)</w:t>
      </w:r>
      <w:r>
        <w:rPr>
          <w:rFonts w:ascii="Arial" w:cs="Arial" w:eastAsia="Arial" w:hAnsi="Arial"/>
          <w:sz w:val="19"/>
          <w:szCs w:val="19"/>
          <w:color w:val="auto"/>
        </w:rPr>
        <w:t xml:space="preserve"> sets forth the terms of each such policy or written data security or privacy program (or a reasonable description thereof) that has been adopted by the Borrower or a Subsidiary at present time. None of the Borrower’s or any Subsidiary’s privacy statements or disclosures have been or are misleading or deceptive, and the contemplated transactions to be consummated hereunder as of the Closing Date will not violate any privacy statements, other consumer-facing disclosures or Laws. There is not currently pending and there has not been in the past five years any action, proceeding, suit or claim against the Borrower or the Subsidiaries with respect to privacy or data security, and, to the knowledge of the Borrower, none of the Borrower or any Subsidiary or any Products have experienced any security incident in which an unauthorized party accessed or acquired Personal Data or Confidential Business Information.</w:t>
      </w:r>
    </w:p>
    <w:p>
      <w:pPr>
        <w:spacing w:after="0" w:line="160" w:lineRule="exact"/>
        <w:rPr>
          <w:rFonts w:ascii="Arial" w:cs="Arial" w:eastAsia="Arial" w:hAnsi="Arial"/>
          <w:sz w:val="19"/>
          <w:szCs w:val="19"/>
          <w:color w:val="auto"/>
        </w:rPr>
      </w:pPr>
    </w:p>
    <w:p>
      <w:pPr>
        <w:jc w:val="both"/>
        <w:ind w:left="760" w:firstLine="745"/>
        <w:spacing w:after="0" w:line="271" w:lineRule="auto"/>
        <w:tabs>
          <w:tab w:leader="none" w:pos="1941" w:val="left"/>
        </w:tabs>
        <w:numPr>
          <w:ilvl w:val="1"/>
          <w:numId w:val="64"/>
        </w:numPr>
        <w:rPr>
          <w:rFonts w:ascii="Arial" w:cs="Arial" w:eastAsia="Arial" w:hAnsi="Arial"/>
          <w:sz w:val="19"/>
          <w:szCs w:val="19"/>
          <w:color w:val="auto"/>
        </w:rPr>
      </w:pPr>
      <w:r>
        <w:rPr>
          <w:rFonts w:ascii="Arial" w:cs="Arial" w:eastAsia="Arial" w:hAnsi="Arial"/>
          <w:sz w:val="19"/>
          <w:szCs w:val="19"/>
          <w:color w:val="auto"/>
        </w:rPr>
        <w:t>The Borrower and the Subsidiaries have contractually obligated all Data Processors to appropriate contractual terms relating to the protection and use of Personal Data and IT Assets, including without limitation obligations to (i) comply with applicable Privacy Laws, (ii) implement an appropriate information security program that includes reasonable administrative, technical, and physical safeguards to protection the applicable data and/or systems,</w:t>
      </w:r>
    </w:p>
    <w:p>
      <w:pPr>
        <w:spacing w:after="0" w:line="3" w:lineRule="exact"/>
        <w:rPr>
          <w:rFonts w:ascii="Arial" w:cs="Arial" w:eastAsia="Arial" w:hAnsi="Arial"/>
          <w:sz w:val="19"/>
          <w:szCs w:val="19"/>
          <w:color w:val="auto"/>
        </w:rPr>
      </w:pPr>
    </w:p>
    <w:p>
      <w:pPr>
        <w:jc w:val="both"/>
        <w:ind w:left="760" w:hanging="3"/>
        <w:spacing w:after="0" w:line="233" w:lineRule="auto"/>
        <w:tabs>
          <w:tab w:leader="none" w:pos="1148" w:val="left"/>
        </w:tabs>
        <w:numPr>
          <w:ilvl w:val="0"/>
          <w:numId w:val="65"/>
        </w:numPr>
        <w:rPr>
          <w:rFonts w:ascii="Arial" w:cs="Arial" w:eastAsia="Arial" w:hAnsi="Arial"/>
          <w:sz w:val="22"/>
          <w:szCs w:val="22"/>
          <w:color w:val="auto"/>
        </w:rPr>
      </w:pPr>
      <w:r>
        <w:rPr>
          <w:rFonts w:ascii="Arial" w:cs="Arial" w:eastAsia="Arial" w:hAnsi="Arial"/>
          <w:sz w:val="22"/>
          <w:szCs w:val="22"/>
          <w:color w:val="auto"/>
        </w:rPr>
        <w:t>restrict processing of Personal Data to those authorized or required under the servicing, outsourcing, processing, or similar arrangement, and (iv) certify or guarantee the return or adequate disposal or destruction of Personal Data. The Borrower and the Subsidiaries have taken reasonable measures to ensure that all Data Processors have complied with their contractual obligations.</w:t>
      </w:r>
    </w:p>
    <w:p>
      <w:pPr>
        <w:spacing w:after="0" w:line="187" w:lineRule="exact"/>
        <w:rPr>
          <w:rFonts w:ascii="Arial" w:cs="Arial" w:eastAsia="Arial" w:hAnsi="Arial"/>
          <w:sz w:val="22"/>
          <w:szCs w:val="22"/>
          <w:color w:val="auto"/>
        </w:rPr>
      </w:pPr>
    </w:p>
    <w:p>
      <w:pPr>
        <w:ind w:left="760" w:right="60" w:firstLine="745"/>
        <w:spacing w:after="0" w:line="250" w:lineRule="auto"/>
        <w:tabs>
          <w:tab w:leader="none" w:pos="1941"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IT Assets are sufficient and operate and perform as is necessary to conduct the business of the Borrower and the Subsidiaries as currently conducted and as</w:t>
      </w:r>
    </w:p>
    <w:p>
      <w:pPr>
        <w:spacing w:after="0" w:line="174" w:lineRule="exact"/>
        <w:rPr>
          <w:rFonts w:ascii="Arial" w:cs="Arial" w:eastAsia="Arial" w:hAnsi="Arial"/>
          <w:sz w:val="22"/>
          <w:szCs w:val="22"/>
          <w:color w:val="auto"/>
        </w:rPr>
      </w:pPr>
    </w:p>
    <w:p>
      <w:pPr>
        <w:ind w:left="5520" w:hanging="130"/>
        <w:spacing w:after="0"/>
        <w:tabs>
          <w:tab w:leader="none" w:pos="5520" w:val="left"/>
        </w:tabs>
        <w:numPr>
          <w:ilvl w:val="2"/>
          <w:numId w:val="65"/>
        </w:numPr>
        <w:rPr>
          <w:rFonts w:ascii="Arial" w:cs="Arial" w:eastAsia="Arial" w:hAnsi="Arial"/>
          <w:sz w:val="22"/>
          <w:szCs w:val="22"/>
          <w:color w:val="auto"/>
        </w:rPr>
      </w:pPr>
      <w:r>
        <w:rPr>
          <w:rFonts w:ascii="Arial" w:cs="Arial" w:eastAsia="Arial" w:hAnsi="Arial"/>
          <w:sz w:val="22"/>
          <w:szCs w:val="22"/>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3" w:name="page84"/>
    <w:bookmarkEnd w:id="83"/>
    <w:p>
      <w:pPr>
        <w:jc w:val="both"/>
        <w:ind w:left="760"/>
        <w:spacing w:after="0" w:line="233" w:lineRule="auto"/>
        <w:rPr>
          <w:sz w:val="20"/>
          <w:szCs w:val="20"/>
          <w:color w:val="auto"/>
        </w:rPr>
      </w:pPr>
      <w:r>
        <w:rPr>
          <w:rFonts w:ascii="Arial" w:cs="Arial" w:eastAsia="Arial" w:hAnsi="Arial"/>
          <w:sz w:val="22"/>
          <w:szCs w:val="22"/>
          <w:color w:val="auto"/>
        </w:rPr>
        <w:t>currently proposed to be conducted by the Borrower and the Subsidiaries. Neither the IT Assets nor any Products contain any “virus,” “spyware,” “malware,” “worm,” “Trojan horse” (as such terms are commonly understood in the software industry), disabling codes or instructions, or other similar code or software routines or components that are designed or intended to delete, destroy, disable, interfere with, perform unauthorized modifications to, or provide unauthorized access to any data, files, software, system, network, or other device. The Borrower and the Subsidiaries have established, implemented and tested backup and disaster recovery policies, procedures and systems consistent with generally accepted industry standards, and sufficient to reasonably maintain the operation of the business of the Borrower and the Subsidiaries as currently conducted and as currently proposed to be conducted by the Borrower and the Subsidiaries.</w:t>
      </w:r>
    </w:p>
    <w:p>
      <w:pPr>
        <w:spacing w:after="0" w:line="193" w:lineRule="exact"/>
        <w:rPr>
          <w:sz w:val="20"/>
          <w:szCs w:val="20"/>
          <w:color w:val="auto"/>
        </w:rPr>
      </w:pPr>
    </w:p>
    <w:p>
      <w:pPr>
        <w:jc w:val="both"/>
        <w:ind w:left="760" w:firstLine="745"/>
        <w:spacing w:after="0" w:line="246" w:lineRule="auto"/>
        <w:tabs>
          <w:tab w:leader="none" w:pos="1941"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Borrower, the Subsidiaries, and any Data Processors have implemented and maintained reasonable and appropriate organizational, physical, administrative and technical measures consistent with the state of the art for the industry in which the Borrower or any Subsidiary operates to protect the operation, confidentiality, integrity, and security of all Confidential Business Information, Personal Data and IT Assets (including, for clarity, all information and transactions stored or contained therein or transmitted thereby) against unauthorized access, acquisition, interruption, alteration, modification, or use. No Person has obtained unauthorized access to or use of any Confidential Business Information, Personal Data and IT Assets.</w:t>
      </w:r>
    </w:p>
    <w:p>
      <w:pPr>
        <w:spacing w:after="0" w:line="184" w:lineRule="exact"/>
        <w:rPr>
          <w:rFonts w:ascii="Arial" w:cs="Arial" w:eastAsia="Arial" w:hAnsi="Arial"/>
          <w:sz w:val="21"/>
          <w:szCs w:val="21"/>
          <w:color w:val="auto"/>
        </w:rPr>
      </w:pPr>
    </w:p>
    <w:p>
      <w:pPr>
        <w:jc w:val="both"/>
        <w:ind w:left="760" w:firstLine="745"/>
        <w:spacing w:after="0" w:line="279" w:lineRule="auto"/>
        <w:tabs>
          <w:tab w:leader="none" w:pos="1941"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Borrower and the Subsidiaries have taken or caused to be taken all reasonable precautions to ensure that all IT Assets (i) are free from any defect, bug, virus or programming, design or documentation error or corruption or other defect, and (ii) are fully functional and operate and run in a reasonable and efficient business manner. None of the IT Assets have malfunctioned or failed or have experienced any breakdowns or continued substandard performance in the past 24 months that has caused substantial disruption or substantial interruption in the Borrower’s or any Subsidiary’s use thereof or to the business of the Borrower and the Subsidiaries.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AFFIRMATIVE COVENANTS</w:t>
      </w:r>
    </w:p>
    <w:p>
      <w:pPr>
        <w:spacing w:after="0" w:line="188" w:lineRule="exact"/>
        <w:rPr>
          <w:sz w:val="20"/>
          <w:szCs w:val="20"/>
          <w:color w:val="auto"/>
        </w:rPr>
      </w:pPr>
    </w:p>
    <w:p>
      <w:pPr>
        <w:jc w:val="both"/>
        <w:ind w:right="20" w:firstLine="749"/>
        <w:spacing w:after="0" w:line="328" w:lineRule="auto"/>
        <w:rPr>
          <w:sz w:val="20"/>
          <w:szCs w:val="20"/>
          <w:color w:val="auto"/>
        </w:rPr>
      </w:pPr>
      <w:r>
        <w:rPr>
          <w:rFonts w:ascii="Arial" w:cs="Arial" w:eastAsia="Arial" w:hAnsi="Arial"/>
          <w:sz w:val="19"/>
          <w:szCs w:val="19"/>
          <w:color w:val="auto"/>
        </w:rPr>
        <w:t>The Borrower covenants and agrees with the Administrative Agent and the Lenders that until the Termination Date has occurred, the Borrower will, and will cause the Subsidiaries to, perform or cause to be performed the obligations set forth below.</w:t>
      </w:r>
    </w:p>
    <w:p>
      <w:pPr>
        <w:spacing w:after="0" w:line="10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1"/>
          <w:szCs w:val="21"/>
          <w:color w:val="auto"/>
        </w:rPr>
        <w:t xml:space="preserve">SECTION 7.1 </w:t>
      </w:r>
      <w:r>
        <w:rPr>
          <w:rFonts w:ascii="Arial" w:cs="Arial" w:eastAsia="Arial" w:hAnsi="Arial"/>
          <w:sz w:val="21"/>
          <w:szCs w:val="21"/>
          <w:u w:val="single" w:color="auto"/>
          <w:color w:val="auto"/>
        </w:rPr>
        <w:t>Financial Information, Reports, Notices, Etc</w:t>
      </w:r>
      <w:r>
        <w:rPr>
          <w:rFonts w:ascii="Arial" w:cs="Arial" w:eastAsia="Arial" w:hAnsi="Arial"/>
          <w:sz w:val="21"/>
          <w:szCs w:val="21"/>
          <w:color w:val="auto"/>
        </w:rPr>
        <w:t xml:space="preserve">. The Borrower will furnish the Administrative Agent for further delivery to the Lenders copies of the following, </w:t>
      </w:r>
      <w:r>
        <w:rPr>
          <w:rFonts w:ascii="Arial" w:cs="Arial" w:eastAsia="Arial" w:hAnsi="Arial"/>
          <w:sz w:val="21"/>
          <w:szCs w:val="21"/>
          <w:u w:val="single" w:color="auto"/>
          <w:color w:val="auto"/>
        </w:rPr>
        <w:t>provided</w:t>
      </w:r>
      <w:r>
        <w:rPr>
          <w:rFonts w:ascii="Arial" w:cs="Arial" w:eastAsia="Arial" w:hAnsi="Arial"/>
          <w:sz w:val="21"/>
          <w:szCs w:val="21"/>
          <w:color w:val="auto"/>
        </w:rPr>
        <w:t>, that as to any information contained in materials filed with the SEC, the Borrower shall not be separately required to furnish such information under Sections 7.1(b) and (c) so long as they have delivered a copy of the corresponding Form 10-Q or Form 10-K to the Administrative Agent:</w:t>
      </w:r>
    </w:p>
    <w:p>
      <w:pPr>
        <w:spacing w:after="0" w:line="171" w:lineRule="exact"/>
        <w:rPr>
          <w:sz w:val="20"/>
          <w:szCs w:val="20"/>
          <w:color w:val="auto"/>
        </w:rPr>
      </w:pPr>
    </w:p>
    <w:p>
      <w:pPr>
        <w:ind w:left="760" w:right="60" w:firstLine="745"/>
        <w:spacing w:after="0" w:line="250" w:lineRule="auto"/>
        <w:tabs>
          <w:tab w:leader="none" w:pos="1941" w:val="left"/>
        </w:tabs>
        <w:numPr>
          <w:ilvl w:val="0"/>
          <w:numId w:val="67"/>
        </w:numPr>
        <w:rPr>
          <w:rFonts w:ascii="Arial" w:cs="Arial" w:eastAsia="Arial" w:hAnsi="Arial"/>
          <w:sz w:val="22"/>
          <w:szCs w:val="22"/>
          <w:color w:val="auto"/>
        </w:rPr>
      </w:pPr>
      <w:r>
        <w:rPr>
          <w:rFonts w:ascii="Arial" w:cs="Arial" w:eastAsia="Arial" w:hAnsi="Arial"/>
          <w:sz w:val="22"/>
          <w:szCs w:val="22"/>
          <w:color w:val="auto"/>
        </w:rPr>
        <w:t>Concurrently with the delivery of financial statements pursuant to the following clauses (b) and (c), beginning with the Fiscal Quarter ended September 30, 2023,</w:t>
      </w:r>
    </w:p>
    <w:p>
      <w:pPr>
        <w:spacing w:after="0" w:line="174" w:lineRule="exact"/>
        <w:rPr>
          <w:rFonts w:ascii="Arial" w:cs="Arial" w:eastAsia="Arial" w:hAnsi="Arial"/>
          <w:sz w:val="22"/>
          <w:szCs w:val="22"/>
          <w:color w:val="auto"/>
        </w:rPr>
      </w:pPr>
    </w:p>
    <w:p>
      <w:pPr>
        <w:ind w:left="5520" w:hanging="130"/>
        <w:spacing w:after="0"/>
        <w:tabs>
          <w:tab w:leader="none" w:pos="5520" w:val="left"/>
        </w:tabs>
        <w:numPr>
          <w:ilvl w:val="1"/>
          <w:numId w:val="67"/>
        </w:numPr>
        <w:rPr>
          <w:rFonts w:ascii="Arial" w:cs="Arial" w:eastAsia="Arial" w:hAnsi="Arial"/>
          <w:sz w:val="22"/>
          <w:szCs w:val="22"/>
          <w:color w:val="auto"/>
        </w:rPr>
      </w:pPr>
      <w:r>
        <w:rPr>
          <w:rFonts w:ascii="Arial" w:cs="Arial" w:eastAsia="Arial" w:hAnsi="Arial"/>
          <w:sz w:val="22"/>
          <w:szCs w:val="22"/>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4" w:name="page85"/>
    <w:bookmarkEnd w:id="84"/>
    <w:p>
      <w:pPr>
        <w:jc w:val="both"/>
        <w:spacing w:after="0" w:line="246" w:lineRule="auto"/>
        <w:rPr>
          <w:sz w:val="20"/>
          <w:szCs w:val="20"/>
          <w:color w:val="auto"/>
        </w:rPr>
      </w:pPr>
      <w:r>
        <w:rPr>
          <w:rFonts w:ascii="Arial" w:cs="Arial" w:eastAsia="Arial" w:hAnsi="Arial"/>
          <w:sz w:val="21"/>
          <w:szCs w:val="21"/>
          <w:color w:val="auto"/>
        </w:rPr>
        <w:t>in each case with supporting detail and certified as complete and correct by the chief financial or accounting Authorized Officer of the Borrower (subject to normal year-end audit adjustments), unaudited reports of (A) the Product Revenue Base for such Fiscal Quarter, for the year-to-date portion of the applicable Fiscal Year and for the trailing 12-month period ended as of the last day of such Fiscal Quarter, and including in comparative form the figures for the corresponding Fiscal Quarter in, and the year-to-date portion of, and for the trailing 12-month period ended as of the last day of the corresponding Fiscal Quarter in, the immediately preceding Fiscal Year, (B) the Liquidity at the end of such Fiscal Quarter, and at the end of the corresponding Fiscal Quarter in the preceding Fiscal Year, and (C) the number of employees as of the last day of such Fiscal Quarter;</w:t>
      </w:r>
    </w:p>
    <w:p>
      <w:pPr>
        <w:spacing w:after="0" w:line="180" w:lineRule="exact"/>
        <w:rPr>
          <w:sz w:val="20"/>
          <w:szCs w:val="20"/>
          <w:color w:val="auto"/>
        </w:rPr>
      </w:pPr>
    </w:p>
    <w:p>
      <w:pPr>
        <w:jc w:val="both"/>
        <w:ind w:firstLine="745"/>
        <w:spacing w:after="0" w:line="275" w:lineRule="auto"/>
        <w:tabs>
          <w:tab w:leader="none" w:pos="1181" w:val="left"/>
        </w:tabs>
        <w:numPr>
          <w:ilvl w:val="0"/>
          <w:numId w:val="68"/>
        </w:numPr>
        <w:rPr>
          <w:rFonts w:ascii="Arial" w:cs="Arial" w:eastAsia="Arial" w:hAnsi="Arial"/>
          <w:sz w:val="19"/>
          <w:szCs w:val="19"/>
          <w:color w:val="auto"/>
        </w:rPr>
      </w:pPr>
      <w:r>
        <w:rPr>
          <w:rFonts w:ascii="Arial" w:cs="Arial" w:eastAsia="Arial" w:hAnsi="Arial"/>
          <w:sz w:val="19"/>
          <w:szCs w:val="19"/>
          <w:color w:val="auto"/>
        </w:rPr>
        <w:t>as soon as available and in any event within 45 days after the end of each Fiscal Quarter of each Fiscal Year (other than the last such Fiscal Quarter), beginning with the Fiscal Quarter ended September 30, 2023, an unaudited consolidated balance sheet of the Borrower and the Subsidiaries as of the end of such Fiscal Quarter and consolidated statements of operations, comprehensive loss, stockholders’ equity and cash flows of the Borrower and the Subsidiaries for such Fiscal Quarter and for the period commencing at the end of the previous Fiscal Year and ending with the end of such Fiscal Quarter, certified as complete and correct by the chief financial or accounting Authorized Officer of the Borrower (subject to normal year-end audit adjustments and the absence of footnotes, but not subject to any qualification or statement which is of a “going concern” or similar nature);</w:t>
      </w:r>
    </w:p>
    <w:p>
      <w:pPr>
        <w:spacing w:after="0" w:line="157" w:lineRule="exact"/>
        <w:rPr>
          <w:rFonts w:ascii="Arial" w:cs="Arial" w:eastAsia="Arial" w:hAnsi="Arial"/>
          <w:sz w:val="19"/>
          <w:szCs w:val="19"/>
          <w:color w:val="auto"/>
        </w:rPr>
      </w:pPr>
    </w:p>
    <w:p>
      <w:pPr>
        <w:jc w:val="both"/>
        <w:ind w:firstLine="745"/>
        <w:spacing w:after="0" w:line="234" w:lineRule="auto"/>
        <w:tabs>
          <w:tab w:leader="none" w:pos="1181" w:val="left"/>
        </w:tabs>
        <w:numPr>
          <w:ilvl w:val="0"/>
          <w:numId w:val="68"/>
        </w:numPr>
        <w:rPr>
          <w:rFonts w:ascii="Arial" w:cs="Arial" w:eastAsia="Arial" w:hAnsi="Arial"/>
          <w:sz w:val="22"/>
          <w:szCs w:val="22"/>
          <w:color w:val="auto"/>
        </w:rPr>
      </w:pPr>
      <w:r>
        <w:rPr>
          <w:rFonts w:ascii="Arial" w:cs="Arial" w:eastAsia="Arial" w:hAnsi="Arial"/>
          <w:sz w:val="22"/>
          <w:szCs w:val="22"/>
          <w:color w:val="auto"/>
        </w:rPr>
        <w:t>as soon as available and in any event within 90 days after the end of each Fiscal Year beginning with the Fiscal Year ending December 31, 2023, (i) a copy of the consolidated balance sheet of the Borrower and the Subsidiaries, and the related consolidated statements of operations, comprehensive loss, stockholders’ equity and cash flows of the Borrower and the Subsidiaries for such Fiscal Year, setting forth in comparative form the figures for the immediately preceding Fiscal Year, audited (without any Impermissible Qualification) by independent public accountants acceptable to the Lenders, which shall include a statement that, in performing the examination necessary to deliver the audited financial statements of the Borrower and the Subsidiaries, no knowledge was obtained of any Event of Default;</w:t>
      </w:r>
    </w:p>
    <w:p>
      <w:pPr>
        <w:spacing w:after="0" w:line="186" w:lineRule="exact"/>
        <w:rPr>
          <w:rFonts w:ascii="Arial" w:cs="Arial" w:eastAsia="Arial" w:hAnsi="Arial"/>
          <w:sz w:val="22"/>
          <w:szCs w:val="22"/>
          <w:color w:val="auto"/>
        </w:rPr>
      </w:pPr>
    </w:p>
    <w:p>
      <w:pPr>
        <w:jc w:val="both"/>
        <w:ind w:firstLine="745"/>
        <w:spacing w:after="0" w:line="274" w:lineRule="auto"/>
        <w:tabs>
          <w:tab w:leader="none" w:pos="1181"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concurrently with the delivery of the financial information pursuant to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 Compliance Certificate, executed by the chief financial or accounting Authorized Officer of the Borrower, (i) showing compliance with the financial covenant set forth in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and stating that no Default has occurred and is continuing (or, if a Default has occurred, specifying the details of such Default and the action that the Borrower or any of the Subsidiaries has taken or proposes to take with respect thereto), (ii) stating that no Subsidiary has been formed or acquired since the delivery of the last Compliance Certificate (or, if a Subsidiary has been formed or acquired since the delivery of the last Compliance Certificate, a statement that such Subsidiary has complied with </w:t>
      </w:r>
      <w:r>
        <w:rPr>
          <w:rFonts w:ascii="Arial" w:cs="Arial" w:eastAsia="Arial" w:hAnsi="Arial"/>
          <w:sz w:val="19"/>
          <w:szCs w:val="19"/>
          <w:u w:val="single" w:color="auto"/>
          <w:color w:val="auto"/>
        </w:rPr>
        <w:t>Section 7.8</w:t>
      </w:r>
      <w:r>
        <w:rPr>
          <w:rFonts w:ascii="Arial" w:cs="Arial" w:eastAsia="Arial" w:hAnsi="Arial"/>
          <w:sz w:val="19"/>
          <w:szCs w:val="19"/>
          <w:color w:val="auto"/>
        </w:rPr>
        <w:t>), and (iii) stating that no real property has been acquired by the Borrower or any of the Subsidiaries since the delivery of the last Compliance Certificate (or, if any real property has been acquired since the delivery of the last Compliance Certificate, a</w:t>
      </w:r>
    </w:p>
    <w:p>
      <w:pPr>
        <w:spacing w:after="0" w:line="158" w:lineRule="exact"/>
        <w:rPr>
          <w:rFonts w:ascii="Arial" w:cs="Arial" w:eastAsia="Arial" w:hAnsi="Arial"/>
          <w:sz w:val="19"/>
          <w:szCs w:val="19"/>
          <w:color w:val="auto"/>
        </w:rPr>
      </w:pPr>
    </w:p>
    <w:p>
      <w:pPr>
        <w:ind w:left="4760" w:hanging="130"/>
        <w:spacing w:after="0"/>
        <w:tabs>
          <w:tab w:leader="none" w:pos="4760" w:val="left"/>
        </w:tabs>
        <w:numPr>
          <w:ilvl w:val="1"/>
          <w:numId w:val="68"/>
        </w:numPr>
        <w:rPr>
          <w:rFonts w:ascii="Arial" w:cs="Arial" w:eastAsia="Arial" w:hAnsi="Arial"/>
          <w:sz w:val="22"/>
          <w:szCs w:val="22"/>
          <w:color w:val="auto"/>
        </w:rPr>
      </w:pPr>
      <w:r>
        <w:rPr>
          <w:rFonts w:ascii="Arial" w:cs="Arial" w:eastAsia="Arial" w:hAnsi="Arial"/>
          <w:sz w:val="22"/>
          <w:szCs w:val="22"/>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405765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1" w:right="339" w:bottom="1440" w:gutter="0" w:footer="0" w:header="0"/>
        </w:sectPr>
      </w:pPr>
    </w:p>
    <w:bookmarkStart w:id="85" w:name="page86"/>
    <w:bookmarkEnd w:id="85"/>
    <w:p>
      <w:pPr>
        <w:jc w:val="both"/>
        <w:ind w:left="3"/>
        <w:spacing w:after="0" w:line="236" w:lineRule="auto"/>
        <w:rPr>
          <w:sz w:val="20"/>
          <w:szCs w:val="20"/>
          <w:color w:val="auto"/>
        </w:rPr>
      </w:pPr>
      <w:r>
        <w:rPr>
          <w:rFonts w:ascii="Arial" w:cs="Arial" w:eastAsia="Arial" w:hAnsi="Arial"/>
          <w:sz w:val="22"/>
          <w:szCs w:val="22"/>
          <w:color w:val="auto"/>
        </w:rPr>
        <w:t xml:space="preserve">statement that the Borrower or such Subsidiary has complied with </w:t>
      </w:r>
      <w:r>
        <w:rPr>
          <w:rFonts w:ascii="Arial" w:cs="Arial" w:eastAsia="Arial" w:hAnsi="Arial"/>
          <w:sz w:val="22"/>
          <w:szCs w:val="22"/>
          <w:u w:val="single" w:color="auto"/>
          <w:color w:val="auto"/>
        </w:rPr>
        <w:t>Section 7.8</w:t>
      </w:r>
      <w:r>
        <w:rPr>
          <w:rFonts w:ascii="Arial" w:cs="Arial" w:eastAsia="Arial" w:hAnsi="Arial"/>
          <w:sz w:val="22"/>
          <w:szCs w:val="22"/>
          <w:color w:val="auto"/>
        </w:rPr>
        <w:t xml:space="preserve"> with respect to such real property) and (iv) stating that no rental payments on any leased real property of the Borrower and its Subsidiaries are more than 30 days past due (or if any rental payments are more than 30 days past due, specifying the payment amounts that are past due, the amount of days such payments are past due and the action that the Borrower or such Subsidiary has taken or proposes to take with respect thereto);</w:t>
      </w:r>
    </w:p>
    <w:p>
      <w:pPr>
        <w:spacing w:after="0" w:line="187" w:lineRule="exact"/>
        <w:rPr>
          <w:sz w:val="20"/>
          <w:szCs w:val="20"/>
          <w:color w:val="auto"/>
        </w:rPr>
      </w:pPr>
    </w:p>
    <w:p>
      <w:pPr>
        <w:jc w:val="both"/>
        <w:ind w:left="3" w:right="20" w:firstLine="745"/>
        <w:spacing w:after="0" w:line="257" w:lineRule="auto"/>
        <w:tabs>
          <w:tab w:leader="none" w:pos="1184" w:val="left"/>
        </w:tabs>
        <w:numPr>
          <w:ilvl w:val="1"/>
          <w:numId w:val="69"/>
        </w:numPr>
        <w:rPr>
          <w:rFonts w:ascii="Arial" w:cs="Arial" w:eastAsia="Arial" w:hAnsi="Arial"/>
          <w:sz w:val="21"/>
          <w:szCs w:val="21"/>
          <w:color w:val="auto"/>
        </w:rPr>
      </w:pPr>
      <w:r>
        <w:rPr>
          <w:rFonts w:ascii="Arial" w:cs="Arial" w:eastAsia="Arial" w:hAnsi="Arial"/>
          <w:sz w:val="21"/>
          <w:szCs w:val="21"/>
          <w:color w:val="auto"/>
        </w:rPr>
        <w:t>as soon as possible and in any event within three days after the Borrower obtains knowledge of the occurrence of a Default, a statement of an Authorized Officer of the Borrower setting forth details of such Default and the action which the Borrower or any of the Subsidiaries has taken or proposes to take with respect thereto;</w:t>
      </w:r>
    </w:p>
    <w:p>
      <w:pPr>
        <w:spacing w:after="0" w:line="169" w:lineRule="exact"/>
        <w:rPr>
          <w:rFonts w:ascii="Arial" w:cs="Arial" w:eastAsia="Arial" w:hAnsi="Arial"/>
          <w:sz w:val="21"/>
          <w:szCs w:val="21"/>
          <w:color w:val="auto"/>
        </w:rPr>
      </w:pPr>
    </w:p>
    <w:p>
      <w:pPr>
        <w:jc w:val="both"/>
        <w:ind w:left="3" w:firstLine="745"/>
        <w:spacing w:after="0" w:line="236" w:lineRule="auto"/>
        <w:tabs>
          <w:tab w:leader="none" w:pos="1184" w:val="left"/>
        </w:tabs>
        <w:numPr>
          <w:ilvl w:val="1"/>
          <w:numId w:val="69"/>
        </w:numPr>
        <w:rPr>
          <w:rFonts w:ascii="Arial" w:cs="Arial" w:eastAsia="Arial" w:hAnsi="Arial"/>
          <w:sz w:val="22"/>
          <w:szCs w:val="22"/>
          <w:color w:val="auto"/>
        </w:rPr>
      </w:pPr>
      <w:r>
        <w:rPr>
          <w:rFonts w:ascii="Arial" w:cs="Arial" w:eastAsia="Arial" w:hAnsi="Arial"/>
          <w:sz w:val="22"/>
          <w:szCs w:val="22"/>
          <w:color w:val="auto"/>
        </w:rPr>
        <w:t xml:space="preserve">as soon as possible and in any event within three days after the Borrower obtains knowledge of (i) the occurrence of any material adverse development with respect to any litigation, action, proceeding or labor controversy described in </w:t>
      </w:r>
      <w:r>
        <w:rPr>
          <w:rFonts w:ascii="Arial" w:cs="Arial" w:eastAsia="Arial" w:hAnsi="Arial"/>
          <w:sz w:val="22"/>
          <w:szCs w:val="22"/>
          <w:u w:val="single" w:color="auto"/>
          <w:color w:val="auto"/>
        </w:rPr>
        <w:t>Schedule 6.7(a)</w:t>
      </w:r>
      <w:r>
        <w:rPr>
          <w:rFonts w:ascii="Arial" w:cs="Arial" w:eastAsia="Arial" w:hAnsi="Arial"/>
          <w:sz w:val="22"/>
          <w:szCs w:val="22"/>
          <w:color w:val="auto"/>
        </w:rPr>
        <w:t xml:space="preserve"> or (ii) the commencement of any litigation, action, proceeding or labor controversy of the type and materiality described in </w:t>
      </w:r>
      <w:r>
        <w:rPr>
          <w:rFonts w:ascii="Arial" w:cs="Arial" w:eastAsia="Arial" w:hAnsi="Arial"/>
          <w:sz w:val="22"/>
          <w:szCs w:val="22"/>
          <w:u w:val="single" w:color="auto"/>
          <w:color w:val="auto"/>
        </w:rPr>
        <w:t>Section 6.7</w:t>
      </w:r>
      <w:r>
        <w:rPr>
          <w:rFonts w:ascii="Arial" w:cs="Arial" w:eastAsia="Arial" w:hAnsi="Arial"/>
          <w:sz w:val="22"/>
          <w:szCs w:val="22"/>
          <w:color w:val="auto"/>
        </w:rPr>
        <w:t>, notice thereof and, to the extent the Administrative Agent or any Lender requests, copies of all documentation relating thereto;</w:t>
      </w:r>
    </w:p>
    <w:p>
      <w:pPr>
        <w:spacing w:after="0" w:line="187" w:lineRule="exact"/>
        <w:rPr>
          <w:rFonts w:ascii="Arial" w:cs="Arial" w:eastAsia="Arial" w:hAnsi="Arial"/>
          <w:sz w:val="22"/>
          <w:szCs w:val="22"/>
          <w:color w:val="auto"/>
        </w:rPr>
      </w:pPr>
    </w:p>
    <w:p>
      <w:pPr>
        <w:ind w:left="3" w:firstLine="745"/>
        <w:spacing w:after="0" w:line="250" w:lineRule="auto"/>
        <w:tabs>
          <w:tab w:leader="none" w:pos="1184" w:val="left"/>
        </w:tabs>
        <w:numPr>
          <w:ilvl w:val="1"/>
          <w:numId w:val="69"/>
        </w:numPr>
        <w:rPr>
          <w:rFonts w:ascii="Arial" w:cs="Arial" w:eastAsia="Arial" w:hAnsi="Arial"/>
          <w:sz w:val="22"/>
          <w:szCs w:val="22"/>
          <w:color w:val="auto"/>
        </w:rPr>
      </w:pPr>
      <w:r>
        <w:rPr>
          <w:rFonts w:ascii="Arial" w:cs="Arial" w:eastAsia="Arial" w:hAnsi="Arial"/>
          <w:sz w:val="22"/>
          <w:szCs w:val="22"/>
          <w:color w:val="auto"/>
        </w:rPr>
        <w:t>as soon as possible and in any event within three days after the Borrower obtains knowledge of any return, recovery, dispute or claim related to Product or inventory that involves more than $250,000;</w:t>
      </w:r>
    </w:p>
    <w:p>
      <w:pPr>
        <w:spacing w:after="0" w:line="174" w:lineRule="exact"/>
        <w:rPr>
          <w:rFonts w:ascii="Arial" w:cs="Arial" w:eastAsia="Arial" w:hAnsi="Arial"/>
          <w:sz w:val="22"/>
          <w:szCs w:val="22"/>
          <w:color w:val="auto"/>
        </w:rPr>
      </w:pPr>
    </w:p>
    <w:p>
      <w:pPr>
        <w:jc w:val="both"/>
        <w:ind w:left="3" w:firstLine="745"/>
        <w:spacing w:after="0" w:line="236" w:lineRule="auto"/>
        <w:tabs>
          <w:tab w:leader="none" w:pos="1184" w:val="left"/>
        </w:tabs>
        <w:numPr>
          <w:ilvl w:val="1"/>
          <w:numId w:val="69"/>
        </w:numPr>
        <w:rPr>
          <w:rFonts w:ascii="Arial" w:cs="Arial" w:eastAsia="Arial" w:hAnsi="Arial"/>
          <w:sz w:val="22"/>
          <w:szCs w:val="22"/>
          <w:color w:val="auto"/>
        </w:rPr>
      </w:pPr>
      <w:r>
        <w:rPr>
          <w:rFonts w:ascii="Arial" w:cs="Arial" w:eastAsia="Arial" w:hAnsi="Arial"/>
          <w:sz w:val="22"/>
          <w:szCs w:val="22"/>
          <w:color w:val="auto"/>
        </w:rPr>
        <w:t>as soon as possible and in any event within three days after the Borrower obtains knowledge of (i) any claim that the Borrower, any of the Subsidiaries or one of their ERISA Affiliates has actual or potential liability under a Benefit Plan, (ii) any effort to unionize the employees of the Borrower or any Subsidiary, or (iii) non-routine correspondence with the Internal Revenue Service regarding the qualification of a retirement plan under Section 401(a) of the Code.</w:t>
      </w:r>
    </w:p>
    <w:p>
      <w:pPr>
        <w:spacing w:after="0" w:line="187" w:lineRule="exact"/>
        <w:rPr>
          <w:rFonts w:ascii="Arial" w:cs="Arial" w:eastAsia="Arial" w:hAnsi="Arial"/>
          <w:sz w:val="22"/>
          <w:szCs w:val="22"/>
          <w:color w:val="auto"/>
        </w:rPr>
      </w:pPr>
    </w:p>
    <w:p>
      <w:pPr>
        <w:jc w:val="both"/>
        <w:ind w:left="3" w:firstLine="745"/>
        <w:spacing w:after="0"/>
        <w:tabs>
          <w:tab w:leader="none" w:pos="1184" w:val="left"/>
        </w:tabs>
        <w:numPr>
          <w:ilvl w:val="1"/>
          <w:numId w:val="69"/>
        </w:numPr>
        <w:rPr>
          <w:rFonts w:ascii="Arial" w:cs="Arial" w:eastAsia="Arial" w:hAnsi="Arial"/>
          <w:sz w:val="22"/>
          <w:szCs w:val="22"/>
          <w:color w:val="auto"/>
        </w:rPr>
      </w:pPr>
      <w:r>
        <w:rPr>
          <w:rFonts w:ascii="Arial" w:cs="Arial" w:eastAsia="Arial" w:hAnsi="Arial"/>
          <w:sz w:val="22"/>
          <w:szCs w:val="22"/>
          <w:color w:val="auto"/>
        </w:rPr>
        <w:t>as soon as available and in any event within 30 days after the end of each calendar month, beginning with the month ending October 31, 2023, the Borrower-prepared dashboard, substantially in the form shared with the Administrative Agent prior to the Closing Date;</w:t>
      </w:r>
    </w:p>
    <w:p>
      <w:pPr>
        <w:spacing w:after="0" w:line="186" w:lineRule="exact"/>
        <w:rPr>
          <w:rFonts w:ascii="Arial" w:cs="Arial" w:eastAsia="Arial" w:hAnsi="Arial"/>
          <w:sz w:val="22"/>
          <w:szCs w:val="22"/>
          <w:color w:val="auto"/>
        </w:rPr>
      </w:pPr>
    </w:p>
    <w:p>
      <w:pPr>
        <w:jc w:val="both"/>
        <w:ind w:left="3" w:firstLine="745"/>
        <w:spacing w:after="0" w:line="273" w:lineRule="auto"/>
        <w:tabs>
          <w:tab w:leader="none" w:pos="1184"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promptly, and in any event within three days, after the sending or filing thereof, copies of all reports, notices, prospectuses and registration statements which the Borrower or any of the Subsidiaries files with the SEC or any national securities exchange;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condition shall be satisfied (other than filings on Form 10-K or Form 10-</w:t>
      </w:r>
    </w:p>
    <w:p>
      <w:pPr>
        <w:spacing w:after="0" w:line="1" w:lineRule="exact"/>
        <w:rPr>
          <w:rFonts w:ascii="Arial" w:cs="Arial" w:eastAsia="Arial" w:hAnsi="Arial"/>
          <w:sz w:val="19"/>
          <w:szCs w:val="19"/>
          <w:color w:val="auto"/>
        </w:rPr>
      </w:pPr>
    </w:p>
    <w:p>
      <w:pPr>
        <w:ind w:left="283" w:hanging="283"/>
        <w:spacing w:after="0"/>
        <w:tabs>
          <w:tab w:leader="none" w:pos="283" w:val="left"/>
        </w:tabs>
        <w:numPr>
          <w:ilvl w:val="0"/>
          <w:numId w:val="70"/>
        </w:numPr>
        <w:rPr>
          <w:rFonts w:ascii="Arial" w:cs="Arial" w:eastAsia="Arial" w:hAnsi="Arial"/>
          <w:sz w:val="22"/>
          <w:szCs w:val="22"/>
          <w:color w:val="auto"/>
        </w:rPr>
      </w:pPr>
      <w:r>
        <w:rPr>
          <w:rFonts w:ascii="Arial" w:cs="Arial" w:eastAsia="Arial" w:hAnsi="Arial"/>
          <w:sz w:val="22"/>
          <w:szCs w:val="22"/>
          <w:color w:val="auto"/>
        </w:rPr>
        <w:t>upon notice by the Borrower of such filing to the Administrative Agent;</w:t>
      </w:r>
    </w:p>
    <w:p>
      <w:pPr>
        <w:spacing w:after="0" w:line="188" w:lineRule="exact"/>
        <w:rPr>
          <w:rFonts w:ascii="Arial" w:cs="Arial" w:eastAsia="Arial" w:hAnsi="Arial"/>
          <w:sz w:val="22"/>
          <w:szCs w:val="22"/>
          <w:color w:val="auto"/>
        </w:rPr>
      </w:pPr>
    </w:p>
    <w:p>
      <w:pPr>
        <w:jc w:val="both"/>
        <w:ind w:left="3" w:firstLine="745"/>
        <w:spacing w:after="0" w:line="249" w:lineRule="auto"/>
        <w:tabs>
          <w:tab w:leader="none" w:pos="1184" w:val="left"/>
        </w:tabs>
        <w:numPr>
          <w:ilvl w:val="1"/>
          <w:numId w:val="70"/>
        </w:numPr>
        <w:rPr>
          <w:rFonts w:ascii="Arial" w:cs="Arial" w:eastAsia="Arial" w:hAnsi="Arial"/>
          <w:sz w:val="21"/>
          <w:szCs w:val="21"/>
          <w:color w:val="auto"/>
        </w:rPr>
      </w:pPr>
      <w:r>
        <w:rPr>
          <w:rFonts w:ascii="Arial" w:cs="Arial" w:eastAsia="Arial" w:hAnsi="Arial"/>
          <w:sz w:val="21"/>
          <w:szCs w:val="21"/>
          <w:color w:val="auto"/>
        </w:rPr>
        <w:t>as soon as practicable following a meeting of the board of directors of the Borrower or any committees thereof or following any action to be taken by written consent, any meeting agenda delivered to the board of directors of the Borrower or any committees thereof in connection therewith and an executive summary of the topics discussed at such meeting, including any material resolutions or actions adopted by written consent, and all approved minutes of any such meetings reasonably promptly following approval of such</w:t>
      </w:r>
    </w:p>
    <w:p>
      <w:pPr>
        <w:spacing w:after="0" w:line="178" w:lineRule="exact"/>
        <w:rPr>
          <w:rFonts w:ascii="Arial" w:cs="Arial" w:eastAsia="Arial" w:hAnsi="Arial"/>
          <w:sz w:val="21"/>
          <w:szCs w:val="21"/>
          <w:color w:val="auto"/>
        </w:rPr>
      </w:pPr>
    </w:p>
    <w:p>
      <w:pPr>
        <w:ind w:left="4763" w:hanging="130"/>
        <w:spacing w:after="0"/>
        <w:tabs>
          <w:tab w:leader="none" w:pos="4763" w:val="left"/>
        </w:tabs>
        <w:numPr>
          <w:ilvl w:val="2"/>
          <w:numId w:val="70"/>
        </w:numPr>
        <w:rPr>
          <w:rFonts w:ascii="Arial" w:cs="Arial" w:eastAsia="Arial" w:hAnsi="Arial"/>
          <w:sz w:val="22"/>
          <w:szCs w:val="22"/>
          <w:color w:val="auto"/>
        </w:rPr>
      </w:pPr>
      <w:r>
        <w:rPr>
          <w:rFonts w:ascii="Arial" w:cs="Arial" w:eastAsia="Arial" w:hAnsi="Arial"/>
          <w:sz w:val="22"/>
          <w:szCs w:val="22"/>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405765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61" w:right="339" w:bottom="1440" w:gutter="0" w:footer="0" w:header="0"/>
        </w:sectPr>
      </w:pPr>
    </w:p>
    <w:bookmarkStart w:id="86" w:name="page87"/>
    <w:bookmarkEnd w:id="86"/>
    <w:p>
      <w:pPr>
        <w:jc w:val="both"/>
        <w:ind w:left="3"/>
        <w:spacing w:after="0" w:line="275" w:lineRule="auto"/>
        <w:rPr>
          <w:sz w:val="20"/>
          <w:szCs w:val="20"/>
          <w:color w:val="auto"/>
        </w:rPr>
      </w:pPr>
      <w:r>
        <w:rPr>
          <w:rFonts w:ascii="Arial" w:cs="Arial" w:eastAsia="Arial" w:hAnsi="Arial"/>
          <w:sz w:val="19"/>
          <w:szCs w:val="19"/>
          <w:color w:val="auto"/>
        </w:rPr>
        <w:t xml:space="preserve">minutes by the board of directors or any committees thereof (it being understood that such approval shall occur shortly after the next regularly scheduled meeting of the board of directors or any committee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may withhold any such information and materials to the extent: (i) access thereto would adversely affect the attorney-client privilege between the Borrower and its counsel; or (ii) the Borrower’s board of directors, in the exercise of its fiduciary obligations and with the advice of counsel, determines that it is in the best interest of the Borrower to do so because any Lender or any of its Affiliates has an interest in the subject matter under discussion; in the event the Borrower withholds any such information or materials, the Borrower shall provide to the Administrative Agent and the Lenders a general description, which shall be true and correct in all material respects, of such withheld information;</w:t>
      </w:r>
    </w:p>
    <w:p>
      <w:pPr>
        <w:spacing w:after="0" w:line="157" w:lineRule="exact"/>
        <w:rPr>
          <w:sz w:val="20"/>
          <w:szCs w:val="20"/>
          <w:color w:val="auto"/>
        </w:rPr>
      </w:pPr>
    </w:p>
    <w:p>
      <w:pPr>
        <w:jc w:val="both"/>
        <w:ind w:left="3" w:firstLine="745"/>
        <w:spacing w:after="0" w:line="257" w:lineRule="auto"/>
        <w:tabs>
          <w:tab w:leader="none" w:pos="1184" w:val="left"/>
        </w:tabs>
        <w:numPr>
          <w:ilvl w:val="1"/>
          <w:numId w:val="71"/>
        </w:numPr>
        <w:rPr>
          <w:rFonts w:ascii="Arial" w:cs="Arial" w:eastAsia="Arial" w:hAnsi="Arial"/>
          <w:sz w:val="21"/>
          <w:szCs w:val="21"/>
          <w:color w:val="auto"/>
        </w:rPr>
      </w:pPr>
      <w:r>
        <w:rPr>
          <w:rFonts w:ascii="Arial" w:cs="Arial" w:eastAsia="Arial" w:hAnsi="Arial"/>
          <w:sz w:val="21"/>
          <w:szCs w:val="21"/>
          <w:color w:val="auto"/>
        </w:rPr>
        <w:t xml:space="preserve">promptly upon, and in any event within three days of, receipt thereof, copies of all “management letters” (or equivalent) submitted to the Borrower or any of the Subsidiaries by the independent public accountants referred to in </w:t>
      </w:r>
      <w:r>
        <w:rPr>
          <w:rFonts w:ascii="Arial" w:cs="Arial" w:eastAsia="Arial" w:hAnsi="Arial"/>
          <w:sz w:val="21"/>
          <w:szCs w:val="21"/>
          <w:u w:val="single" w:color="auto"/>
          <w:color w:val="auto"/>
        </w:rPr>
        <w:t>clause (c)</w:t>
      </w:r>
      <w:r>
        <w:rPr>
          <w:rFonts w:ascii="Arial" w:cs="Arial" w:eastAsia="Arial" w:hAnsi="Arial"/>
          <w:sz w:val="21"/>
          <w:szCs w:val="21"/>
          <w:color w:val="auto"/>
        </w:rPr>
        <w:t xml:space="preserve"> in connection with each audit made by such accountants;</w:t>
      </w:r>
    </w:p>
    <w:p>
      <w:pPr>
        <w:spacing w:after="0" w:line="169" w:lineRule="exact"/>
        <w:rPr>
          <w:rFonts w:ascii="Arial" w:cs="Arial" w:eastAsia="Arial" w:hAnsi="Arial"/>
          <w:sz w:val="21"/>
          <w:szCs w:val="21"/>
          <w:color w:val="auto"/>
        </w:rPr>
      </w:pPr>
    </w:p>
    <w:p>
      <w:pPr>
        <w:jc w:val="both"/>
        <w:ind w:left="3" w:firstLine="745"/>
        <w:spacing w:after="0" w:line="273" w:lineRule="auto"/>
        <w:tabs>
          <w:tab w:leader="none" w:pos="1184" w:val="left"/>
        </w:tabs>
        <w:numPr>
          <w:ilvl w:val="1"/>
          <w:numId w:val="71"/>
        </w:numPr>
        <w:rPr>
          <w:rFonts w:ascii="Arial" w:cs="Arial" w:eastAsia="Arial" w:hAnsi="Arial"/>
          <w:sz w:val="19"/>
          <w:szCs w:val="19"/>
          <w:color w:val="auto"/>
        </w:rPr>
      </w:pPr>
      <w:r>
        <w:rPr>
          <w:rFonts w:ascii="Arial" w:cs="Arial" w:eastAsia="Arial" w:hAnsi="Arial"/>
          <w:sz w:val="19"/>
          <w:szCs w:val="19"/>
          <w:color w:val="auto"/>
        </w:rPr>
        <w:t>(i) within 45 days after the end of each Fiscal Quarter, a report listing (A) all Material Agreements entered into by the Borrower or any Subsidiary during such Fiscal Quarter, (B) all agreements or contracts of the Borrower or any Subsidiary which have become Key Contracts under clause (ii) of the definition thereof in such Fiscal Quarter, and</w:t>
      </w:r>
    </w:p>
    <w:p>
      <w:pPr>
        <w:spacing w:after="0" w:line="1" w:lineRule="exact"/>
        <w:rPr>
          <w:rFonts w:ascii="Arial" w:cs="Arial" w:eastAsia="Arial" w:hAnsi="Arial"/>
          <w:sz w:val="19"/>
          <w:szCs w:val="19"/>
          <w:color w:val="auto"/>
        </w:rPr>
      </w:pPr>
    </w:p>
    <w:p>
      <w:pPr>
        <w:jc w:val="both"/>
        <w:ind w:left="3" w:right="20" w:hanging="3"/>
        <w:spacing w:after="0" w:line="234" w:lineRule="auto"/>
        <w:tabs>
          <w:tab w:leader="none" w:pos="376" w:val="left"/>
        </w:tabs>
        <w:numPr>
          <w:ilvl w:val="0"/>
          <w:numId w:val="72"/>
        </w:numPr>
        <w:rPr>
          <w:rFonts w:ascii="Arial" w:cs="Arial" w:eastAsia="Arial" w:hAnsi="Arial"/>
          <w:sz w:val="22"/>
          <w:szCs w:val="22"/>
          <w:color w:val="auto"/>
        </w:rPr>
      </w:pPr>
      <w:r>
        <w:rPr>
          <w:rFonts w:ascii="Arial" w:cs="Arial" w:eastAsia="Arial" w:hAnsi="Arial"/>
          <w:sz w:val="22"/>
          <w:szCs w:val="22"/>
          <w:color w:val="auto"/>
        </w:rPr>
        <w:t>all existing Material Agreements amended or terminated during such Fiscal Quarter; and (ii) promptly, after the Administrative Agent or any Lender so requests, copies of any such new Material Agreement or amendment to a Material Agreement;</w:t>
      </w:r>
    </w:p>
    <w:p>
      <w:pPr>
        <w:spacing w:after="0" w:line="187" w:lineRule="exact"/>
        <w:rPr>
          <w:rFonts w:ascii="Arial" w:cs="Arial" w:eastAsia="Arial" w:hAnsi="Arial"/>
          <w:sz w:val="22"/>
          <w:szCs w:val="22"/>
          <w:color w:val="auto"/>
        </w:rPr>
      </w:pPr>
    </w:p>
    <w:p>
      <w:pPr>
        <w:jc w:val="both"/>
        <w:ind w:left="3" w:firstLine="745"/>
        <w:spacing w:after="0" w:line="238" w:lineRule="auto"/>
        <w:tabs>
          <w:tab w:leader="none" w:pos="1184" w:val="left"/>
        </w:tabs>
        <w:numPr>
          <w:ilvl w:val="1"/>
          <w:numId w:val="72"/>
        </w:numPr>
        <w:rPr>
          <w:rFonts w:ascii="Arial" w:cs="Arial" w:eastAsia="Arial" w:hAnsi="Arial"/>
          <w:sz w:val="22"/>
          <w:szCs w:val="22"/>
          <w:color w:val="auto"/>
        </w:rPr>
      </w:pPr>
      <w:r>
        <w:rPr>
          <w:rFonts w:ascii="Arial" w:cs="Arial" w:eastAsia="Arial" w:hAnsi="Arial"/>
          <w:sz w:val="22"/>
          <w:szCs w:val="22"/>
          <w:color w:val="auto"/>
        </w:rPr>
        <w:t>as soon as possible and in any event within three days after receipt by, or delivery by, the Borrower or any of the Subsidiaries, as the case may be, copies of any material written notice or material written correspondence relating to, or involving, any Key Contract, including any termination notice or notice alleging breach or default under any Key Contract by any party thereto;</w:t>
      </w:r>
    </w:p>
    <w:p>
      <w:pPr>
        <w:spacing w:after="0" w:line="184" w:lineRule="exact"/>
        <w:rPr>
          <w:rFonts w:ascii="Arial" w:cs="Arial" w:eastAsia="Arial" w:hAnsi="Arial"/>
          <w:sz w:val="22"/>
          <w:szCs w:val="22"/>
          <w:color w:val="auto"/>
        </w:rPr>
      </w:pPr>
    </w:p>
    <w:p>
      <w:pPr>
        <w:jc w:val="both"/>
        <w:ind w:left="3" w:firstLine="745"/>
        <w:spacing w:after="0"/>
        <w:tabs>
          <w:tab w:leader="none" w:pos="1184" w:val="left"/>
        </w:tabs>
        <w:numPr>
          <w:ilvl w:val="1"/>
          <w:numId w:val="72"/>
        </w:numPr>
        <w:rPr>
          <w:rFonts w:ascii="Arial" w:cs="Arial" w:eastAsia="Arial" w:hAnsi="Arial"/>
          <w:sz w:val="22"/>
          <w:szCs w:val="22"/>
          <w:color w:val="auto"/>
        </w:rPr>
      </w:pPr>
      <w:r>
        <w:rPr>
          <w:rFonts w:ascii="Arial" w:cs="Arial" w:eastAsia="Arial" w:hAnsi="Arial"/>
          <w:sz w:val="22"/>
          <w:szCs w:val="22"/>
          <w:color w:val="auto"/>
        </w:rPr>
        <w:t>as soon as available, but in any event not later than January 31 of each calendar year, the Borrower’s consolidated financial and business projections and budget for such year, with evidence of approval thereof by the Borrower’s board of directors; and</w:t>
      </w:r>
    </w:p>
    <w:p>
      <w:pPr>
        <w:spacing w:after="0" w:line="186" w:lineRule="exact"/>
        <w:rPr>
          <w:rFonts w:ascii="Arial" w:cs="Arial" w:eastAsia="Arial" w:hAnsi="Arial"/>
          <w:sz w:val="22"/>
          <w:szCs w:val="22"/>
          <w:color w:val="auto"/>
        </w:rPr>
      </w:pPr>
    </w:p>
    <w:p>
      <w:pPr>
        <w:jc w:val="both"/>
        <w:ind w:left="3" w:firstLine="745"/>
        <w:spacing w:after="0" w:line="297" w:lineRule="auto"/>
        <w:tabs>
          <w:tab w:leader="none" w:pos="1184" w:val="left"/>
        </w:tabs>
        <w:numPr>
          <w:ilvl w:val="1"/>
          <w:numId w:val="72"/>
        </w:numPr>
        <w:rPr>
          <w:rFonts w:ascii="Arial" w:cs="Arial" w:eastAsia="Arial" w:hAnsi="Arial"/>
          <w:sz w:val="19"/>
          <w:szCs w:val="19"/>
          <w:color w:val="auto"/>
        </w:rPr>
      </w:pPr>
      <w:r>
        <w:rPr>
          <w:rFonts w:ascii="Arial" w:cs="Arial" w:eastAsia="Arial" w:hAnsi="Arial"/>
          <w:sz w:val="19"/>
          <w:szCs w:val="19"/>
          <w:color w:val="auto"/>
        </w:rPr>
        <w:t>such other financial and other information as the Administrative Agent or any Lender may from time to time reasonably request (including information and reports in such detail as the Administrative Agent or such Lender may request with respect to the terms of and information provided pursuant to the Compliance Certificate).</w:t>
      </w:r>
    </w:p>
    <w:p>
      <w:pPr>
        <w:spacing w:after="0" w:line="134" w:lineRule="exact"/>
        <w:rPr>
          <w:sz w:val="20"/>
          <w:szCs w:val="20"/>
          <w:color w:val="auto"/>
        </w:rPr>
      </w:pPr>
    </w:p>
    <w:p>
      <w:pPr>
        <w:jc w:val="both"/>
        <w:ind w:left="3"/>
        <w:spacing w:after="0" w:line="233" w:lineRule="auto"/>
        <w:rPr>
          <w:sz w:val="20"/>
          <w:szCs w:val="20"/>
          <w:color w:val="auto"/>
        </w:rPr>
      </w:pPr>
      <w:r>
        <w:rPr>
          <w:rFonts w:ascii="Arial" w:cs="Arial" w:eastAsia="Arial" w:hAnsi="Arial"/>
          <w:sz w:val="22"/>
          <w:szCs w:val="22"/>
          <w:color w:val="auto"/>
        </w:rPr>
        <w:t>Notwithstanding anything to the contrary (including herein or in any Investment Document), at any time following the Closing Date, the Administrative Agent or any Lender may, by providing written notice to the Borrower, instruct the Borrower that, if any notice, report or other information required to be furnished pursuant to this Agreement contains material non-public information with respect to the Borrower or its Affiliates, or the respective securities of any of the foregoing (“</w:t>
      </w:r>
      <w:r>
        <w:rPr>
          <w:rFonts w:ascii="Arial" w:cs="Arial" w:eastAsia="Arial" w:hAnsi="Arial"/>
          <w:sz w:val="22"/>
          <w:szCs w:val="22"/>
          <w:u w:val="single" w:color="auto"/>
          <w:color w:val="auto"/>
        </w:rPr>
        <w:t>MNPI</w:t>
      </w:r>
      <w:r>
        <w:rPr>
          <w:rFonts w:ascii="Arial" w:cs="Arial" w:eastAsia="Arial" w:hAnsi="Arial"/>
          <w:sz w:val="22"/>
          <w:szCs w:val="22"/>
          <w:color w:val="auto"/>
        </w:rPr>
        <w:t>”), and the Administrative Agent</w:t>
      </w:r>
    </w:p>
    <w:p>
      <w:pPr>
        <w:spacing w:after="0" w:line="5" w:lineRule="exact"/>
        <w:rPr>
          <w:sz w:val="20"/>
          <w:szCs w:val="20"/>
          <w:color w:val="auto"/>
        </w:rPr>
      </w:pPr>
    </w:p>
    <w:p>
      <w:pPr>
        <w:ind w:left="4643"/>
        <w:spacing w:after="0"/>
        <w:rPr>
          <w:sz w:val="20"/>
          <w:szCs w:val="20"/>
          <w:color w:val="auto"/>
        </w:rPr>
      </w:pPr>
      <w:r>
        <w:rPr>
          <w:rFonts w:ascii="Arial" w:cs="Arial" w:eastAsia="Arial" w:hAnsi="Arial"/>
          <w:sz w:val="22"/>
          <w:szCs w:val="22"/>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394335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61" w:right="339" w:bottom="1440" w:gutter="0" w:footer="0" w:header="0"/>
        </w:sectPr>
      </w:pPr>
    </w:p>
    <w:bookmarkStart w:id="87" w:name="page88"/>
    <w:bookmarkEnd w:id="87"/>
    <w:p>
      <w:pPr>
        <w:jc w:val="both"/>
        <w:ind w:left="760"/>
        <w:spacing w:after="0" w:line="271" w:lineRule="auto"/>
        <w:rPr>
          <w:sz w:val="20"/>
          <w:szCs w:val="20"/>
          <w:color w:val="auto"/>
        </w:rPr>
      </w:pPr>
      <w:r>
        <w:rPr>
          <w:rFonts w:ascii="Arial" w:cs="Arial" w:eastAsia="Arial" w:hAnsi="Arial"/>
          <w:sz w:val="19"/>
          <w:szCs w:val="19"/>
          <w:color w:val="auto"/>
        </w:rPr>
        <w:t>or such Lender or its personnel may be engaged in investment and other market-related activities with respect to such Person’s securities, the Borrower shall notify the Administrative Agent (or such other Person as specified by the Administrative Agent in writing from time to time) that the Borrower desires to deliver to the Administrative Agent and the Lenders MNPI (any such notice, an “</w:t>
      </w:r>
      <w:r>
        <w:rPr>
          <w:rFonts w:ascii="Arial" w:cs="Arial" w:eastAsia="Arial" w:hAnsi="Arial"/>
          <w:sz w:val="19"/>
          <w:szCs w:val="19"/>
          <w:u w:val="single" w:color="auto"/>
          <w:color w:val="auto"/>
        </w:rPr>
        <w:t>MNPI Notice</w:t>
      </w:r>
      <w:r>
        <w:rPr>
          <w:rFonts w:ascii="Arial" w:cs="Arial" w:eastAsia="Arial" w:hAnsi="Arial"/>
          <w:sz w:val="19"/>
          <w:szCs w:val="19"/>
          <w:color w:val="auto"/>
        </w:rPr>
        <w:t xml:space="preserve">”) (the Borrower may exclude any information it deems necessary to ensure compliance with applicable securities laws). Within five (5) Business Days of receipt of such notification, the Administrative Agent or a Lender may either (i) refuse the delivery of such MNPI, in which case the Borrower’s obligations under this Agreement, including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with respect to such MNPI shall be deemed satisfied as to the Administrative Agent or such Lender, as applicable, or (ii) direct the delivery of such MNPI to the Administrative Agent or such Lender pursuant to procedures acceptable to the Administrative Agent or such Lender (which may be designed to comply with the internal procedures of the Administrative Agent or such Lender regarding the use of material non-public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or such Lender shall be deemed to have elected the option under clause (i) of this sentence if the option under clause (ii) of this sentence is not elected within such five (5) Business Day period. If the Administrative Agent or such Lender elects the option under clause (ii) of the preceding sentence, the Borrower shall promptly deliver to the Administrative Agent or such Lender the information subject to such MNPI Notice.</w:t>
      </w:r>
    </w:p>
    <w:p>
      <w:pPr>
        <w:spacing w:after="0" w:line="200" w:lineRule="exact"/>
        <w:rPr>
          <w:sz w:val="20"/>
          <w:szCs w:val="20"/>
          <w:color w:val="auto"/>
        </w:rPr>
      </w:pPr>
    </w:p>
    <w:p>
      <w:pPr>
        <w:spacing w:after="0" w:line="23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 xml:space="preserve">SECTION 7.2 </w:t>
      </w:r>
      <w:r>
        <w:rPr>
          <w:rFonts w:ascii="Arial" w:cs="Arial" w:eastAsia="Arial" w:hAnsi="Arial"/>
          <w:sz w:val="21"/>
          <w:szCs w:val="21"/>
          <w:u w:val="single" w:color="auto"/>
          <w:color w:val="auto"/>
        </w:rPr>
        <w:t>Maintenance of Existence; Compliance with Contracts, Laws, Etc</w:t>
      </w:r>
      <w:r>
        <w:rPr>
          <w:rFonts w:ascii="Arial" w:cs="Arial" w:eastAsia="Arial" w:hAnsi="Arial"/>
          <w:sz w:val="21"/>
          <w:szCs w:val="21"/>
          <w:color w:val="auto"/>
        </w:rPr>
        <w:t xml:space="preserve">. The Borrower and each Subsidiary will preserve and maintain its legal existence (except as otherwise permitted by </w:t>
      </w:r>
      <w:r>
        <w:rPr>
          <w:rFonts w:ascii="Arial" w:cs="Arial" w:eastAsia="Arial" w:hAnsi="Arial"/>
          <w:sz w:val="21"/>
          <w:szCs w:val="21"/>
          <w:u w:val="single" w:color="auto"/>
          <w:color w:val="auto"/>
        </w:rPr>
        <w:t>Section 8.7</w:t>
      </w:r>
      <w:r>
        <w:rPr>
          <w:rFonts w:ascii="Arial" w:cs="Arial" w:eastAsia="Arial" w:hAnsi="Arial"/>
          <w:sz w:val="21"/>
          <w:szCs w:val="21"/>
          <w:color w:val="auto"/>
        </w:rPr>
        <w:t>), perform in all material respects its obligations under Material Agreements to which the Borrower or any of the Subsidiaries is a party, and comply in all material respects with all applicable Laws, rules, regulations and orders, including the payment (before the same become delinquent) of all Taxes, imposed upon the Borrower or any of the Subsidiaries or upon their property except to the extent being diligently contested in good faith by appropriate proceedings and for which adequate reserves in accordance with GAAP have been set aside on the books of the Borrower or any of the Subsidiaries, as applicable.</w:t>
      </w:r>
    </w:p>
    <w:p>
      <w:pPr>
        <w:spacing w:after="0" w:line="184"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u w:val="single" w:color="auto"/>
          <w:color w:val="auto"/>
        </w:rPr>
        <w:t>Maintenance of Properties.</w:t>
      </w:r>
      <w:r>
        <w:rPr>
          <w:rFonts w:ascii="Arial" w:cs="Arial" w:eastAsia="Arial" w:hAnsi="Arial"/>
          <w:sz w:val="19"/>
          <w:szCs w:val="19"/>
          <w:color w:val="auto"/>
        </w:rPr>
        <w:t xml:space="preserve"> The Borrower and each Subsidiary will maintain, preserve, protect and keep its and their respective properties in good repair, working order and condition (ordinary wear and tear excepted), and make necessary repairs, renewals and replacements so that the business carried on by the Borrower or any of the Subsidiaries may be properly conducted at all times, unless the Borrower or any of the Subsidiaries determines in good faith that the continued maintenance of such property is no longer economically desirable, necessary or useful to the business of the Borrower or any of the Subsidiaries or the Disposition of such property is otherwise permitted by </w:t>
      </w:r>
      <w:r>
        <w:rPr>
          <w:rFonts w:ascii="Arial" w:cs="Arial" w:eastAsia="Arial" w:hAnsi="Arial"/>
          <w:sz w:val="19"/>
          <w:szCs w:val="19"/>
          <w:u w:val="single" w:color="auto"/>
          <w:color w:val="auto"/>
        </w:rPr>
        <w:t>Section 8.7</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8.8</w:t>
      </w:r>
      <w:r>
        <w:rPr>
          <w:rFonts w:ascii="Arial" w:cs="Arial" w:eastAsia="Arial" w:hAnsi="Arial"/>
          <w:sz w:val="19"/>
          <w:szCs w:val="19"/>
          <w:color w:val="auto"/>
        </w:rPr>
        <w:t>.</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u w:val="single" w:color="auto"/>
          <w:color w:val="auto"/>
        </w:rPr>
        <w:t>Insurance</w:t>
      </w:r>
      <w:r>
        <w:rPr>
          <w:rFonts w:ascii="Arial" w:cs="Arial" w:eastAsia="Arial" w:hAnsi="Arial"/>
          <w:sz w:val="22"/>
          <w:szCs w:val="22"/>
          <w:color w:val="auto"/>
        </w:rPr>
        <w:t>. Each of the Borrower and each Subsidiary will maintain:</w:t>
      </w:r>
    </w:p>
    <w:p>
      <w:pPr>
        <w:spacing w:after="0" w:line="206" w:lineRule="exact"/>
        <w:rPr>
          <w:sz w:val="20"/>
          <w:szCs w:val="20"/>
          <w:color w:val="auto"/>
        </w:rPr>
      </w:pPr>
    </w:p>
    <w:p>
      <w:pPr>
        <w:jc w:val="both"/>
        <w:ind w:left="760" w:firstLine="745"/>
        <w:spacing w:after="0" w:line="252" w:lineRule="auto"/>
        <w:tabs>
          <w:tab w:leader="none" w:pos="1941" w:val="left"/>
        </w:tabs>
        <w:numPr>
          <w:ilvl w:val="0"/>
          <w:numId w:val="73"/>
        </w:numPr>
        <w:rPr>
          <w:rFonts w:ascii="Arial" w:cs="Arial" w:eastAsia="Arial" w:hAnsi="Arial"/>
          <w:sz w:val="21"/>
          <w:szCs w:val="21"/>
          <w:color w:val="auto"/>
        </w:rPr>
      </w:pPr>
      <w:r>
        <w:rPr>
          <w:rFonts w:ascii="Arial" w:cs="Arial" w:eastAsia="Arial" w:hAnsi="Arial"/>
          <w:sz w:val="21"/>
          <w:szCs w:val="21"/>
          <w:color w:val="auto"/>
        </w:rPr>
        <w:t>insurance on its property with financially sound and reputable insurance companies against business interruption, loss and damage in at least the amounts (and with only those deductibles) customarily maintained, and against such risks as are typically insured against in the same general area, by Persons of comparable size engaged in the same or similar business as the Borrower and the Subsidiaries; and</w:t>
      </w:r>
    </w:p>
    <w:p>
      <w:pPr>
        <w:spacing w:after="0" w:line="173" w:lineRule="exact"/>
        <w:rPr>
          <w:rFonts w:ascii="Arial" w:cs="Arial" w:eastAsia="Arial" w:hAnsi="Arial"/>
          <w:sz w:val="21"/>
          <w:szCs w:val="21"/>
          <w:color w:val="auto"/>
        </w:rPr>
      </w:pPr>
    </w:p>
    <w:p>
      <w:pPr>
        <w:ind w:left="5520" w:hanging="130"/>
        <w:spacing w:after="0"/>
        <w:tabs>
          <w:tab w:leader="none" w:pos="5520" w:val="left"/>
        </w:tabs>
        <w:numPr>
          <w:ilvl w:val="1"/>
          <w:numId w:val="73"/>
        </w:numPr>
        <w:rPr>
          <w:rFonts w:ascii="Arial" w:cs="Arial" w:eastAsia="Arial" w:hAnsi="Arial"/>
          <w:sz w:val="22"/>
          <w:szCs w:val="22"/>
          <w:color w:val="auto"/>
        </w:rPr>
      </w:pPr>
      <w:r>
        <w:rPr>
          <w:rFonts w:ascii="Arial" w:cs="Arial" w:eastAsia="Arial" w:hAnsi="Arial"/>
          <w:sz w:val="22"/>
          <w:szCs w:val="22"/>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8" w:name="page89"/>
    <w:bookmarkEnd w:id="88"/>
    <w:p>
      <w:pPr>
        <w:ind w:left="760" w:firstLine="745"/>
        <w:spacing w:after="0" w:line="250" w:lineRule="auto"/>
        <w:tabs>
          <w:tab w:leader="none" w:pos="1941" w:val="left"/>
        </w:tabs>
        <w:numPr>
          <w:ilvl w:val="0"/>
          <w:numId w:val="74"/>
        </w:numPr>
        <w:rPr>
          <w:rFonts w:ascii="Arial" w:cs="Arial" w:eastAsia="Arial" w:hAnsi="Arial"/>
          <w:sz w:val="22"/>
          <w:szCs w:val="22"/>
          <w:color w:val="auto"/>
        </w:rPr>
      </w:pPr>
      <w:r>
        <w:rPr>
          <w:rFonts w:ascii="Arial" w:cs="Arial" w:eastAsia="Arial" w:hAnsi="Arial"/>
          <w:sz w:val="22"/>
          <w:szCs w:val="22"/>
          <w:color w:val="auto"/>
        </w:rPr>
        <w:t>all worker’s compensation, employer’s liability insurance or similar insurance as may be required under the laws of any state or jurisdiction in which it may be engaged in business.</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Without limiting the foregoing, all insurance policies required pursuant to this Section shall (i) name the Administrative Agent as mortgagee and lender loss payee (in the case of property/casualty insurance and business interruption insurance) and additional insured (in the case of liability insurance), as applicable, and provide that no cancellation or modification as to the amount or scope of coverage of the policies will be made without providing at least 30 days prior written notice thereof to the Administrative Agent and (ii) be in addition to any requirements to maintain specific types of insurance contained in the other Loan Documents.</w:t>
      </w:r>
    </w:p>
    <w:p>
      <w:pPr>
        <w:spacing w:after="0" w:line="18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 xml:space="preserve">SECTION 7.5 </w:t>
      </w:r>
      <w:r>
        <w:rPr>
          <w:rFonts w:ascii="Arial" w:cs="Arial" w:eastAsia="Arial" w:hAnsi="Arial"/>
          <w:sz w:val="21"/>
          <w:szCs w:val="21"/>
          <w:u w:val="single" w:color="auto"/>
          <w:color w:val="auto"/>
        </w:rPr>
        <w:t>Books and Records</w:t>
      </w:r>
      <w:r>
        <w:rPr>
          <w:rFonts w:ascii="Arial" w:cs="Arial" w:eastAsia="Arial" w:hAnsi="Arial"/>
          <w:sz w:val="21"/>
          <w:szCs w:val="21"/>
          <w:color w:val="auto"/>
        </w:rPr>
        <w:t>. The Borrower and each of the Subsidiaries will keep books and records in accordance with GAAP which accurately reflect all of its business affairs and transactions and permit the Administrative Agent, any Lender or any of its representatives, at reasonable times and intervals upon reasonable notice to the Borrower, to visit the Borrower’s or any of the Subsidiaries’ offices, to discuss the Borrower’s or any of the Subsidiaries’ financial or other matters with its officers and employees, and its independent public accountants (and the Borrower hereby authorizes such independent public accountant to discuss the Borrower’s and any of the Subsidiaries’ financial and other matters with the Administrative Agent, any Lender or their respective representatives whether or not any representative of the Borrower or any of the Subsidiaries is present) and to examine (and photocopy extracts from) any of its books and records. The Borrower shall pay any fees of its and the Subsidiaries’ independent public accountant incurred in connection with the Administrative Agent’s or any Lender’s exercise of its rights pursuant to this Section.</w:t>
      </w:r>
    </w:p>
    <w:p>
      <w:pPr>
        <w:spacing w:after="0" w:line="181"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 xml:space="preserve">SECTION 7.6 </w:t>
      </w:r>
      <w:r>
        <w:rPr>
          <w:rFonts w:ascii="Arial" w:cs="Arial" w:eastAsia="Arial" w:hAnsi="Arial"/>
          <w:sz w:val="19"/>
          <w:szCs w:val="19"/>
          <w:u w:val="single" w:color="auto"/>
          <w:color w:val="auto"/>
        </w:rPr>
        <w:t>Environmental Law Covenant</w:t>
      </w:r>
      <w:r>
        <w:rPr>
          <w:rFonts w:ascii="Arial" w:cs="Arial" w:eastAsia="Arial" w:hAnsi="Arial"/>
          <w:sz w:val="19"/>
          <w:szCs w:val="19"/>
          <w:color w:val="auto"/>
        </w:rPr>
        <w:t>. Each of the Borrower and each Subsidiary will (i) use and operate all of its and their businesses, facilities and properties in material compliance with all Environmental Laws, and keep and maintain all Environmental Permits and remain in compliance therewith, and (ii) promptly notify the Administrative Agent of, and provide the Administrative Agent with copies of all material claims, complaints, notices or inquiries relating to, any actual or alleged non-compliance with any Environmental Laws or Environmental Permits or any actual or alleged Environmental Liabilities. The Borrower and each of the Subsidiaries will promptly resolve, remedy and mitigate any such non-compliance or Environmental Liabilities, and shall keep the Administrative Agent informed as to the progress of same.</w:t>
      </w:r>
    </w:p>
    <w:p>
      <w:pPr>
        <w:spacing w:after="0" w:line="15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7.7 </w:t>
      </w:r>
      <w:r>
        <w:rPr>
          <w:rFonts w:ascii="Arial" w:cs="Arial" w:eastAsia="Arial" w:hAnsi="Arial"/>
          <w:sz w:val="22"/>
          <w:szCs w:val="22"/>
          <w:u w:val="single" w:color="auto"/>
          <w:color w:val="auto"/>
        </w:rPr>
        <w:t>Use of Proceeds</w:t>
      </w:r>
      <w:r>
        <w:rPr>
          <w:rFonts w:ascii="Arial" w:cs="Arial" w:eastAsia="Arial" w:hAnsi="Arial"/>
          <w:sz w:val="22"/>
          <w:szCs w:val="22"/>
          <w:color w:val="auto"/>
        </w:rPr>
        <w:t>. The Borrower will use the proceeds of the Loans for general corporate purposes and to pay the fees and expenses associated with the transactions contemplated hereby.</w:t>
      </w:r>
    </w:p>
    <w:p>
      <w:pPr>
        <w:spacing w:after="0" w:line="175"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 xml:space="preserve">SECTION 7.8 </w:t>
      </w:r>
      <w:r>
        <w:rPr>
          <w:rFonts w:ascii="Arial" w:cs="Arial" w:eastAsia="Arial" w:hAnsi="Arial"/>
          <w:sz w:val="19"/>
          <w:szCs w:val="19"/>
          <w:u w:val="single" w:color="auto"/>
          <w:color w:val="auto"/>
        </w:rPr>
        <w:t>Future Guarantors, Security, Etc</w:t>
      </w:r>
      <w:r>
        <w:rPr>
          <w:rFonts w:ascii="Arial" w:cs="Arial" w:eastAsia="Arial" w:hAnsi="Arial"/>
          <w:sz w:val="19"/>
          <w:szCs w:val="19"/>
          <w:color w:val="auto"/>
        </w:rPr>
        <w:t>. The Borrower and each other Subsidiary (other than, on any date prior to the Reorganization Outside Date, the Excluded Subsidiaries) will execute any documents, financing statements, agreements and instruments, and take all further action that may be required under applicable Law, or that the Administrative Agent or any Lender may reasonably request, in order to effectuate the transactions contemplated by the Loan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9" w:name="page90"/>
    <w:bookmarkEnd w:id="89"/>
    <w:p>
      <w:pPr>
        <w:jc w:val="both"/>
        <w:spacing w:after="0" w:line="269" w:lineRule="auto"/>
        <w:rPr>
          <w:sz w:val="20"/>
          <w:szCs w:val="20"/>
          <w:color w:val="auto"/>
        </w:rPr>
      </w:pPr>
      <w:r>
        <w:rPr>
          <w:rFonts w:ascii="Arial" w:cs="Arial" w:eastAsia="Arial" w:hAnsi="Arial"/>
          <w:sz w:val="19"/>
          <w:szCs w:val="19"/>
          <w:color w:val="auto"/>
        </w:rPr>
        <w:t xml:space="preserve">Documents and in order to grant, preserve, protect and perfect the validity and first priority (subject to Liens permitted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8.3</w:t>
      </w:r>
      <w:r>
        <w:rPr>
          <w:rFonts w:ascii="Arial" w:cs="Arial" w:eastAsia="Arial" w:hAnsi="Arial"/>
          <w:sz w:val="19"/>
          <w:szCs w:val="19"/>
          <w:color w:val="auto"/>
        </w:rPr>
        <w:t xml:space="preserve">) of the Liens created or intended to be created by the Loan Documents. The Borrower will cause (a) any subsequently acquired or organized Subsidiary or any Excluded Subsidiary that remains in existence following the Reorganization Outside Date to execute a supplement (in form and substance satisfactory to the Administrative Agent) to the Guarantee and each other applicable Loan Document in favor of the Secured Parties, effective upon its acquisition or formation (or, with respect to any Excluded Subsidiary, as of the day immediately following the Reorganization Outside Date) and take such other actions as may be required or requested for the Secured Parties to have a valid Lien with the priority intended to be created on, and security interest in, all of the assets of such Subsidiary (unless constituting Excluded Property), subject to no other Liens (other than Liens permitted by Section 8.3) and the limitations set forth below, and (b) all of the presently existing or thereafter arising issued and outstanding shares of Capital Securities of (i) any Excluded Subsidiary to be pledged to the Secured Parties pursuant to one or more pledge agreements or other documents acceptable to the Secured Parties solely upon the written request of the Secured Parties and (ii) any other Subsidiary to be pledged to the Secured Parties pursuant to one or more pledge agreements or other documents acceptable to the Secured Parties. The Borrower will promptly notify the Administrative Agent of any subsequently acquired ownership interest in real property and will provide the Administrative Agent with a description of such real property, the acquisition date thereof and the purchase price therefor. In addition, from time to time, each of the Borrower and each of the Guarantors will, at its cost and expense, promptly secure the Obligations by pledging or creating, or causing to be pledged or created, perfected Liens with respect to such of its assets and properties as the Administrative Agent and the Lenders shall designate, it being agreed that it is the intent of the parties that the Obligations shall be secured by, among other things, substantially all the assets of the Borrower and the Guarantors (including real property and personal property acquired subsequent to the Closing Date). Such Liens will be created under the Loan Documents in form and substance satisfactory to the Administrative Agent and the Lenders, and the Borrower and each of the Guarantors shall deliver or cause to be delivered to the Administrative Agent all such instruments and documents (including mortgages, legal opinions, title insurance policies and lien searches) as the Administrative Agent or the Lenders shall reasonably request to evidence compliance with this </w:t>
      </w:r>
      <w:r>
        <w:rPr>
          <w:rFonts w:ascii="Arial" w:cs="Arial" w:eastAsia="Arial" w:hAnsi="Arial"/>
          <w:sz w:val="19"/>
          <w:szCs w:val="19"/>
          <w:u w:val="single" w:color="auto"/>
          <w:color w:val="auto"/>
        </w:rPr>
        <w:t>Section 7.8</w:t>
      </w:r>
      <w:r>
        <w:rPr>
          <w:rFonts w:ascii="Arial" w:cs="Arial" w:eastAsia="Arial" w:hAnsi="Arial"/>
          <w:sz w:val="19"/>
          <w:szCs w:val="19"/>
          <w:color w:val="auto"/>
        </w:rPr>
        <w:t>.</w:t>
      </w:r>
    </w:p>
    <w:p>
      <w:pPr>
        <w:spacing w:after="0" w:line="173"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7.9 </w:t>
      </w:r>
      <w:r>
        <w:rPr>
          <w:rFonts w:ascii="Arial" w:cs="Arial" w:eastAsia="Arial" w:hAnsi="Arial"/>
          <w:sz w:val="22"/>
          <w:szCs w:val="22"/>
          <w:u w:val="single" w:color="auto"/>
          <w:color w:val="auto"/>
        </w:rPr>
        <w:t>Obtaining of Permits, Etc</w:t>
      </w:r>
      <w:r>
        <w:rPr>
          <w:rFonts w:ascii="Arial" w:cs="Arial" w:eastAsia="Arial" w:hAnsi="Arial"/>
          <w:sz w:val="22"/>
          <w:szCs w:val="22"/>
          <w:color w:val="auto"/>
        </w:rPr>
        <w:t>. With respect to Products, each of the Borrower and each Subsidiary will obtain, maintain and preserve, and take all necessary action to timely renew all Permits and accreditations which are necessary in the proper conduct of its business.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u w:val="single" w:color="auto"/>
          <w:color w:val="auto"/>
        </w:rPr>
        <w:t>Maintenance of Regulatory Authorizations, Contracts, Intellectual Property, Etc</w:t>
      </w:r>
      <w:r>
        <w:rPr>
          <w:rFonts w:ascii="Arial" w:cs="Arial" w:eastAsia="Arial" w:hAnsi="Arial"/>
          <w:sz w:val="22"/>
          <w:szCs w:val="22"/>
          <w:color w:val="auto"/>
        </w:rPr>
        <w:t>.</w:t>
      </w:r>
    </w:p>
    <w:p>
      <w:pPr>
        <w:spacing w:after="0" w:line="206" w:lineRule="exact"/>
        <w:rPr>
          <w:sz w:val="20"/>
          <w:szCs w:val="20"/>
          <w:color w:val="auto"/>
        </w:rPr>
      </w:pPr>
    </w:p>
    <w:p>
      <w:pPr>
        <w:jc w:val="both"/>
        <w:ind w:left="760" w:firstLine="745"/>
        <w:spacing w:after="0" w:line="235" w:lineRule="auto"/>
        <w:tabs>
          <w:tab w:leader="none" w:pos="1941" w:val="left"/>
        </w:tabs>
        <w:numPr>
          <w:ilvl w:val="0"/>
          <w:numId w:val="75"/>
        </w:numPr>
        <w:rPr>
          <w:rFonts w:ascii="Arial" w:cs="Arial" w:eastAsia="Arial" w:hAnsi="Arial"/>
          <w:sz w:val="22"/>
          <w:szCs w:val="22"/>
          <w:color w:val="auto"/>
        </w:rPr>
      </w:pPr>
      <w:r>
        <w:rPr>
          <w:rFonts w:ascii="Arial" w:cs="Arial" w:eastAsia="Arial" w:hAnsi="Arial"/>
          <w:sz w:val="22"/>
          <w:szCs w:val="22"/>
          <w:color w:val="auto"/>
        </w:rPr>
        <w:t>With respect to the Products, each of the Borrower and each Subsidiary will (i) maintain in full force and effect all Regulatory Authorizations, Key Permits, contract rights, authorizations or other rights necessary for the operations of its business; (ii) maintain in full force and effect or pursue the prosecution of, as the case may be, and pay all costs and expenses relating to, (x) all Owned Intellectual Property and all Material Agreements (other than Key Contracts), except in the event that the Borrower determines in its reasonable commercial judgment not to do so, and (y) all Key Contracts; (iii) notify</w:t>
      </w:r>
    </w:p>
    <w:p>
      <w:pPr>
        <w:spacing w:after="0" w:line="187" w:lineRule="exact"/>
        <w:rPr>
          <w:rFonts w:ascii="Arial" w:cs="Arial" w:eastAsia="Arial" w:hAnsi="Arial"/>
          <w:sz w:val="22"/>
          <w:szCs w:val="22"/>
          <w:color w:val="auto"/>
        </w:rPr>
      </w:pPr>
    </w:p>
    <w:p>
      <w:pPr>
        <w:ind w:left="5520" w:hanging="130"/>
        <w:spacing w:after="0"/>
        <w:tabs>
          <w:tab w:leader="none" w:pos="5520" w:val="left"/>
        </w:tabs>
        <w:numPr>
          <w:ilvl w:val="1"/>
          <w:numId w:val="75"/>
        </w:numPr>
        <w:rPr>
          <w:rFonts w:ascii="Arial" w:cs="Arial" w:eastAsia="Arial" w:hAnsi="Arial"/>
          <w:sz w:val="22"/>
          <w:szCs w:val="22"/>
          <w:color w:val="auto"/>
        </w:rPr>
      </w:pPr>
      <w:r>
        <w:rPr>
          <w:rFonts w:ascii="Arial" w:cs="Arial" w:eastAsia="Arial" w:hAnsi="Arial"/>
          <w:sz w:val="22"/>
          <w:szCs w:val="22"/>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0" w:name="page91"/>
    <w:bookmarkEnd w:id="90"/>
    <w:p>
      <w:pPr>
        <w:jc w:val="both"/>
        <w:spacing w:after="0" w:line="270" w:lineRule="auto"/>
        <w:rPr>
          <w:sz w:val="20"/>
          <w:szCs w:val="20"/>
          <w:color w:val="auto"/>
        </w:rPr>
      </w:pPr>
      <w:r>
        <w:rPr>
          <w:rFonts w:ascii="Arial" w:cs="Arial" w:eastAsia="Arial" w:hAnsi="Arial"/>
          <w:sz w:val="19"/>
          <w:szCs w:val="19"/>
          <w:color w:val="auto"/>
        </w:rPr>
        <w:t>the Administrative Agent, promptly after learning thereof, of any Infringement by any Person of any Owned Intellectual Property and aggressively pursue any such Infringement except in any specific circumstances where both (x) the Borrower or any of the Subsidiaries are able to demonstrate that it is not commercially reasonable to do so and (y) where not doing so does not materially adversely affect any Product; (iv) use commercially reasonable efforts to pursue and maintain in full force and effect legal protection for, and protect against Infringement with respect to, all Intellectual Property, including Patents, developed or controlled by the Borrower or any of the Subsidiaries; (v) notify the Administrative Agent, promptly after learning thereof, of any claim by any Person that the conduct of the Borrower’s or any of the Subsidiaries’ business (including the development, manufacture, use, sale or other commercialization of any Product) Infringes any Intellectual Property of that Person and use commercially reasonable efforts to resolve such claim, except where the Borrower determines in its reasonable commercial judgment not to do so; (vi) maintain an appropriate information security program with organizational, physical, administrative and technical measures consistent with generally accepted standards for the industry in which the Borrower or any Subsidiary operates to protect the operation, confidentiality, integrity, and security of all Confidential Business Information, Personal Data and IT Assets (including, for clarity, all information and transactions stored or contained therein or transmitted thereby) against unauthorized access, acquisition, interruption, alteration, modification, or use; and (vii) notify the Administrative Agent, promptly after learning thereof, of any product recalls, safety alerts, corrections, withdrawals, marketing suspensions, removals or the like conducted, to be undertaken or issued, by the Borrower, any of the Subsidiaries or their respective suppliers whether or not at the request, demand or order of any Governmental Authority or otherwise with respect to any Product, or any basis for undertaking or issuing any such action or item.</w:t>
      </w:r>
    </w:p>
    <w:p>
      <w:pPr>
        <w:spacing w:after="0" w:line="200" w:lineRule="exact"/>
        <w:rPr>
          <w:sz w:val="20"/>
          <w:szCs w:val="20"/>
          <w:color w:val="auto"/>
        </w:rPr>
      </w:pPr>
    </w:p>
    <w:p>
      <w:pPr>
        <w:spacing w:after="0" w:line="209" w:lineRule="exact"/>
        <w:rPr>
          <w:sz w:val="20"/>
          <w:szCs w:val="20"/>
          <w:color w:val="auto"/>
        </w:rPr>
      </w:pPr>
    </w:p>
    <w:p>
      <w:pPr>
        <w:jc w:val="both"/>
        <w:ind w:firstLine="745"/>
        <w:spacing w:after="0"/>
        <w:tabs>
          <w:tab w:leader="none" w:pos="1181" w:val="left"/>
        </w:tabs>
        <w:numPr>
          <w:ilvl w:val="0"/>
          <w:numId w:val="76"/>
        </w:numPr>
        <w:rPr>
          <w:rFonts w:ascii="Arial" w:cs="Arial" w:eastAsia="Arial" w:hAnsi="Arial"/>
          <w:sz w:val="22"/>
          <w:szCs w:val="22"/>
          <w:color w:val="auto"/>
        </w:rPr>
      </w:pPr>
      <w:r>
        <w:rPr>
          <w:rFonts w:ascii="Arial" w:cs="Arial" w:eastAsia="Arial" w:hAnsi="Arial"/>
          <w:sz w:val="22"/>
          <w:szCs w:val="22"/>
          <w:color w:val="auto"/>
        </w:rPr>
        <w:t>Each of the Borrower and each Subsidiary will furnish to the Administrative Agent prompt written notice of the following, and, with respect to clauses (i) and (ii) below, copies of any notices from, or responses to, any Governmental Authority:</w:t>
      </w:r>
    </w:p>
    <w:p>
      <w:pPr>
        <w:spacing w:after="0" w:line="186" w:lineRule="exact"/>
        <w:rPr>
          <w:rFonts w:ascii="Arial" w:cs="Arial" w:eastAsia="Arial" w:hAnsi="Arial"/>
          <w:sz w:val="22"/>
          <w:szCs w:val="22"/>
          <w:color w:val="auto"/>
        </w:rPr>
      </w:pPr>
    </w:p>
    <w:p>
      <w:pPr>
        <w:jc w:val="both"/>
        <w:ind w:left="740" w:right="20" w:firstLine="754"/>
        <w:spacing w:after="0" w:line="257" w:lineRule="auto"/>
        <w:tabs>
          <w:tab w:leader="none" w:pos="1921" w:val="left"/>
        </w:tabs>
        <w:numPr>
          <w:ilvl w:val="1"/>
          <w:numId w:val="76"/>
        </w:numPr>
        <w:rPr>
          <w:rFonts w:ascii="Arial" w:cs="Arial" w:eastAsia="Arial" w:hAnsi="Arial"/>
          <w:sz w:val="21"/>
          <w:szCs w:val="21"/>
          <w:color w:val="auto"/>
        </w:rPr>
      </w:pPr>
      <w:r>
        <w:rPr>
          <w:rFonts w:ascii="Arial" w:cs="Arial" w:eastAsia="Arial" w:hAnsi="Arial"/>
          <w:sz w:val="21"/>
          <w:szCs w:val="21"/>
          <w:color w:val="auto"/>
        </w:rPr>
        <w:t>any notice that any Governmental Authority is limiting, suspending or revoking any Regulatory Authorization, changing the market classification or labeling of or otherwise materially restricting any Product of the Borrower or any of the Subsidiaries, or considering any of the foregoing;</w:t>
      </w:r>
    </w:p>
    <w:p>
      <w:pPr>
        <w:spacing w:after="0" w:line="169" w:lineRule="exact"/>
        <w:rPr>
          <w:rFonts w:ascii="Arial" w:cs="Arial" w:eastAsia="Arial" w:hAnsi="Arial"/>
          <w:sz w:val="21"/>
          <w:szCs w:val="21"/>
          <w:color w:val="auto"/>
        </w:rPr>
      </w:pPr>
    </w:p>
    <w:p>
      <w:pPr>
        <w:jc w:val="both"/>
        <w:ind w:left="740" w:firstLine="754"/>
        <w:spacing w:after="0" w:line="277" w:lineRule="auto"/>
        <w:tabs>
          <w:tab w:leader="none" w:pos="1921"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the Borrower or any of the Subsidiaries becoming subject to any administrative or regulatory action, or notice of violation letter (including receipt of any warning letter from the FDA or other Governmental Authority with respect to the Borrower or any of the Subsidiaries, or any Product or the manufacturing facilities therefor), or any Product of the Borrower or any of the Subsidiaries being seized, withdrawn, recalled, detained, or subject to a suspension of manufacturing or import alert, or the commencement of any proceedings in the United States or any other jurisdiction seeking the withdrawal, recall, suspension, import detention or refusal, or seizure of any Product are pending or threatened against the Borrower or any of the Subsidiaries; or</w:t>
      </w:r>
    </w:p>
    <w:p>
      <w:pPr>
        <w:spacing w:after="0" w:line="151" w:lineRule="exact"/>
        <w:rPr>
          <w:rFonts w:ascii="Arial" w:cs="Arial" w:eastAsia="Arial" w:hAnsi="Arial"/>
          <w:sz w:val="19"/>
          <w:szCs w:val="19"/>
          <w:color w:val="auto"/>
        </w:rPr>
      </w:pPr>
    </w:p>
    <w:p>
      <w:pPr>
        <w:ind w:left="4760" w:hanging="130"/>
        <w:spacing w:after="0"/>
        <w:tabs>
          <w:tab w:leader="none" w:pos="4760" w:val="left"/>
        </w:tabs>
        <w:numPr>
          <w:ilvl w:val="2"/>
          <w:numId w:val="76"/>
        </w:numPr>
        <w:rPr>
          <w:rFonts w:ascii="Arial" w:cs="Arial" w:eastAsia="Arial" w:hAnsi="Arial"/>
          <w:sz w:val="22"/>
          <w:szCs w:val="22"/>
          <w:color w:val="auto"/>
        </w:rPr>
      </w:pPr>
      <w:r>
        <w:rPr>
          <w:rFonts w:ascii="Arial" w:cs="Arial" w:eastAsia="Arial" w:hAnsi="Arial"/>
          <w:sz w:val="22"/>
          <w:szCs w:val="22"/>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405765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1" w:right="339" w:bottom="1440" w:gutter="0" w:footer="0" w:header="0"/>
        </w:sectPr>
      </w:pPr>
    </w:p>
    <w:bookmarkStart w:id="91" w:name="page92"/>
    <w:bookmarkEnd w:id="91"/>
    <w:p>
      <w:pPr>
        <w:jc w:val="both"/>
        <w:ind w:left="1500" w:firstLine="754"/>
        <w:spacing w:after="0" w:line="252" w:lineRule="auto"/>
        <w:tabs>
          <w:tab w:leader="none" w:pos="2681" w:val="left"/>
        </w:tabs>
        <w:numPr>
          <w:ilvl w:val="1"/>
          <w:numId w:val="77"/>
        </w:numPr>
        <w:rPr>
          <w:rFonts w:ascii="Arial" w:cs="Arial" w:eastAsia="Arial" w:hAnsi="Arial"/>
          <w:sz w:val="21"/>
          <w:szCs w:val="21"/>
          <w:color w:val="auto"/>
        </w:rPr>
      </w:pPr>
      <w:r>
        <w:rPr>
          <w:rFonts w:ascii="Arial" w:cs="Arial" w:eastAsia="Arial" w:hAnsi="Arial"/>
          <w:sz w:val="21"/>
          <w:szCs w:val="21"/>
          <w:color w:val="auto"/>
        </w:rPr>
        <w:t>copies of any written recommendation from any Governmental Authority or other regulatory body that the Borrower or any of the Subsidiaries, or any obligor to which the Borrower or any of the Subsidiaries provides services, should have its licensure, clearance(s), provider or supplier number, or accreditation suspended, revoked, or limited in any way, or any penalties or sanctions imposed.</w:t>
      </w:r>
    </w:p>
    <w:p>
      <w:pPr>
        <w:spacing w:after="0" w:line="173" w:lineRule="exact"/>
        <w:rPr>
          <w:rFonts w:ascii="Arial" w:cs="Arial" w:eastAsia="Arial" w:hAnsi="Arial"/>
          <w:sz w:val="21"/>
          <w:szCs w:val="21"/>
          <w:color w:val="auto"/>
        </w:rPr>
      </w:pPr>
    </w:p>
    <w:p>
      <w:pPr>
        <w:jc w:val="both"/>
        <w:ind w:left="760" w:firstLine="745"/>
        <w:spacing w:after="0"/>
        <w:tabs>
          <w:tab w:leader="none" w:pos="1941" w:val="left"/>
        </w:tabs>
        <w:numPr>
          <w:ilvl w:val="0"/>
          <w:numId w:val="78"/>
        </w:numPr>
        <w:rPr>
          <w:rFonts w:ascii="Arial" w:cs="Arial" w:eastAsia="Arial" w:hAnsi="Arial"/>
          <w:sz w:val="22"/>
          <w:szCs w:val="22"/>
          <w:color w:val="auto"/>
        </w:rPr>
      </w:pPr>
      <w:r>
        <w:rPr>
          <w:rFonts w:ascii="Arial" w:cs="Arial" w:eastAsia="Arial" w:hAnsi="Arial"/>
          <w:sz w:val="22"/>
          <w:szCs w:val="22"/>
          <w:color w:val="auto"/>
        </w:rPr>
        <w:t>Each of the Borrower and each Subsidiary will promptly notify the Administrative Agent as soon as possible and in any event within three days of introducing any Product that is subject to regulation by the FDA, or any comparable foreign Governmental Authority, as a medical device.</w:t>
      </w:r>
    </w:p>
    <w:p>
      <w:pPr>
        <w:spacing w:after="0" w:line="186"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u w:val="single" w:color="auto"/>
          <w:color w:val="auto"/>
        </w:rPr>
        <w:t>Inbound Licenses</w:t>
      </w:r>
      <w:r>
        <w:rPr>
          <w:rFonts w:ascii="Arial" w:cs="Arial" w:eastAsia="Arial" w:hAnsi="Arial"/>
          <w:sz w:val="22"/>
          <w:szCs w:val="22"/>
          <w:color w:val="auto"/>
        </w:rPr>
        <w:t>. The Borrower and each of the Subsidiaries will, promptly after entering into or becoming bound by any inbound license or agreement (other than over-the-counter or “open-source” software that is commercially available to the public): (i) provide written notice to the Administrative Agent of the material terms of such license or agreement with a description of its anticipated and projected impact on the Borrower’s and the Subsidiaries’ business and financial condition; and (ii) take such commercially reasonable actions as the Administrative Agent or the Lenders may reasonably request to obtain the consent of, or waiver by, any Person whose consent or waiver is necessary for the Secured Parties to be granted and perfect a valid security interest in such license or agreement and to fully exercise its rights under any of the Loan Documents in the event of a disposition or liquidation of the rights, assets or property that is the subject of such license or agreement.</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7.12 </w:t>
      </w:r>
      <w:r>
        <w:rPr>
          <w:rFonts w:ascii="Arial" w:cs="Arial" w:eastAsia="Arial" w:hAnsi="Arial"/>
          <w:sz w:val="22"/>
          <w:szCs w:val="22"/>
          <w:u w:val="single" w:color="auto"/>
          <w:color w:val="auto"/>
        </w:rPr>
        <w:t>Cash Management</w:t>
      </w:r>
      <w:r>
        <w:rPr>
          <w:rFonts w:ascii="Arial" w:cs="Arial" w:eastAsia="Arial" w:hAnsi="Arial"/>
          <w:sz w:val="22"/>
          <w:szCs w:val="22"/>
          <w:color w:val="auto"/>
        </w:rPr>
        <w:t>. The Borrower and each Guarantor will:</w:t>
      </w:r>
    </w:p>
    <w:p>
      <w:pPr>
        <w:spacing w:after="0" w:line="206" w:lineRule="exact"/>
        <w:rPr>
          <w:sz w:val="20"/>
          <w:szCs w:val="20"/>
          <w:color w:val="auto"/>
        </w:rPr>
      </w:pPr>
    </w:p>
    <w:p>
      <w:pPr>
        <w:jc w:val="both"/>
        <w:ind w:left="760" w:firstLine="745"/>
        <w:spacing w:after="0" w:line="272" w:lineRule="auto"/>
        <w:tabs>
          <w:tab w:leader="none" w:pos="1997"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(i) maintain a current and complete list of all accounts (of the type initially set forth on </w:t>
      </w:r>
      <w:r>
        <w:rPr>
          <w:rFonts w:ascii="Arial" w:cs="Arial" w:eastAsia="Arial" w:hAnsi="Arial"/>
          <w:sz w:val="19"/>
          <w:szCs w:val="19"/>
          <w:u w:val="single" w:color="auto"/>
          <w:color w:val="auto"/>
        </w:rPr>
        <w:t>Schedule 6.22</w:t>
      </w:r>
      <w:r>
        <w:rPr>
          <w:rFonts w:ascii="Arial" w:cs="Arial" w:eastAsia="Arial" w:hAnsi="Arial"/>
          <w:sz w:val="19"/>
          <w:szCs w:val="19"/>
          <w:color w:val="auto"/>
        </w:rPr>
        <w:t xml:space="preserve">) and (other than (A) accounts exclusively used for payroll, payroll taxes and other employee wage and benefit programs to or for the benefit of the Borrower’s or a Guarantor’s employees, which shall in no event hold in the aggregate more than the amount reasonably expected to meet such payroll expenses for the following calendar month, including bonuses and other payments to be paid within the following calendar month, and (B) accounts which there is not maintained at any point in time funds on deposit, together with funds on deposit in accounts of Excluded Subsidiaries in compliance with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of the definition of “Excluded Subsidiary”, greater than $250,000 in the aggregate for all such accounts (collectively, the “</w:t>
      </w:r>
      <w:r>
        <w:rPr>
          <w:rFonts w:ascii="Arial" w:cs="Arial" w:eastAsia="Arial" w:hAnsi="Arial"/>
          <w:sz w:val="19"/>
          <w:szCs w:val="19"/>
          <w:u w:val="single" w:color="auto"/>
          <w:color w:val="auto"/>
        </w:rPr>
        <w:t>Excluded Accounts</w:t>
      </w:r>
      <w:r>
        <w:rPr>
          <w:rFonts w:ascii="Arial" w:cs="Arial" w:eastAsia="Arial" w:hAnsi="Arial"/>
          <w:sz w:val="19"/>
          <w:szCs w:val="19"/>
          <w:color w:val="auto"/>
        </w:rPr>
        <w:t>”)) promptly deliver any updates to such list to the Administrative Agent; (ii) execute and maintain an account control agreement for each such account (other than the Excluded Accounts), in form and substance reasonably acceptable to the Administrative Agent (each such account, a “</w:t>
      </w:r>
      <w:r>
        <w:rPr>
          <w:rFonts w:ascii="Arial" w:cs="Arial" w:eastAsia="Arial" w:hAnsi="Arial"/>
          <w:sz w:val="19"/>
          <w:szCs w:val="19"/>
          <w:u w:val="single" w:color="auto"/>
          <w:color w:val="auto"/>
        </w:rPr>
        <w:t>Controlled Account</w:t>
      </w:r>
      <w:r>
        <w:rPr>
          <w:rFonts w:ascii="Arial" w:cs="Arial" w:eastAsia="Arial" w:hAnsi="Arial"/>
          <w:sz w:val="19"/>
          <w:szCs w:val="19"/>
          <w:color w:val="auto"/>
        </w:rPr>
        <w:t>”); and (iii) maintain each such account as a cash collateral account, with all cash, checks and other similar items of payment in such account securing payment of the Obligations (and in which the Borrower and the Guarantors shall have granted a Lien to the Secured Parties);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760" w:right="20" w:firstLine="745"/>
        <w:spacing w:after="0" w:line="250" w:lineRule="auto"/>
        <w:tabs>
          <w:tab w:leader="none" w:pos="1941" w:val="left"/>
        </w:tabs>
        <w:numPr>
          <w:ilvl w:val="0"/>
          <w:numId w:val="79"/>
        </w:numPr>
        <w:rPr>
          <w:rFonts w:ascii="Arial" w:cs="Arial" w:eastAsia="Arial" w:hAnsi="Arial"/>
          <w:sz w:val="22"/>
          <w:szCs w:val="22"/>
          <w:color w:val="auto"/>
        </w:rPr>
      </w:pPr>
      <w:r>
        <w:rPr>
          <w:rFonts w:ascii="Arial" w:cs="Arial" w:eastAsia="Arial" w:hAnsi="Arial"/>
          <w:sz w:val="22"/>
          <w:szCs w:val="22"/>
          <w:color w:val="auto"/>
        </w:rPr>
        <w:t>deposit promptly after the date of receipt thereof in accordance with prudent business practices all cash, checks, drafts or other similar items of payment relating to or</w:t>
      </w:r>
    </w:p>
    <w:p>
      <w:pPr>
        <w:spacing w:after="0" w:line="174" w:lineRule="exact"/>
        <w:rPr>
          <w:rFonts w:ascii="Arial" w:cs="Arial" w:eastAsia="Arial" w:hAnsi="Arial"/>
          <w:sz w:val="22"/>
          <w:szCs w:val="22"/>
          <w:color w:val="auto"/>
        </w:rPr>
      </w:pPr>
    </w:p>
    <w:p>
      <w:pPr>
        <w:ind w:left="5520" w:hanging="130"/>
        <w:spacing w:after="0"/>
        <w:tabs>
          <w:tab w:leader="none" w:pos="5520" w:val="left"/>
        </w:tabs>
        <w:numPr>
          <w:ilvl w:val="1"/>
          <w:numId w:val="79"/>
        </w:numPr>
        <w:rPr>
          <w:rFonts w:ascii="Arial" w:cs="Arial" w:eastAsia="Arial" w:hAnsi="Arial"/>
          <w:sz w:val="22"/>
          <w:szCs w:val="22"/>
          <w:color w:val="auto"/>
        </w:rPr>
      </w:pPr>
      <w:r>
        <w:rPr>
          <w:rFonts w:ascii="Arial" w:cs="Arial" w:eastAsia="Arial" w:hAnsi="Arial"/>
          <w:sz w:val="22"/>
          <w:szCs w:val="22"/>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2" w:name="page93"/>
    <w:bookmarkEnd w:id="92"/>
    <w:p>
      <w:pPr>
        <w:ind w:left="760"/>
        <w:spacing w:after="0" w:line="250" w:lineRule="auto"/>
        <w:rPr>
          <w:sz w:val="20"/>
          <w:szCs w:val="20"/>
          <w:color w:val="auto"/>
        </w:rPr>
      </w:pPr>
      <w:r>
        <w:rPr>
          <w:rFonts w:ascii="Arial" w:cs="Arial" w:eastAsia="Arial" w:hAnsi="Arial"/>
          <w:sz w:val="22"/>
          <w:szCs w:val="22"/>
          <w:color w:val="auto"/>
        </w:rPr>
        <w:t>constituting payments made in respect of any and all accounts and other rights and interests into Controlled Accounts except to the extent permitted to be kept in Excluded Accounts; and</w:t>
      </w:r>
    </w:p>
    <w:p>
      <w:pPr>
        <w:spacing w:after="0" w:line="175" w:lineRule="exact"/>
        <w:rPr>
          <w:sz w:val="20"/>
          <w:szCs w:val="20"/>
          <w:color w:val="auto"/>
        </w:rPr>
      </w:pPr>
    </w:p>
    <w:p>
      <w:pPr>
        <w:jc w:val="both"/>
        <w:ind w:left="760" w:firstLine="745"/>
        <w:spacing w:after="0"/>
        <w:tabs>
          <w:tab w:leader="none" w:pos="1941" w:val="left"/>
        </w:tabs>
        <w:numPr>
          <w:ilvl w:val="0"/>
          <w:numId w:val="80"/>
        </w:numPr>
        <w:rPr>
          <w:rFonts w:ascii="Arial" w:cs="Arial" w:eastAsia="Arial" w:hAnsi="Arial"/>
          <w:sz w:val="22"/>
          <w:szCs w:val="22"/>
          <w:color w:val="auto"/>
        </w:rPr>
      </w:pPr>
      <w:r>
        <w:rPr>
          <w:rFonts w:ascii="Arial" w:cs="Arial" w:eastAsia="Arial" w:hAnsi="Arial"/>
          <w:sz w:val="22"/>
          <w:szCs w:val="22"/>
          <w:color w:val="auto"/>
        </w:rPr>
        <w:t>at any time after the occurrence and during the continuance of an Event of Default, at the request of the Administrative Agent, promptly cause all payments constituting proceeds of accounts to be directed into lockbox accounts under agreements in form and substance satisfactory to the Lenders.</w:t>
      </w:r>
    </w:p>
    <w:p>
      <w:pPr>
        <w:spacing w:after="0" w:line="18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 xml:space="preserve">SECTION 7.13 </w:t>
      </w:r>
      <w:r>
        <w:rPr>
          <w:rFonts w:ascii="Arial" w:cs="Arial" w:eastAsia="Arial" w:hAnsi="Arial"/>
          <w:sz w:val="21"/>
          <w:szCs w:val="21"/>
          <w:u w:val="single" w:color="auto"/>
          <w:color w:val="auto"/>
        </w:rPr>
        <w:t>Lender Calls</w:t>
      </w:r>
      <w:r>
        <w:rPr>
          <w:rFonts w:ascii="Arial" w:cs="Arial" w:eastAsia="Arial" w:hAnsi="Arial"/>
          <w:sz w:val="21"/>
          <w:szCs w:val="21"/>
          <w:color w:val="auto"/>
        </w:rPr>
        <w:t xml:space="preserve">. The chief executive officer and other members of senior management of the Borrower or the Subsidiaries requested by the Lenders shall hold a meeting with the Lenders (to the extent requested by any Lender) in person or by teleconference, in either case as reasonably requested by the Lenders, within one month after the delivery by the Borrower of its financial statements pursuant to Sections 7.1(b) and (c), to, at a minimum, discuss business operations and matters referenced in the board materials previously delivered to the Lenders pursuant to </w:t>
      </w:r>
      <w:r>
        <w:rPr>
          <w:rFonts w:ascii="Arial" w:cs="Arial" w:eastAsia="Arial" w:hAnsi="Arial"/>
          <w:sz w:val="21"/>
          <w:szCs w:val="21"/>
          <w:u w:val="single" w:color="auto"/>
          <w:color w:val="auto"/>
        </w:rPr>
        <w:t>Section 7.1(k)</w:t>
      </w:r>
      <w:r>
        <w:rPr>
          <w:rFonts w:ascii="Arial" w:cs="Arial" w:eastAsia="Arial" w:hAnsi="Arial"/>
          <w:sz w:val="21"/>
          <w:szCs w:val="21"/>
          <w:color w:val="auto"/>
        </w:rPr>
        <w:t xml:space="preserve"> and review financial statements, in each case with respect to the Borrower and the Subsidiaries.</w:t>
      </w:r>
    </w:p>
    <w:p>
      <w:pPr>
        <w:spacing w:after="0" w:line="177"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 xml:space="preserve">SECTION 7.14 </w:t>
      </w:r>
      <w:r>
        <w:rPr>
          <w:rFonts w:ascii="Arial" w:cs="Arial" w:eastAsia="Arial" w:hAnsi="Arial"/>
          <w:sz w:val="19"/>
          <w:szCs w:val="19"/>
          <w:u w:val="single" w:color="auto"/>
          <w:color w:val="auto"/>
        </w:rPr>
        <w:t>Product Licenses</w:t>
      </w:r>
      <w:r>
        <w:rPr>
          <w:rFonts w:ascii="Arial" w:cs="Arial" w:eastAsia="Arial" w:hAnsi="Arial"/>
          <w:sz w:val="19"/>
          <w:szCs w:val="19"/>
          <w:color w:val="auto"/>
        </w:rPr>
        <w:t>. The Borrower and each Subsidiary shall maintain each Key Permit, from, or file any notice or registration or other application in, each jurisdiction in which the Borrower or any of the Subsidiaries are required to obtain any Key Permit or Regulatory Authorization or to file any notice or registration, in order to sell or distribute the Products.</w:t>
      </w:r>
    </w:p>
    <w:p>
      <w:pPr>
        <w:spacing w:after="0" w:line="134"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color w:val="auto"/>
        </w:rPr>
        <w:t xml:space="preserve">SECTION 7.15 </w:t>
      </w:r>
      <w:r>
        <w:rPr>
          <w:rFonts w:ascii="Arial" w:cs="Arial" w:eastAsia="Arial" w:hAnsi="Arial"/>
          <w:sz w:val="19"/>
          <w:szCs w:val="19"/>
          <w:u w:val="single" w:color="auto"/>
          <w:color w:val="auto"/>
        </w:rPr>
        <w:t>Excluded Subsidiaries</w:t>
      </w:r>
      <w:r>
        <w:rPr>
          <w:rFonts w:ascii="Arial" w:cs="Arial" w:eastAsia="Arial" w:hAnsi="Arial"/>
          <w:sz w:val="19"/>
          <w:szCs w:val="19"/>
          <w:color w:val="auto"/>
        </w:rPr>
        <w:t xml:space="preserve">. The aggregate cash or Cash Equivalent Investments attributable to all Excluded Subsidiaries shall not exceed $250,000. If at any time the aggregate portion of net revenue attributable to all Excluded Subsidiaries exceeds 4.0% of the net revenue of the Borrower and its Subsidiaries, on a consolidated basis, for any period of four consecutive Fiscal Quarters (determined as of the last day of the most recent Fiscal Quarter for which financial statements have been delivered pursuant to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7.1(c)</w:t>
      </w:r>
      <w:r>
        <w:rPr>
          <w:rFonts w:ascii="Arial" w:cs="Arial" w:eastAsia="Arial" w:hAnsi="Arial"/>
          <w:sz w:val="19"/>
          <w:szCs w:val="19"/>
          <w:color w:val="auto"/>
        </w:rPr>
        <w:t xml:space="preserve"> (or, if prior to the date of the delivery of the first financial statements to be delivered pursuant to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7.1(c)</w:t>
      </w:r>
      <w:r>
        <w:rPr>
          <w:rFonts w:ascii="Arial" w:cs="Arial" w:eastAsia="Arial" w:hAnsi="Arial"/>
          <w:sz w:val="19"/>
          <w:szCs w:val="19"/>
          <w:color w:val="auto"/>
        </w:rPr>
        <w:t xml:space="preserve">, the most recent financial statements referred to in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the Borrower shall designate sufficient Subsidiaries as “Guarantors” to eliminate such excess, and such designated Subsidiaries shall for all purposes of this Agreement constitute Guarantors and be subject to the provisions of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If at any time the aggregate portion of total assets attributable to all Excluded Subsidiaries exceeds 4.0% of the consolidated total assets of the Borrower and its Subsidiaries for any period of four consecutive Fiscal Quarters (determined as of the last day of the most recent Fiscal Quarter for which financial statements have been delivered pursuant to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7.1(c)</w:t>
      </w:r>
      <w:r>
        <w:rPr>
          <w:rFonts w:ascii="Arial" w:cs="Arial" w:eastAsia="Arial" w:hAnsi="Arial"/>
          <w:sz w:val="19"/>
          <w:szCs w:val="19"/>
          <w:color w:val="auto"/>
        </w:rPr>
        <w:t xml:space="preserve"> (or, if prior to the date of the delivery of the first financial statements to be delivered pursuant to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7.1(c)</w:t>
      </w:r>
      <w:r>
        <w:rPr>
          <w:rFonts w:ascii="Arial" w:cs="Arial" w:eastAsia="Arial" w:hAnsi="Arial"/>
          <w:sz w:val="19"/>
          <w:szCs w:val="19"/>
          <w:color w:val="auto"/>
        </w:rPr>
        <w:t xml:space="preserve">, the most recent financial statements referred to in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the Borrower shall designate sufficient Subsidiaries as “Guarantors” to eliminate such excess, and such designated Subsidiaries shall for all purposes of this Agreement constitute Guarantors and be subject to the provisions of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In addition, should an Excluded Subsidiary cease to meet the criteria set forth in clauses (i), (ii) or (iii) of the definition thereof, the Borrower shall designate such Subsidiary as a “Guarantor”, and such Subsidiary shall for all purposes of this Agreement constitute a Guarantor and be subject to the provisions of </w:t>
      </w:r>
      <w:r>
        <w:rPr>
          <w:rFonts w:ascii="Arial" w:cs="Arial" w:eastAsia="Arial" w:hAnsi="Arial"/>
          <w:sz w:val="19"/>
          <w:szCs w:val="19"/>
          <w:u w:val="single" w:color="auto"/>
          <w:color w:val="auto"/>
        </w:rPr>
        <w:t>Section 7.8</w:t>
      </w:r>
      <w:r>
        <w:rPr>
          <w:rFonts w:ascii="Arial" w:cs="Arial" w:eastAsia="Arial" w:hAnsi="Arial"/>
          <w:sz w:val="19"/>
          <w:szCs w:val="19"/>
          <w:color w:val="auto"/>
        </w:rPr>
        <w:t>. If the Reorganization has not been consummated by the Reorganization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3" w:name="page94"/>
    <w:bookmarkEnd w:id="93"/>
    <w:p>
      <w:pPr>
        <w:jc w:val="both"/>
        <w:spacing w:after="0" w:line="250" w:lineRule="auto"/>
        <w:rPr>
          <w:sz w:val="20"/>
          <w:szCs w:val="20"/>
          <w:color w:val="auto"/>
        </w:rPr>
      </w:pPr>
      <w:r>
        <w:rPr>
          <w:rFonts w:ascii="Arial" w:cs="Arial" w:eastAsia="Arial" w:hAnsi="Arial"/>
          <w:sz w:val="22"/>
          <w:szCs w:val="22"/>
          <w:color w:val="auto"/>
        </w:rPr>
        <w:t xml:space="preserve">Outside Date, all Excluded Subsidiaries shall immediately constitute Guarantors and shall be subject to the provisions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7.8</w:t>
      </w:r>
      <w:r>
        <w:rPr>
          <w:rFonts w:ascii="Arial" w:cs="Arial" w:eastAsia="Arial" w:hAnsi="Arial"/>
          <w:sz w:val="22"/>
          <w:szCs w:val="22"/>
          <w:color w:val="auto"/>
        </w:rPr>
        <w:t>.</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7.16 </w:t>
      </w:r>
      <w:r>
        <w:rPr>
          <w:rFonts w:ascii="Arial" w:cs="Arial" w:eastAsia="Arial" w:hAnsi="Arial"/>
          <w:sz w:val="22"/>
          <w:szCs w:val="22"/>
          <w:u w:val="single" w:color="auto"/>
          <w:color w:val="auto"/>
        </w:rPr>
        <w:t>Post-Closing Covenants</w:t>
      </w:r>
      <w:r>
        <w:rPr>
          <w:rFonts w:ascii="Arial" w:cs="Arial" w:eastAsia="Arial" w:hAnsi="Arial"/>
          <w:sz w:val="22"/>
          <w:szCs w:val="22"/>
          <w:color w:val="auto"/>
        </w:rPr>
        <w:t>. The Borrower agrees to deliver the items set forth below within the specified timeframe (or by such other date as the Administrative Agent may approve in writing), in each case, in form and substance reasonably acceptable to the Administrative Agent:</w:t>
      </w:r>
    </w:p>
    <w:p>
      <w:pPr>
        <w:spacing w:after="0" w:line="186" w:lineRule="exact"/>
        <w:rPr>
          <w:sz w:val="20"/>
          <w:szCs w:val="20"/>
          <w:color w:val="auto"/>
        </w:rPr>
      </w:pPr>
    </w:p>
    <w:p>
      <w:pPr>
        <w:jc w:val="both"/>
        <w:ind w:left="1140" w:firstLine="740"/>
        <w:spacing w:after="0"/>
        <w:tabs>
          <w:tab w:leader="none" w:pos="2321" w:val="left"/>
        </w:tabs>
        <w:numPr>
          <w:ilvl w:val="0"/>
          <w:numId w:val="81"/>
        </w:numPr>
        <w:rPr>
          <w:rFonts w:ascii="Arial" w:cs="Arial" w:eastAsia="Arial" w:hAnsi="Arial"/>
          <w:sz w:val="22"/>
          <w:szCs w:val="22"/>
          <w:color w:val="auto"/>
        </w:rPr>
      </w:pPr>
      <w:r>
        <w:rPr>
          <w:rFonts w:ascii="Arial" w:cs="Arial" w:eastAsia="Arial" w:hAnsi="Arial"/>
          <w:sz w:val="22"/>
          <w:szCs w:val="22"/>
          <w:color w:val="auto"/>
        </w:rPr>
        <w:t>within 45 days of the Closing Date, the Agent and the Lenders shall have received a leasehold mortgage in favor of the Administrative Agent with respect to the Borrower’s leasehold interest in the real property located at 3007 Bunsen Avenue, Unit K, Ventura, CA 93003;</w:t>
      </w:r>
    </w:p>
    <w:p>
      <w:pPr>
        <w:spacing w:after="0" w:line="186" w:lineRule="exact"/>
        <w:rPr>
          <w:rFonts w:ascii="Arial" w:cs="Arial" w:eastAsia="Arial" w:hAnsi="Arial"/>
          <w:sz w:val="22"/>
          <w:szCs w:val="22"/>
          <w:color w:val="auto"/>
        </w:rPr>
      </w:pPr>
    </w:p>
    <w:p>
      <w:pPr>
        <w:jc w:val="both"/>
        <w:ind w:left="1140" w:firstLine="740"/>
        <w:spacing w:after="0" w:line="287" w:lineRule="auto"/>
        <w:tabs>
          <w:tab w:leader="none" w:pos="2321"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evidence that (i) the Reorganization has been consummated on or prior to the Reorganization Outside Date on terms and in form satisfactory to the Lenders, or (ii) if the Reorganization has not been consummated by the Reorganization Outside Date, evidence satisfactory to the Lenders that each Excluded Subsidiary has complied with the requirements of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and has become a Guarantor under the Loan Documents;</w:t>
      </w:r>
    </w:p>
    <w:p>
      <w:pPr>
        <w:spacing w:after="0" w:line="142" w:lineRule="exact"/>
        <w:rPr>
          <w:rFonts w:ascii="Arial" w:cs="Arial" w:eastAsia="Arial" w:hAnsi="Arial"/>
          <w:sz w:val="19"/>
          <w:szCs w:val="19"/>
          <w:color w:val="auto"/>
        </w:rPr>
      </w:pPr>
    </w:p>
    <w:p>
      <w:pPr>
        <w:jc w:val="both"/>
        <w:ind w:left="1140" w:firstLine="740"/>
        <w:spacing w:after="0" w:line="252" w:lineRule="auto"/>
        <w:tabs>
          <w:tab w:leader="none" w:pos="2321" w:val="left"/>
        </w:tabs>
        <w:numPr>
          <w:ilvl w:val="0"/>
          <w:numId w:val="81"/>
        </w:numPr>
        <w:rPr>
          <w:rFonts w:ascii="Arial" w:cs="Arial" w:eastAsia="Arial" w:hAnsi="Arial"/>
          <w:sz w:val="21"/>
          <w:szCs w:val="21"/>
          <w:color w:val="auto"/>
        </w:rPr>
      </w:pPr>
      <w:r>
        <w:rPr>
          <w:rFonts w:ascii="Arial" w:cs="Arial" w:eastAsia="Arial" w:hAnsi="Arial"/>
          <w:sz w:val="21"/>
          <w:szCs w:val="21"/>
          <w:color w:val="auto"/>
        </w:rPr>
        <w:t>no later than February 28, 2024, the Borrower shall have publicly issued earnings guidance by filing with or furnishing to the SEC a Form 8-K filing, or widely distributing a press release, which shall disclose, or otherwise cleanse the Lenders of, any material non-public information with respect to the Borrower or its Affiliates, or their respective securities, that the Lenders received prior to the Closing Date;</w:t>
      </w:r>
    </w:p>
    <w:p>
      <w:pPr>
        <w:spacing w:after="0" w:line="173" w:lineRule="exact"/>
        <w:rPr>
          <w:rFonts w:ascii="Arial" w:cs="Arial" w:eastAsia="Arial" w:hAnsi="Arial"/>
          <w:sz w:val="21"/>
          <w:szCs w:val="21"/>
          <w:color w:val="auto"/>
        </w:rPr>
      </w:pPr>
    </w:p>
    <w:p>
      <w:pPr>
        <w:jc w:val="both"/>
        <w:ind w:left="1140" w:firstLine="740"/>
        <w:spacing w:after="0" w:line="274" w:lineRule="auto"/>
        <w:tabs>
          <w:tab w:leader="none" w:pos="2321"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within 30 days of the Closing Date, the Borrower shall have (x) caused AVITA Medical Pty Limited to be in compliance with </w:t>
      </w:r>
      <w:r>
        <w:rPr>
          <w:rFonts w:ascii="Arial" w:cs="Arial" w:eastAsia="Arial" w:hAnsi="Arial"/>
          <w:sz w:val="19"/>
          <w:szCs w:val="19"/>
          <w:u w:val="single" w:color="auto"/>
          <w:color w:val="auto"/>
        </w:rPr>
        <w:t>Section 7.8</w:t>
      </w:r>
      <w:r>
        <w:rPr>
          <w:rFonts w:ascii="Arial" w:cs="Arial" w:eastAsia="Arial" w:hAnsi="Arial"/>
          <w:sz w:val="19"/>
          <w:szCs w:val="19"/>
          <w:color w:val="auto"/>
        </w:rPr>
        <w:t>, including such agreements, documents, filings and registrations as may be necessary to cause a security interest in the assets (other than Excluded Property) of such Subsidiary to be granted and perfected by such Subsidiary in accordance with the Laws of Australia, and (y) delivered to the Administrative Agent, in form and substance reasonably satisfactory to the Administrative Agent, (i) a share certificate evidencing all of the shares in such Subsidiary, duly endorsed in blank by the Borrower, and (ii) such agreements, documents, filings and registrations (including customary share pledge agreements) as may be necessary to cause a security interest in all of the issued and outstanding Capital Securities held by the Borrower in such Subsidiary to be granted and perfected by the Borrower, in each case in accordance with the Laws of Australia;</w:t>
      </w:r>
    </w:p>
    <w:p>
      <w:pPr>
        <w:spacing w:after="0" w:line="158" w:lineRule="exact"/>
        <w:rPr>
          <w:rFonts w:ascii="Arial" w:cs="Arial" w:eastAsia="Arial" w:hAnsi="Arial"/>
          <w:sz w:val="19"/>
          <w:szCs w:val="19"/>
          <w:color w:val="auto"/>
        </w:rPr>
      </w:pPr>
    </w:p>
    <w:p>
      <w:pPr>
        <w:jc w:val="both"/>
        <w:ind w:left="1140" w:firstLine="740"/>
        <w:spacing w:after="0"/>
        <w:tabs>
          <w:tab w:leader="none" w:pos="2321" w:val="left"/>
        </w:tabs>
        <w:numPr>
          <w:ilvl w:val="0"/>
          <w:numId w:val="81"/>
        </w:numPr>
        <w:rPr>
          <w:rFonts w:ascii="Arial" w:cs="Arial" w:eastAsia="Arial" w:hAnsi="Arial"/>
          <w:sz w:val="22"/>
          <w:szCs w:val="22"/>
          <w:color w:val="auto"/>
        </w:rPr>
      </w:pPr>
      <w:r>
        <w:rPr>
          <w:rFonts w:ascii="Arial" w:cs="Arial" w:eastAsia="Arial" w:hAnsi="Arial"/>
          <w:sz w:val="22"/>
          <w:szCs w:val="22"/>
          <w:color w:val="auto"/>
        </w:rPr>
        <w:t>within 30 days of the Closing Date, the Administrative Agent shall have received evidence that all deposit accounts, lockboxes, disbursement accounts, investment accounts or other similar accounts of the Borrower and each Guarantor are Controlled Accounts (other than Excluded Accounts);</w:t>
      </w:r>
    </w:p>
    <w:p>
      <w:pPr>
        <w:spacing w:after="0" w:line="186" w:lineRule="exact"/>
        <w:rPr>
          <w:rFonts w:ascii="Arial" w:cs="Arial" w:eastAsia="Arial" w:hAnsi="Arial"/>
          <w:sz w:val="22"/>
          <w:szCs w:val="22"/>
          <w:color w:val="auto"/>
        </w:rPr>
      </w:pPr>
    </w:p>
    <w:p>
      <w:pPr>
        <w:ind w:left="1140" w:right="60" w:firstLine="740"/>
        <w:spacing w:after="0" w:line="250" w:lineRule="auto"/>
        <w:tabs>
          <w:tab w:leader="none" w:pos="2321"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within 30 days of the Closing Date, the Borrower shall have delivered insurance endorsements described in </w:t>
      </w:r>
      <w:r>
        <w:rPr>
          <w:rFonts w:ascii="Arial" w:cs="Arial" w:eastAsia="Arial" w:hAnsi="Arial"/>
          <w:sz w:val="22"/>
          <w:szCs w:val="22"/>
          <w:u w:val="single" w:color="auto"/>
          <w:color w:val="auto"/>
        </w:rPr>
        <w:t>Section 7.4</w:t>
      </w:r>
      <w:r>
        <w:rPr>
          <w:rFonts w:ascii="Arial" w:cs="Arial" w:eastAsia="Arial" w:hAnsi="Arial"/>
          <w:sz w:val="22"/>
          <w:szCs w:val="22"/>
          <w:color w:val="auto"/>
        </w:rPr>
        <w:t>, evidencing property and liability</w:t>
      </w:r>
    </w:p>
    <w:p>
      <w:pPr>
        <w:spacing w:after="0" w:line="174" w:lineRule="exact"/>
        <w:rPr>
          <w:rFonts w:ascii="Arial" w:cs="Arial" w:eastAsia="Arial" w:hAnsi="Arial"/>
          <w:sz w:val="22"/>
          <w:szCs w:val="22"/>
          <w:color w:val="auto"/>
        </w:rPr>
      </w:pPr>
    </w:p>
    <w:p>
      <w:pPr>
        <w:ind w:left="5520" w:hanging="130"/>
        <w:spacing w:after="0"/>
        <w:tabs>
          <w:tab w:leader="none" w:pos="5520" w:val="left"/>
        </w:tabs>
        <w:numPr>
          <w:ilvl w:val="1"/>
          <w:numId w:val="81"/>
        </w:numPr>
        <w:rPr>
          <w:rFonts w:ascii="Arial" w:cs="Arial" w:eastAsia="Arial" w:hAnsi="Arial"/>
          <w:sz w:val="22"/>
          <w:szCs w:val="22"/>
          <w:color w:val="auto"/>
        </w:rPr>
      </w:pPr>
      <w:r>
        <w:rPr>
          <w:rFonts w:ascii="Arial" w:cs="Arial" w:eastAsia="Arial" w:hAnsi="Arial"/>
          <w:sz w:val="22"/>
          <w:szCs w:val="22"/>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4" w:name="page95"/>
    <w:bookmarkEnd w:id="94"/>
    <w:p>
      <w:pPr>
        <w:ind w:left="1140" w:right="20"/>
        <w:spacing w:after="0" w:line="250" w:lineRule="auto"/>
        <w:rPr>
          <w:sz w:val="20"/>
          <w:szCs w:val="20"/>
          <w:color w:val="auto"/>
        </w:rPr>
      </w:pPr>
      <w:r>
        <w:rPr>
          <w:rFonts w:ascii="Arial" w:cs="Arial" w:eastAsia="Arial" w:hAnsi="Arial"/>
          <w:sz w:val="22"/>
          <w:szCs w:val="22"/>
          <w:color w:val="auto"/>
        </w:rPr>
        <w:t>coverage required to be maintained pursuant to each Loan Document, with the Administrative Agent named as loss payee or additional insured, as applicable; and</w:t>
      </w:r>
    </w:p>
    <w:p>
      <w:pPr>
        <w:spacing w:after="0" w:line="175" w:lineRule="exact"/>
        <w:rPr>
          <w:sz w:val="20"/>
          <w:szCs w:val="20"/>
          <w:color w:val="auto"/>
        </w:rPr>
      </w:pPr>
    </w:p>
    <w:p>
      <w:pPr>
        <w:ind w:left="1140" w:right="20" w:firstLine="740"/>
        <w:spacing w:after="0" w:line="328" w:lineRule="auto"/>
        <w:tabs>
          <w:tab w:leader="none" w:pos="2321" w:val="left"/>
        </w:tabs>
        <w:numPr>
          <w:ilvl w:val="0"/>
          <w:numId w:val="82"/>
        </w:numPr>
        <w:rPr>
          <w:rFonts w:ascii="Arial" w:cs="Arial" w:eastAsia="Arial" w:hAnsi="Arial"/>
          <w:sz w:val="19"/>
          <w:szCs w:val="19"/>
          <w:color w:val="auto"/>
        </w:rPr>
      </w:pPr>
      <w:r>
        <w:rPr>
          <w:rFonts w:ascii="Arial" w:cs="Arial" w:eastAsia="Arial" w:hAnsi="Arial"/>
          <w:sz w:val="19"/>
          <w:szCs w:val="19"/>
          <w:color w:val="auto"/>
        </w:rPr>
        <w:t>within 20 days of the Closing Date, the Borrower shall have delivered to the Administrative Agent an Intercompany Note (as defined in the Security Agreement) duly executed by the Borrower and the Subsidiaries.</w:t>
      </w:r>
    </w:p>
    <w:p>
      <w:pPr>
        <w:spacing w:after="0" w:line="105"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ARTICLE VIII</w:t>
      </w:r>
    </w:p>
    <w:p>
      <w:pPr>
        <w:spacing w:after="0" w:line="8"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NEGATIVE COVENANTS</w:t>
      </w:r>
    </w:p>
    <w:p>
      <w:pPr>
        <w:spacing w:after="0" w:line="188" w:lineRule="exact"/>
        <w:rPr>
          <w:sz w:val="20"/>
          <w:szCs w:val="20"/>
          <w:color w:val="auto"/>
        </w:rPr>
      </w:pPr>
    </w:p>
    <w:p>
      <w:pPr>
        <w:jc w:val="both"/>
        <w:ind w:right="20" w:firstLine="749"/>
        <w:spacing w:after="0" w:line="328" w:lineRule="auto"/>
        <w:rPr>
          <w:sz w:val="20"/>
          <w:szCs w:val="20"/>
          <w:color w:val="auto"/>
        </w:rPr>
      </w:pPr>
      <w:r>
        <w:rPr>
          <w:rFonts w:ascii="Arial" w:cs="Arial" w:eastAsia="Arial" w:hAnsi="Arial"/>
          <w:sz w:val="19"/>
          <w:szCs w:val="19"/>
          <w:color w:val="auto"/>
        </w:rPr>
        <w:t>The Borrower covenants and agrees with the Administrative Agent and the Lenders that until the Termination Date has occurred, the Borrower and the Subsidiaries will perform or cause to be performed the obligations set forth below.</w:t>
      </w:r>
    </w:p>
    <w:p>
      <w:pPr>
        <w:spacing w:after="0" w:line="10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 xml:space="preserve">SECTION 8.1 </w:t>
      </w:r>
      <w:r>
        <w:rPr>
          <w:rFonts w:ascii="Arial" w:cs="Arial" w:eastAsia="Arial" w:hAnsi="Arial"/>
          <w:sz w:val="21"/>
          <w:szCs w:val="21"/>
          <w:u w:val="single" w:color="auto"/>
          <w:color w:val="auto"/>
        </w:rPr>
        <w:t>Business Activities</w:t>
      </w:r>
      <w:r>
        <w:rPr>
          <w:rFonts w:ascii="Arial" w:cs="Arial" w:eastAsia="Arial" w:hAnsi="Arial"/>
          <w:sz w:val="21"/>
          <w:szCs w:val="21"/>
          <w:color w:val="auto"/>
        </w:rPr>
        <w:t xml:space="preserve">. (a) The Excluded Subsidiaries will not engage in any business activities not permitted by </w:t>
      </w:r>
      <w:r>
        <w:rPr>
          <w:rFonts w:ascii="Arial" w:cs="Arial" w:eastAsia="Arial" w:hAnsi="Arial"/>
          <w:sz w:val="21"/>
          <w:szCs w:val="21"/>
          <w:u w:val="single" w:color="auto"/>
          <w:color w:val="auto"/>
        </w:rPr>
        <w:t>Section 8.16</w:t>
      </w:r>
      <w:r>
        <w:rPr>
          <w:rFonts w:ascii="Arial" w:cs="Arial" w:eastAsia="Arial" w:hAnsi="Arial"/>
          <w:sz w:val="21"/>
          <w:szCs w:val="21"/>
          <w:color w:val="auto"/>
        </w:rPr>
        <w:t xml:space="preserve"> and (b) none of the Borrower or any of the other Subsidiaries will engage in any business activity except those business activities engaged in on the date of this Agreement and activities reasonably incidental thereto and, in each case, reasonable extensions thereof and businesses complementary thereto.</w:t>
      </w:r>
    </w:p>
    <w:p>
      <w:pPr>
        <w:spacing w:after="0" w:line="17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8.2 </w:t>
      </w:r>
      <w:r>
        <w:rPr>
          <w:rFonts w:ascii="Arial" w:cs="Arial" w:eastAsia="Arial" w:hAnsi="Arial"/>
          <w:sz w:val="22"/>
          <w:szCs w:val="22"/>
          <w:u w:val="single" w:color="auto"/>
          <w:color w:val="auto"/>
        </w:rPr>
        <w:t>Indebtedness</w:t>
      </w:r>
      <w:r>
        <w:rPr>
          <w:rFonts w:ascii="Arial" w:cs="Arial" w:eastAsia="Arial" w:hAnsi="Arial"/>
          <w:sz w:val="22"/>
          <w:szCs w:val="22"/>
          <w:color w:val="auto"/>
        </w:rPr>
        <w:t>. None of the Borrower or any of the Subsidiaries will create, incur, assume or permit to exist any Indebtedness, other than:</w:t>
      </w:r>
    </w:p>
    <w:p>
      <w:pPr>
        <w:spacing w:after="0" w:line="175" w:lineRule="exact"/>
        <w:rPr>
          <w:sz w:val="20"/>
          <w:szCs w:val="20"/>
          <w:color w:val="auto"/>
        </w:rPr>
      </w:pPr>
    </w:p>
    <w:p>
      <w:pPr>
        <w:ind w:left="1940" w:hanging="435"/>
        <w:spacing w:after="0"/>
        <w:tabs>
          <w:tab w:leader="none" w:pos="1940" w:val="left"/>
        </w:tabs>
        <w:numPr>
          <w:ilvl w:val="0"/>
          <w:numId w:val="83"/>
        </w:numPr>
        <w:rPr>
          <w:rFonts w:ascii="Arial" w:cs="Arial" w:eastAsia="Arial" w:hAnsi="Arial"/>
          <w:sz w:val="22"/>
          <w:szCs w:val="22"/>
          <w:color w:val="auto"/>
        </w:rPr>
      </w:pPr>
      <w:r>
        <w:rPr>
          <w:rFonts w:ascii="Arial" w:cs="Arial" w:eastAsia="Arial" w:hAnsi="Arial"/>
          <w:sz w:val="22"/>
          <w:szCs w:val="22"/>
          <w:color w:val="auto"/>
        </w:rPr>
        <w:t>Indebtedness in respect of the Obligations;</w:t>
      </w:r>
    </w:p>
    <w:p>
      <w:pPr>
        <w:spacing w:after="0" w:line="206" w:lineRule="exact"/>
        <w:rPr>
          <w:rFonts w:ascii="Arial" w:cs="Arial" w:eastAsia="Arial" w:hAnsi="Arial"/>
          <w:sz w:val="22"/>
          <w:szCs w:val="22"/>
          <w:color w:val="auto"/>
        </w:rPr>
      </w:pPr>
    </w:p>
    <w:p>
      <w:pPr>
        <w:jc w:val="both"/>
        <w:ind w:left="760" w:firstLine="745"/>
        <w:spacing w:after="0"/>
        <w:tabs>
          <w:tab w:leader="none" w:pos="1941"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Indebtedness existing as of the Closing Date which is identified in </w:t>
      </w:r>
      <w:r>
        <w:rPr>
          <w:rFonts w:ascii="Arial" w:cs="Arial" w:eastAsia="Arial" w:hAnsi="Arial"/>
          <w:sz w:val="22"/>
          <w:szCs w:val="22"/>
          <w:u w:val="single" w:color="auto"/>
          <w:color w:val="auto"/>
        </w:rPr>
        <w:t>Schedule 8.2(b)</w:t>
      </w:r>
      <w:r>
        <w:rPr>
          <w:rFonts w:ascii="Arial" w:cs="Arial" w:eastAsia="Arial" w:hAnsi="Arial"/>
          <w:sz w:val="22"/>
          <w:szCs w:val="22"/>
          <w:color w:val="auto"/>
        </w:rPr>
        <w:t>, and refinancing of such Indebtedness in a principal amount not in excess of that which is outstanding on the Closing Date (as such amount has been reduced following the Closing Date);</w:t>
      </w:r>
    </w:p>
    <w:p>
      <w:pPr>
        <w:spacing w:after="0" w:line="186" w:lineRule="exact"/>
        <w:rPr>
          <w:rFonts w:ascii="Arial" w:cs="Arial" w:eastAsia="Arial" w:hAnsi="Arial"/>
          <w:sz w:val="22"/>
          <w:szCs w:val="22"/>
          <w:color w:val="auto"/>
        </w:rPr>
      </w:pPr>
    </w:p>
    <w:p>
      <w:pPr>
        <w:ind w:left="760" w:right="20" w:firstLine="745"/>
        <w:spacing w:after="0" w:line="250" w:lineRule="auto"/>
        <w:tabs>
          <w:tab w:leader="none" w:pos="1941" w:val="left"/>
        </w:tabs>
        <w:numPr>
          <w:ilvl w:val="0"/>
          <w:numId w:val="83"/>
        </w:numPr>
        <w:rPr>
          <w:rFonts w:ascii="Arial" w:cs="Arial" w:eastAsia="Arial" w:hAnsi="Arial"/>
          <w:sz w:val="22"/>
          <w:szCs w:val="22"/>
          <w:color w:val="auto"/>
        </w:rPr>
      </w:pPr>
      <w:r>
        <w:rPr>
          <w:rFonts w:ascii="Arial" w:cs="Arial" w:eastAsia="Arial" w:hAnsi="Arial"/>
          <w:sz w:val="22"/>
          <w:szCs w:val="22"/>
          <w:color w:val="auto"/>
        </w:rPr>
        <w:t>unsecured Indebtedness in respect of performance, surety or appeal bonds provided in the ordinary course of business in an aggregate amount at any time outstanding not to exceed $250,000;</w:t>
      </w:r>
    </w:p>
    <w:p>
      <w:pPr>
        <w:spacing w:after="0" w:line="174" w:lineRule="exact"/>
        <w:rPr>
          <w:rFonts w:ascii="Arial" w:cs="Arial" w:eastAsia="Arial" w:hAnsi="Arial"/>
          <w:sz w:val="22"/>
          <w:szCs w:val="22"/>
          <w:color w:val="auto"/>
        </w:rPr>
      </w:pPr>
    </w:p>
    <w:p>
      <w:pPr>
        <w:ind w:left="760" w:right="60" w:firstLine="745"/>
        <w:spacing w:after="0" w:line="250" w:lineRule="auto"/>
        <w:tabs>
          <w:tab w:leader="none" w:pos="1941" w:val="left"/>
        </w:tabs>
        <w:numPr>
          <w:ilvl w:val="0"/>
          <w:numId w:val="83"/>
        </w:numPr>
        <w:rPr>
          <w:rFonts w:ascii="Arial" w:cs="Arial" w:eastAsia="Arial" w:hAnsi="Arial"/>
          <w:sz w:val="22"/>
          <w:szCs w:val="22"/>
          <w:color w:val="auto"/>
        </w:rPr>
      </w:pPr>
      <w:r>
        <w:rPr>
          <w:rFonts w:ascii="Arial" w:cs="Arial" w:eastAsia="Arial" w:hAnsi="Arial"/>
          <w:sz w:val="22"/>
          <w:szCs w:val="22"/>
          <w:color w:val="auto"/>
        </w:rPr>
        <w:t>Purchase Money Indebtedness and Capitalized Lease Liabilities in a principal amount not to exceed $250,000 in the aggregate outstanding at any time;</w:t>
      </w:r>
    </w:p>
    <w:p>
      <w:pPr>
        <w:spacing w:after="0" w:line="174" w:lineRule="exact"/>
        <w:rPr>
          <w:rFonts w:ascii="Arial" w:cs="Arial" w:eastAsia="Arial" w:hAnsi="Arial"/>
          <w:sz w:val="22"/>
          <w:szCs w:val="22"/>
          <w:color w:val="auto"/>
        </w:rPr>
      </w:pPr>
    </w:p>
    <w:p>
      <w:pPr>
        <w:ind w:left="1940" w:hanging="435"/>
        <w:spacing w:after="0"/>
        <w:tabs>
          <w:tab w:leader="none" w:pos="1940" w:val="left"/>
        </w:tabs>
        <w:numPr>
          <w:ilvl w:val="0"/>
          <w:numId w:val="83"/>
        </w:numPr>
        <w:rPr>
          <w:rFonts w:ascii="Arial" w:cs="Arial" w:eastAsia="Arial" w:hAnsi="Arial"/>
          <w:sz w:val="22"/>
          <w:szCs w:val="22"/>
          <w:color w:val="auto"/>
        </w:rPr>
      </w:pPr>
      <w:r>
        <w:rPr>
          <w:rFonts w:ascii="Arial" w:cs="Arial" w:eastAsia="Arial" w:hAnsi="Arial"/>
          <w:sz w:val="22"/>
          <w:szCs w:val="22"/>
          <w:color w:val="auto"/>
        </w:rPr>
        <w:t>Permitted Subordinated Indebtedness;</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0"/>
          <w:numId w:val="83"/>
        </w:numPr>
        <w:rPr>
          <w:rFonts w:ascii="Arial" w:cs="Arial" w:eastAsia="Arial" w:hAnsi="Arial"/>
          <w:sz w:val="22"/>
          <w:szCs w:val="22"/>
          <w:color w:val="auto"/>
        </w:rPr>
      </w:pPr>
      <w:r>
        <w:rPr>
          <w:rFonts w:ascii="Arial" w:cs="Arial" w:eastAsia="Arial" w:hAnsi="Arial"/>
          <w:sz w:val="22"/>
          <w:szCs w:val="22"/>
          <w:color w:val="auto"/>
        </w:rPr>
        <w:t>Indebtedness of any Guarantor or the Borrower owing to the Borrower or any Guarantor;</w:t>
      </w:r>
    </w:p>
    <w:p>
      <w:pPr>
        <w:spacing w:after="0" w:line="206" w:lineRule="exact"/>
        <w:rPr>
          <w:rFonts w:ascii="Arial" w:cs="Arial" w:eastAsia="Arial" w:hAnsi="Arial"/>
          <w:sz w:val="22"/>
          <w:szCs w:val="22"/>
          <w:color w:val="auto"/>
        </w:rPr>
      </w:pPr>
    </w:p>
    <w:p>
      <w:pPr>
        <w:jc w:val="both"/>
        <w:ind w:left="760" w:firstLine="745"/>
        <w:spacing w:after="0" w:line="287" w:lineRule="auto"/>
        <w:tabs>
          <w:tab w:leader="none" w:pos="1941"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Indebtedness of (i) the Borrower or any Guarantor owing to an Excluded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of such Indebtedness shall be subordinated to the Obligations pursuant to an intercompany debt subordination agreement in a form approved by the Administrative Agent and the Lenders in their reasonable discretion, (ii) any Excluded Subsidiaries owing to the Borrower or any Guarantor in an aggregate principal amount at</w:t>
      </w:r>
    </w:p>
    <w:p>
      <w:pPr>
        <w:spacing w:after="0" w:line="142" w:lineRule="exact"/>
        <w:rPr>
          <w:rFonts w:ascii="Arial" w:cs="Arial" w:eastAsia="Arial" w:hAnsi="Arial"/>
          <w:sz w:val="19"/>
          <w:szCs w:val="19"/>
          <w:color w:val="auto"/>
        </w:rPr>
      </w:pPr>
    </w:p>
    <w:p>
      <w:pPr>
        <w:ind w:left="5520" w:hanging="130"/>
        <w:spacing w:after="0"/>
        <w:tabs>
          <w:tab w:leader="none" w:pos="5520" w:val="left"/>
        </w:tabs>
        <w:numPr>
          <w:ilvl w:val="1"/>
          <w:numId w:val="83"/>
        </w:numPr>
        <w:rPr>
          <w:rFonts w:ascii="Arial" w:cs="Arial" w:eastAsia="Arial" w:hAnsi="Arial"/>
          <w:sz w:val="22"/>
          <w:szCs w:val="22"/>
          <w:color w:val="auto"/>
        </w:rPr>
      </w:pPr>
      <w:r>
        <w:rPr>
          <w:rFonts w:ascii="Arial" w:cs="Arial" w:eastAsia="Arial" w:hAnsi="Arial"/>
          <w:sz w:val="22"/>
          <w:szCs w:val="22"/>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5" w:name="page96"/>
    <w:bookmarkEnd w:id="95"/>
    <w:p>
      <w:pPr>
        <w:jc w:val="both"/>
        <w:ind w:left="760"/>
        <w:spacing w:after="0"/>
        <w:rPr>
          <w:sz w:val="20"/>
          <w:szCs w:val="20"/>
          <w:color w:val="auto"/>
        </w:rPr>
      </w:pPr>
      <w:r>
        <w:rPr>
          <w:rFonts w:ascii="Arial" w:cs="Arial" w:eastAsia="Arial" w:hAnsi="Arial"/>
          <w:sz w:val="22"/>
          <w:szCs w:val="22"/>
          <w:color w:val="auto"/>
        </w:rPr>
        <w:t xml:space="preserve">any time outstanding not to exceed, when combined with outstanding Investments by the Borrower or any Guarantor in or to any Excluded Subsidiary pursuant to </w:t>
      </w:r>
      <w:r>
        <w:rPr>
          <w:rFonts w:ascii="Arial" w:cs="Arial" w:eastAsia="Arial" w:hAnsi="Arial"/>
          <w:sz w:val="22"/>
          <w:szCs w:val="22"/>
          <w:u w:val="single" w:color="auto"/>
          <w:color w:val="auto"/>
        </w:rPr>
        <w:t>Section 8.5(h)</w:t>
      </w:r>
      <w:r>
        <w:rPr>
          <w:rFonts w:ascii="Arial" w:cs="Arial" w:eastAsia="Arial" w:hAnsi="Arial"/>
          <w:sz w:val="22"/>
          <w:szCs w:val="22"/>
          <w:color w:val="auto"/>
        </w:rPr>
        <w:t>, $250,000, and (iii) any Excluded Subsidiary owing to any other Excluded Subsidiary; and</w:t>
      </w:r>
    </w:p>
    <w:p>
      <w:pPr>
        <w:spacing w:after="0" w:line="186" w:lineRule="exact"/>
        <w:rPr>
          <w:sz w:val="20"/>
          <w:szCs w:val="20"/>
          <w:color w:val="auto"/>
        </w:rPr>
      </w:pPr>
    </w:p>
    <w:p>
      <w:pPr>
        <w:ind w:left="760" w:right="20" w:firstLine="745"/>
        <w:spacing w:after="0" w:line="250" w:lineRule="auto"/>
        <w:tabs>
          <w:tab w:leader="none" w:pos="1941" w:val="left"/>
        </w:tabs>
        <w:numPr>
          <w:ilvl w:val="0"/>
          <w:numId w:val="84"/>
        </w:numPr>
        <w:rPr>
          <w:rFonts w:ascii="Arial" w:cs="Arial" w:eastAsia="Arial" w:hAnsi="Arial"/>
          <w:sz w:val="22"/>
          <w:szCs w:val="22"/>
          <w:color w:val="auto"/>
        </w:rPr>
      </w:pPr>
      <w:r>
        <w:rPr>
          <w:rFonts w:ascii="Arial" w:cs="Arial" w:eastAsia="Arial" w:hAnsi="Arial"/>
          <w:sz w:val="22"/>
          <w:szCs w:val="22"/>
          <w:color w:val="auto"/>
        </w:rPr>
        <w:t>other Indebtedness of the Borrower and the Subsidiaries in an aggregate amount at any time outstanding not to exceed $250,000;</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Indebtedness otherwise permitted by </w:t>
      </w:r>
      <w:r>
        <w:rPr>
          <w:rFonts w:ascii="Arial" w:cs="Arial" w:eastAsia="Arial" w:hAnsi="Arial"/>
          <w:sz w:val="22"/>
          <w:szCs w:val="22"/>
          <w:u w:val="single" w:color="auto"/>
          <w:color w:val="auto"/>
        </w:rPr>
        <w:t>clauses (b)</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w:t>
      </w:r>
      <w:r>
        <w:rPr>
          <w:rFonts w:ascii="Arial" w:cs="Arial" w:eastAsia="Arial" w:hAnsi="Arial"/>
          <w:sz w:val="22"/>
          <w:szCs w:val="22"/>
          <w:u w:val="single" w:color="auto"/>
          <w:color w:val="auto"/>
        </w:rPr>
        <w:t>(e)</w:t>
      </w:r>
      <w:r>
        <w:rPr>
          <w:rFonts w:ascii="Arial" w:cs="Arial" w:eastAsia="Arial" w:hAnsi="Arial"/>
          <w:sz w:val="22"/>
          <w:szCs w:val="22"/>
          <w:color w:val="auto"/>
        </w:rPr>
        <w:t xml:space="preserve">, </w:t>
      </w:r>
      <w:r>
        <w:rPr>
          <w:rFonts w:ascii="Arial" w:cs="Arial" w:eastAsia="Arial" w:hAnsi="Arial"/>
          <w:sz w:val="22"/>
          <w:szCs w:val="22"/>
          <w:u w:val="single" w:color="auto"/>
          <w:color w:val="auto"/>
        </w:rPr>
        <w:t>(f)</w:t>
      </w:r>
      <w:r>
        <w:rPr>
          <w:rFonts w:ascii="Arial" w:cs="Arial" w:eastAsia="Arial" w:hAnsi="Arial"/>
          <w:sz w:val="22"/>
          <w:szCs w:val="22"/>
          <w:color w:val="auto"/>
        </w:rPr>
        <w:t xml:space="preserve">, </w:t>
      </w:r>
      <w:r>
        <w:rPr>
          <w:rFonts w:ascii="Arial" w:cs="Arial" w:eastAsia="Arial" w:hAnsi="Arial"/>
          <w:sz w:val="22"/>
          <w:szCs w:val="22"/>
          <w:u w:val="single" w:color="auto"/>
          <w:color w:val="auto"/>
        </w:rPr>
        <w:t>(g)</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(h)</w:t>
      </w:r>
      <w:r>
        <w:rPr>
          <w:rFonts w:ascii="Arial" w:cs="Arial" w:eastAsia="Arial" w:hAnsi="Arial"/>
          <w:sz w:val="22"/>
          <w:szCs w:val="22"/>
          <w:color w:val="auto"/>
        </w:rPr>
        <w:t xml:space="preserve"> shall be assumed, created or otherwise incurred if a Default has occurred and is then continuing or would result therefrom.</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8.3 </w:t>
      </w:r>
      <w:r>
        <w:rPr>
          <w:rFonts w:ascii="Arial" w:cs="Arial" w:eastAsia="Arial" w:hAnsi="Arial"/>
          <w:sz w:val="22"/>
          <w:szCs w:val="22"/>
          <w:u w:val="single" w:color="auto"/>
          <w:color w:val="auto"/>
        </w:rPr>
        <w:t>Liens</w:t>
      </w:r>
      <w:r>
        <w:rPr>
          <w:rFonts w:ascii="Arial" w:cs="Arial" w:eastAsia="Arial" w:hAnsi="Arial"/>
          <w:sz w:val="22"/>
          <w:szCs w:val="22"/>
          <w:color w:val="auto"/>
        </w:rPr>
        <w:t>. None of the Borrower or any of the Subsidiaries will create, incur, assume or permit to exist any Lien upon any of its property (including Capital Securities of any Person), revenues or assets, whether now owned or hereafter acquired, except:</w:t>
      </w:r>
    </w:p>
    <w:p>
      <w:pPr>
        <w:spacing w:after="0" w:line="186" w:lineRule="exact"/>
        <w:rPr>
          <w:sz w:val="20"/>
          <w:szCs w:val="20"/>
          <w:color w:val="auto"/>
        </w:rPr>
      </w:pPr>
    </w:p>
    <w:p>
      <w:pPr>
        <w:ind w:left="1940" w:hanging="435"/>
        <w:spacing w:after="0"/>
        <w:tabs>
          <w:tab w:leader="none" w:pos="19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Liens securing payment of the Obligations;</w:t>
      </w:r>
    </w:p>
    <w:p>
      <w:pPr>
        <w:spacing w:after="0" w:line="206" w:lineRule="exact"/>
        <w:rPr>
          <w:rFonts w:ascii="Arial" w:cs="Arial" w:eastAsia="Arial" w:hAnsi="Arial"/>
          <w:sz w:val="22"/>
          <w:szCs w:val="22"/>
          <w:color w:val="auto"/>
        </w:rPr>
      </w:pPr>
    </w:p>
    <w:p>
      <w:pPr>
        <w:jc w:val="both"/>
        <w:ind w:left="760" w:firstLine="745"/>
        <w:spacing w:after="0" w:line="287" w:lineRule="auto"/>
        <w:tabs>
          <w:tab w:leader="none" w:pos="1941"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Liens existing as of the Closing Date and disclosed in </w:t>
      </w:r>
      <w:r>
        <w:rPr>
          <w:rFonts w:ascii="Arial" w:cs="Arial" w:eastAsia="Arial" w:hAnsi="Arial"/>
          <w:sz w:val="19"/>
          <w:szCs w:val="19"/>
          <w:u w:val="single" w:color="auto"/>
          <w:color w:val="auto"/>
        </w:rPr>
        <w:t>Schedule 8.3(b)</w:t>
      </w:r>
      <w:r>
        <w:rPr>
          <w:rFonts w:ascii="Arial" w:cs="Arial" w:eastAsia="Arial" w:hAnsi="Arial"/>
          <w:sz w:val="19"/>
          <w:szCs w:val="19"/>
          <w:color w:val="auto"/>
        </w:rPr>
        <w:t xml:space="preserve"> securing Indebtedness described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and refinancings of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Lien shall encumber any additional property and the amount of Indebtedness secured by such Lien is not increased from that existing on the Closing Date (as such Indebtedness may have been permanently reduced subsequent to the Closing Date);</w:t>
      </w:r>
    </w:p>
    <w:p>
      <w:pPr>
        <w:spacing w:after="0" w:line="142" w:lineRule="exact"/>
        <w:rPr>
          <w:rFonts w:ascii="Arial" w:cs="Arial" w:eastAsia="Arial" w:hAnsi="Arial"/>
          <w:sz w:val="19"/>
          <w:szCs w:val="19"/>
          <w:color w:val="auto"/>
        </w:rPr>
      </w:pPr>
    </w:p>
    <w:p>
      <w:pPr>
        <w:jc w:val="both"/>
        <w:ind w:left="760" w:firstLine="745"/>
        <w:spacing w:after="0" w:line="297" w:lineRule="auto"/>
        <w:tabs>
          <w:tab w:leader="none" w:pos="1941"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Liens securing Indebtedness of the Borrower or the Subsidiaries permitted pursuant to </w:t>
      </w:r>
      <w:r>
        <w:rPr>
          <w:rFonts w:ascii="Arial" w:cs="Arial" w:eastAsia="Arial" w:hAnsi="Arial"/>
          <w:sz w:val="19"/>
          <w:szCs w:val="19"/>
          <w:u w:val="single" w:color="auto"/>
          <w:color w:val="auto"/>
        </w:rPr>
        <w:t>Section 8.2(d)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shall be created substantially simultaneously with the acquisition of the assets financed with such Indebtedness and (ii) such Liens do not at any time encumber any property other than the property so financed);</w:t>
      </w:r>
    </w:p>
    <w:p>
      <w:pPr>
        <w:spacing w:after="0" w:line="133" w:lineRule="exact"/>
        <w:rPr>
          <w:rFonts w:ascii="Arial" w:cs="Arial" w:eastAsia="Arial" w:hAnsi="Arial"/>
          <w:sz w:val="19"/>
          <w:szCs w:val="19"/>
          <w:color w:val="auto"/>
        </w:rPr>
      </w:pPr>
    </w:p>
    <w:p>
      <w:pPr>
        <w:jc w:val="both"/>
        <w:ind w:left="760" w:firstLine="745"/>
        <w:spacing w:after="0" w:line="257" w:lineRule="auto"/>
        <w:tabs>
          <w:tab w:leader="none" w:pos="1941" w:val="left"/>
        </w:tabs>
        <w:numPr>
          <w:ilvl w:val="0"/>
          <w:numId w:val="85"/>
        </w:numPr>
        <w:rPr>
          <w:rFonts w:ascii="Arial" w:cs="Arial" w:eastAsia="Arial" w:hAnsi="Arial"/>
          <w:sz w:val="21"/>
          <w:szCs w:val="21"/>
          <w:color w:val="auto"/>
        </w:rPr>
      </w:pPr>
      <w:r>
        <w:rPr>
          <w:rFonts w:ascii="Arial" w:cs="Arial" w:eastAsia="Arial" w:hAnsi="Arial"/>
          <w:sz w:val="21"/>
          <w:szCs w:val="21"/>
          <w:color w:val="auto"/>
        </w:rPr>
        <w:t>Liens in favor of carriers, warehousemen, mechanics, materialmen and landlords granted in the ordinary course of business for amounts not overdue or being diligently contested in good faith by appropriate proceedings and for which adequate reserves in accordance with GAAP shall have been set aside on its books;</w:t>
      </w:r>
    </w:p>
    <w:p>
      <w:pPr>
        <w:spacing w:after="0" w:line="169" w:lineRule="exact"/>
        <w:rPr>
          <w:rFonts w:ascii="Arial" w:cs="Arial" w:eastAsia="Arial" w:hAnsi="Arial"/>
          <w:sz w:val="21"/>
          <w:szCs w:val="21"/>
          <w:color w:val="auto"/>
        </w:rPr>
      </w:pPr>
    </w:p>
    <w:p>
      <w:pPr>
        <w:jc w:val="both"/>
        <w:ind w:left="760" w:firstLine="745"/>
        <w:spacing w:after="0" w:line="287" w:lineRule="auto"/>
        <w:tabs>
          <w:tab w:leader="none" w:pos="1941" w:val="left"/>
        </w:tabs>
        <w:numPr>
          <w:ilvl w:val="0"/>
          <w:numId w:val="85"/>
        </w:numPr>
        <w:rPr>
          <w:rFonts w:ascii="Arial" w:cs="Arial" w:eastAsia="Arial" w:hAnsi="Arial"/>
          <w:sz w:val="19"/>
          <w:szCs w:val="19"/>
          <w:color w:val="auto"/>
        </w:rPr>
      </w:pPr>
      <w:r>
        <w:rPr>
          <w:rFonts w:ascii="Arial" w:cs="Arial" w:eastAsia="Arial" w:hAnsi="Arial"/>
          <w:sz w:val="19"/>
          <w:szCs w:val="19"/>
          <w:color w:val="auto"/>
        </w:rPr>
        <w:t>Liens incurred or deposits made in the ordinary course of business in connection with worker’s compensation, unemployment insurance or other forms of governmental insurance or benefits, or to secure performance of tenders, statutory obligations, bids, leases or other similar obligations (other than for borrowed money) entered into in the ordinary course of business or to secure obligations on surety and appeal bonds or performance bonds;</w:t>
      </w:r>
    </w:p>
    <w:p>
      <w:pPr>
        <w:spacing w:after="0" w:line="142" w:lineRule="exact"/>
        <w:rPr>
          <w:rFonts w:ascii="Arial" w:cs="Arial" w:eastAsia="Arial" w:hAnsi="Arial"/>
          <w:sz w:val="19"/>
          <w:szCs w:val="19"/>
          <w:color w:val="auto"/>
        </w:rPr>
      </w:pPr>
    </w:p>
    <w:p>
      <w:pPr>
        <w:jc w:val="both"/>
        <w:ind w:left="760" w:firstLine="745"/>
        <w:spacing w:after="0" w:line="297" w:lineRule="auto"/>
        <w:tabs>
          <w:tab w:leader="none" w:pos="1941"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judgment Liens in existence for less than 45 days after the entry thereof or with respect to which execution has been stayed or the payment of which is covered in full (subject to a customary deductible) by insurance maintained with responsible insurance companies and which do not otherwise result in an Event of Default under </w:t>
      </w:r>
      <w:r>
        <w:rPr>
          <w:rFonts w:ascii="Arial" w:cs="Arial" w:eastAsia="Arial" w:hAnsi="Arial"/>
          <w:sz w:val="19"/>
          <w:szCs w:val="19"/>
          <w:u w:val="single" w:color="auto"/>
          <w:color w:val="auto"/>
        </w:rPr>
        <w:t>Section 9.1(f)</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ind w:left="5520" w:hanging="130"/>
        <w:spacing w:after="0"/>
        <w:tabs>
          <w:tab w:leader="none" w:pos="5520" w:val="left"/>
        </w:tabs>
        <w:numPr>
          <w:ilvl w:val="1"/>
          <w:numId w:val="85"/>
        </w:numPr>
        <w:rPr>
          <w:rFonts w:ascii="Arial" w:cs="Arial" w:eastAsia="Arial" w:hAnsi="Arial"/>
          <w:sz w:val="22"/>
          <w:szCs w:val="22"/>
          <w:color w:val="auto"/>
        </w:rPr>
      </w:pPr>
      <w:r>
        <w:rPr>
          <w:rFonts w:ascii="Arial" w:cs="Arial" w:eastAsia="Arial" w:hAnsi="Arial"/>
          <w:sz w:val="22"/>
          <w:szCs w:val="22"/>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6" w:name="page97"/>
    <w:bookmarkEnd w:id="96"/>
    <w:p>
      <w:pPr>
        <w:jc w:val="both"/>
        <w:ind w:left="760" w:firstLine="745"/>
        <w:spacing w:after="0" w:line="328" w:lineRule="auto"/>
        <w:tabs>
          <w:tab w:leader="none" w:pos="1941" w:val="left"/>
        </w:tabs>
        <w:numPr>
          <w:ilvl w:val="0"/>
          <w:numId w:val="86"/>
        </w:numPr>
        <w:rPr>
          <w:rFonts w:ascii="Arial" w:cs="Arial" w:eastAsia="Arial" w:hAnsi="Arial"/>
          <w:sz w:val="19"/>
          <w:szCs w:val="19"/>
          <w:color w:val="auto"/>
        </w:rPr>
      </w:pPr>
      <w:r>
        <w:rPr>
          <w:rFonts w:ascii="Arial" w:cs="Arial" w:eastAsia="Arial" w:hAnsi="Arial"/>
          <w:sz w:val="19"/>
          <w:szCs w:val="19"/>
          <w:color w:val="auto"/>
        </w:rPr>
        <w:t>easements, rights-of-way, zoning restrictions, minor defects or irregularities in title and other similar encumbrances not interfering in any material respect with the value or use of the property to which such Lien is attached;</w:t>
      </w:r>
    </w:p>
    <w:p>
      <w:pPr>
        <w:spacing w:after="0" w:line="104" w:lineRule="exact"/>
        <w:rPr>
          <w:rFonts w:ascii="Arial" w:cs="Arial" w:eastAsia="Arial" w:hAnsi="Arial"/>
          <w:sz w:val="19"/>
          <w:szCs w:val="19"/>
          <w:color w:val="auto"/>
        </w:rPr>
      </w:pPr>
    </w:p>
    <w:p>
      <w:pPr>
        <w:jc w:val="both"/>
        <w:ind w:left="760" w:firstLine="745"/>
        <w:spacing w:after="0" w:line="257" w:lineRule="auto"/>
        <w:tabs>
          <w:tab w:leader="none" w:pos="1941" w:val="left"/>
        </w:tabs>
        <w:numPr>
          <w:ilvl w:val="0"/>
          <w:numId w:val="86"/>
        </w:numPr>
        <w:rPr>
          <w:rFonts w:ascii="Arial" w:cs="Arial" w:eastAsia="Arial" w:hAnsi="Arial"/>
          <w:sz w:val="21"/>
          <w:szCs w:val="21"/>
          <w:color w:val="auto"/>
        </w:rPr>
      </w:pPr>
      <w:r>
        <w:rPr>
          <w:rFonts w:ascii="Arial" w:cs="Arial" w:eastAsia="Arial" w:hAnsi="Arial"/>
          <w:sz w:val="21"/>
          <w:szCs w:val="21"/>
          <w:color w:val="auto"/>
        </w:rPr>
        <w:t>Liens for Taxes (i) not at the time delinquent or thereafter payable without penalty, (ii) permitted to be unpaid pursuant to Section 7.2, or (iii) being diligently contested in good faith by appropriate proceedings and for which adequate reserves in accordance with GAAP shall have been set aside on its books;</w:t>
      </w:r>
    </w:p>
    <w:p>
      <w:pPr>
        <w:spacing w:after="0" w:line="169" w:lineRule="exact"/>
        <w:rPr>
          <w:rFonts w:ascii="Arial" w:cs="Arial" w:eastAsia="Arial" w:hAnsi="Arial"/>
          <w:sz w:val="21"/>
          <w:szCs w:val="21"/>
          <w:color w:val="auto"/>
        </w:rPr>
      </w:pPr>
    </w:p>
    <w:p>
      <w:pPr>
        <w:jc w:val="both"/>
        <w:ind w:left="760" w:firstLine="745"/>
        <w:spacing w:after="0"/>
        <w:tabs>
          <w:tab w:leader="none" w:pos="1941" w:val="left"/>
        </w:tabs>
        <w:numPr>
          <w:ilvl w:val="0"/>
          <w:numId w:val="86"/>
        </w:numPr>
        <w:rPr>
          <w:rFonts w:ascii="Arial" w:cs="Arial" w:eastAsia="Arial" w:hAnsi="Arial"/>
          <w:sz w:val="22"/>
          <w:szCs w:val="22"/>
          <w:color w:val="auto"/>
        </w:rPr>
      </w:pPr>
      <w:r>
        <w:rPr>
          <w:rFonts w:ascii="Arial" w:cs="Arial" w:eastAsia="Arial" w:hAnsi="Arial"/>
          <w:sz w:val="22"/>
          <w:szCs w:val="22"/>
          <w:color w:val="auto"/>
        </w:rPr>
        <w:t>licenses and/or sublicenses of Intellectual Property otherwise permitted under this Agreement or the other Loan Documents, and restrictions under licenses of Intellectual Property entered into in the ordinary course of business pursuant to which the Borrower or any Subsidiary is a licensee; and</w:t>
      </w:r>
    </w:p>
    <w:p>
      <w:pPr>
        <w:spacing w:after="0" w:line="186" w:lineRule="exact"/>
        <w:rPr>
          <w:rFonts w:ascii="Arial" w:cs="Arial" w:eastAsia="Arial" w:hAnsi="Arial"/>
          <w:sz w:val="22"/>
          <w:szCs w:val="22"/>
          <w:color w:val="auto"/>
        </w:rPr>
      </w:pPr>
    </w:p>
    <w:p>
      <w:pPr>
        <w:jc w:val="both"/>
        <w:ind w:left="760" w:firstLine="745"/>
        <w:spacing w:after="0" w:line="238" w:lineRule="auto"/>
        <w:tabs>
          <w:tab w:leader="none" w:pos="1941"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banker’s liens, rights of setoff and Liens in favor of financial institutions incurred made in the ordinary course of business arising in connection with the Borrower’s or any Subsidiary’s deposit accounts or securities accounts held at such institutions to secure solely payment of fees and similar costs and expenses and provided such accounts are maintained in compliance with </w:t>
      </w:r>
      <w:r>
        <w:rPr>
          <w:rFonts w:ascii="Arial" w:cs="Arial" w:eastAsia="Arial" w:hAnsi="Arial"/>
          <w:sz w:val="22"/>
          <w:szCs w:val="22"/>
          <w:u w:val="single" w:color="auto"/>
          <w:color w:val="auto"/>
        </w:rPr>
        <w:t>Section 7.12(a)</w:t>
      </w:r>
      <w:r>
        <w:rPr>
          <w:rFonts w:ascii="Arial" w:cs="Arial" w:eastAsia="Arial" w:hAnsi="Arial"/>
          <w:sz w:val="22"/>
          <w:szCs w:val="22"/>
          <w:color w:val="auto"/>
        </w:rPr>
        <w:t xml:space="preserve"> hereof.</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8.4 </w:t>
      </w:r>
      <w:r>
        <w:rPr>
          <w:rFonts w:ascii="Arial" w:cs="Arial" w:eastAsia="Arial" w:hAnsi="Arial"/>
          <w:sz w:val="22"/>
          <w:szCs w:val="22"/>
          <w:u w:val="single" w:color="auto"/>
          <w:color w:val="auto"/>
        </w:rPr>
        <w:t>Financial Covenant</w:t>
      </w:r>
      <w:r>
        <w:rPr>
          <w:rFonts w:ascii="Arial" w:cs="Arial" w:eastAsia="Arial" w:hAnsi="Arial"/>
          <w:sz w:val="22"/>
          <w:szCs w:val="22"/>
          <w:color w:val="auto"/>
        </w:rPr>
        <w:t xml:space="preserve">. The Liquidity shall not as of the last day of any Fiscal Quarter be less than $10,000,000. The Liquidity required under this </w:t>
      </w:r>
      <w:r>
        <w:rPr>
          <w:rFonts w:ascii="Arial" w:cs="Arial" w:eastAsia="Arial" w:hAnsi="Arial"/>
          <w:sz w:val="22"/>
          <w:szCs w:val="22"/>
          <w:u w:val="single" w:color="auto"/>
          <w:color w:val="auto"/>
        </w:rPr>
        <w:t>Section 8.4</w:t>
      </w:r>
      <w:r>
        <w:rPr>
          <w:rFonts w:ascii="Arial" w:cs="Arial" w:eastAsia="Arial" w:hAnsi="Arial"/>
          <w:sz w:val="22"/>
          <w:szCs w:val="22"/>
          <w:color w:val="auto"/>
        </w:rPr>
        <w:t xml:space="preserve"> shall be held in one or more Controlled Accounts located in the United States as required pursuant to </w:t>
      </w:r>
      <w:r>
        <w:rPr>
          <w:rFonts w:ascii="Arial" w:cs="Arial" w:eastAsia="Arial" w:hAnsi="Arial"/>
          <w:sz w:val="22"/>
          <w:szCs w:val="22"/>
          <w:u w:val="single" w:color="auto"/>
          <w:color w:val="auto"/>
        </w:rPr>
        <w:t>Section 7.12(a)</w:t>
      </w:r>
      <w:r>
        <w:rPr>
          <w:rFonts w:ascii="Arial" w:cs="Arial" w:eastAsia="Arial" w:hAnsi="Arial"/>
          <w:sz w:val="22"/>
          <w:szCs w:val="22"/>
          <w:color w:val="auto"/>
        </w:rPr>
        <w:t xml:space="preserve"> hereof.</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8.5 </w:t>
      </w:r>
      <w:r>
        <w:rPr>
          <w:rFonts w:ascii="Arial" w:cs="Arial" w:eastAsia="Arial" w:hAnsi="Arial"/>
          <w:sz w:val="22"/>
          <w:szCs w:val="22"/>
          <w:u w:val="single" w:color="auto"/>
          <w:color w:val="auto"/>
        </w:rPr>
        <w:t>Investments</w:t>
      </w:r>
      <w:r>
        <w:rPr>
          <w:rFonts w:ascii="Arial" w:cs="Arial" w:eastAsia="Arial" w:hAnsi="Arial"/>
          <w:sz w:val="22"/>
          <w:szCs w:val="22"/>
          <w:color w:val="auto"/>
        </w:rPr>
        <w:t>. None of the Borrower or any of the Subsidiaries will purchase, make, incur, assume or permit to exist any Investment in any other Person, except:</w:t>
      </w:r>
    </w:p>
    <w:p>
      <w:pPr>
        <w:spacing w:after="0" w:line="175" w:lineRule="exact"/>
        <w:rPr>
          <w:sz w:val="20"/>
          <w:szCs w:val="20"/>
          <w:color w:val="auto"/>
        </w:rPr>
      </w:pPr>
    </w:p>
    <w:p>
      <w:pPr>
        <w:ind w:left="1940" w:hanging="435"/>
        <w:spacing w:after="0"/>
        <w:tabs>
          <w:tab w:leader="none" w:pos="19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Investments existing on the Closing Date and identified in </w:t>
      </w:r>
      <w:r>
        <w:rPr>
          <w:rFonts w:ascii="Arial" w:cs="Arial" w:eastAsia="Arial" w:hAnsi="Arial"/>
          <w:sz w:val="22"/>
          <w:szCs w:val="22"/>
          <w:u w:val="single" w:color="auto"/>
          <w:color w:val="auto"/>
        </w:rPr>
        <w:t>Schedule 8.5(a)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Cash Equivalent Investments;</w:t>
      </w:r>
    </w:p>
    <w:p>
      <w:pPr>
        <w:spacing w:after="0" w:line="206" w:lineRule="exact"/>
        <w:rPr>
          <w:rFonts w:ascii="Arial" w:cs="Arial" w:eastAsia="Arial" w:hAnsi="Arial"/>
          <w:sz w:val="22"/>
          <w:szCs w:val="22"/>
          <w:color w:val="auto"/>
        </w:rPr>
      </w:pPr>
    </w:p>
    <w:p>
      <w:pPr>
        <w:ind w:left="760" w:right="20" w:firstLine="745"/>
        <w:spacing w:after="0" w:line="328" w:lineRule="auto"/>
        <w:tabs>
          <w:tab w:leader="none" w:pos="1941"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Investments received in connection with the bankruptcy or reorganization of, or settlement of delinquent accounts and disputes with, customers and suppliers, in each case in the ordinary course of business;</w:t>
      </w:r>
    </w:p>
    <w:p>
      <w:pPr>
        <w:spacing w:after="0" w:line="104" w:lineRule="exact"/>
        <w:rPr>
          <w:rFonts w:ascii="Arial" w:cs="Arial" w:eastAsia="Arial" w:hAnsi="Arial"/>
          <w:sz w:val="19"/>
          <w:szCs w:val="19"/>
          <w:color w:val="auto"/>
        </w:rPr>
      </w:pPr>
    </w:p>
    <w:p>
      <w:pPr>
        <w:ind w:left="760" w:right="20" w:firstLine="745"/>
        <w:spacing w:after="0" w:line="250" w:lineRule="auto"/>
        <w:tabs>
          <w:tab w:leader="none" w:pos="1941"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Investments consisting of any deferred portion of the sales price received by the Borrower or any of the Subsidiaries in connection with any Disposition permitted under </w:t>
      </w:r>
      <w:r>
        <w:rPr>
          <w:rFonts w:ascii="Arial" w:cs="Arial" w:eastAsia="Arial" w:hAnsi="Arial"/>
          <w:sz w:val="22"/>
          <w:szCs w:val="22"/>
          <w:u w:val="single" w:color="auto"/>
          <w:color w:val="auto"/>
        </w:rPr>
        <w:t>Section 8.8</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760" w:right="40" w:firstLine="745"/>
        <w:spacing w:after="0" w:line="328" w:lineRule="auto"/>
        <w:tabs>
          <w:tab w:leader="none" w:pos="1941"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Investments constituting (i) accounts receivable arising, (ii) trade debt granted, or (iii) deposits made in connection with the purchase price of goods or services, in each case in the ordinary course of business;</w:t>
      </w:r>
    </w:p>
    <w:p>
      <w:pPr>
        <w:spacing w:after="0" w:line="104" w:lineRule="exact"/>
        <w:rPr>
          <w:rFonts w:ascii="Arial" w:cs="Arial" w:eastAsia="Arial" w:hAnsi="Arial"/>
          <w:sz w:val="19"/>
          <w:szCs w:val="19"/>
          <w:color w:val="auto"/>
        </w:rPr>
      </w:pPr>
    </w:p>
    <w:p>
      <w:pPr>
        <w:ind w:left="1940" w:hanging="435"/>
        <w:spacing w:after="0"/>
        <w:tabs>
          <w:tab w:leader="none" w:pos="19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Permitted Acquisitions;</w:t>
      </w:r>
    </w:p>
    <w:p>
      <w:pPr>
        <w:spacing w:after="0" w:line="206" w:lineRule="exact"/>
        <w:rPr>
          <w:rFonts w:ascii="Arial" w:cs="Arial" w:eastAsia="Arial" w:hAnsi="Arial"/>
          <w:sz w:val="22"/>
          <w:szCs w:val="22"/>
          <w:color w:val="auto"/>
        </w:rPr>
      </w:pPr>
    </w:p>
    <w:p>
      <w:pPr>
        <w:ind w:left="5520" w:hanging="130"/>
        <w:spacing w:after="0"/>
        <w:tabs>
          <w:tab w:leader="none" w:pos="5520" w:val="left"/>
        </w:tabs>
        <w:numPr>
          <w:ilvl w:val="1"/>
          <w:numId w:val="87"/>
        </w:numPr>
        <w:rPr>
          <w:rFonts w:ascii="Arial" w:cs="Arial" w:eastAsia="Arial" w:hAnsi="Arial"/>
          <w:sz w:val="22"/>
          <w:szCs w:val="22"/>
          <w:color w:val="auto"/>
        </w:rPr>
      </w:pPr>
      <w:r>
        <w:rPr>
          <w:rFonts w:ascii="Arial" w:cs="Arial" w:eastAsia="Arial" w:hAnsi="Arial"/>
          <w:sz w:val="22"/>
          <w:szCs w:val="22"/>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7" w:name="page98"/>
    <w:bookmarkEnd w:id="97"/>
    <w:p>
      <w:pPr>
        <w:ind w:left="1940" w:hanging="435"/>
        <w:spacing w:after="0"/>
        <w:tabs>
          <w:tab w:leader="none" w:pos="19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Investments by the Borrower or any Guarantor in the Borrower or any Guarantor;</w:t>
      </w:r>
    </w:p>
    <w:p>
      <w:pPr>
        <w:spacing w:after="0" w:line="206" w:lineRule="exact"/>
        <w:rPr>
          <w:rFonts w:ascii="Arial" w:cs="Arial" w:eastAsia="Arial" w:hAnsi="Arial"/>
          <w:sz w:val="22"/>
          <w:szCs w:val="22"/>
          <w:color w:val="auto"/>
        </w:rPr>
      </w:pPr>
    </w:p>
    <w:p>
      <w:pPr>
        <w:jc w:val="both"/>
        <w:ind w:left="760" w:firstLine="745"/>
        <w:spacing w:after="0" w:line="236" w:lineRule="auto"/>
        <w:tabs>
          <w:tab w:leader="none" w:pos="1941"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Investments by the Borrower or any Guarantor in any Excluded Subsidiary (i) made prior to the Closing Date and set forth on </w:t>
      </w:r>
      <w:r>
        <w:rPr>
          <w:rFonts w:ascii="Arial" w:cs="Arial" w:eastAsia="Arial" w:hAnsi="Arial"/>
          <w:sz w:val="22"/>
          <w:szCs w:val="22"/>
          <w:u w:val="single" w:color="auto"/>
          <w:color w:val="auto"/>
        </w:rPr>
        <w:t>Schedule 8.5(h)</w:t>
      </w:r>
      <w:r>
        <w:rPr>
          <w:rFonts w:ascii="Arial" w:cs="Arial" w:eastAsia="Arial" w:hAnsi="Arial"/>
          <w:sz w:val="22"/>
          <w:szCs w:val="22"/>
          <w:color w:val="auto"/>
        </w:rPr>
        <w:t xml:space="preserve"> and (ii) made on or following the Closing Date, in an aggregate amount at any time outstanding not to exceed, when combined with any outstanding Indebtedness of any Excluded Subsidiary owing to the Borrower or any Guarantor pursuant to </w:t>
      </w:r>
      <w:r>
        <w:rPr>
          <w:rFonts w:ascii="Arial" w:cs="Arial" w:eastAsia="Arial" w:hAnsi="Arial"/>
          <w:sz w:val="22"/>
          <w:szCs w:val="22"/>
          <w:u w:val="single" w:color="auto"/>
          <w:color w:val="auto"/>
        </w:rPr>
        <w:t>Section 8.2(g)</w:t>
      </w:r>
      <w:r>
        <w:rPr>
          <w:rFonts w:ascii="Arial" w:cs="Arial" w:eastAsia="Arial" w:hAnsi="Arial"/>
          <w:sz w:val="22"/>
          <w:szCs w:val="22"/>
          <w:color w:val="auto"/>
        </w:rPr>
        <w:t xml:space="preserve">, $250,000 and subject to the limitations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7.12(a)(i)(B)</w:t>
      </w:r>
      <w:r>
        <w:rPr>
          <w:rFonts w:ascii="Arial" w:cs="Arial" w:eastAsia="Arial" w:hAnsi="Arial"/>
          <w:sz w:val="22"/>
          <w:szCs w:val="22"/>
          <w:color w:val="auto"/>
        </w:rPr>
        <w:t>; and</w:t>
      </w:r>
    </w:p>
    <w:p>
      <w:pPr>
        <w:spacing w:after="0" w:line="187" w:lineRule="exact"/>
        <w:rPr>
          <w:rFonts w:ascii="Arial" w:cs="Arial" w:eastAsia="Arial" w:hAnsi="Arial"/>
          <w:sz w:val="22"/>
          <w:szCs w:val="22"/>
          <w:color w:val="auto"/>
        </w:rPr>
      </w:pPr>
    </w:p>
    <w:p>
      <w:pPr>
        <w:ind w:left="760" w:right="20" w:firstLine="745"/>
        <w:spacing w:after="0" w:line="250" w:lineRule="auto"/>
        <w:tabs>
          <w:tab w:leader="none" w:pos="1941" w:val="left"/>
        </w:tabs>
        <w:numPr>
          <w:ilvl w:val="0"/>
          <w:numId w:val="88"/>
        </w:numPr>
        <w:rPr>
          <w:rFonts w:ascii="Arial" w:cs="Arial" w:eastAsia="Arial" w:hAnsi="Arial"/>
          <w:sz w:val="22"/>
          <w:szCs w:val="22"/>
          <w:color w:val="auto"/>
        </w:rPr>
      </w:pPr>
      <w:r>
        <w:rPr>
          <w:rFonts w:ascii="Arial" w:cs="Arial" w:eastAsia="Arial" w:hAnsi="Arial"/>
          <w:sz w:val="22"/>
          <w:szCs w:val="22"/>
          <w:color w:val="auto"/>
        </w:rPr>
        <w:t>other Investments with respect to which either (i) the Lenders have approved in their sole discretion or (ii) do not to exceed $250,000 in the aggregate over the term of this Agreement.</w:t>
      </w:r>
    </w:p>
    <w:p>
      <w:pPr>
        <w:spacing w:after="0" w:line="17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8.6 </w:t>
      </w:r>
      <w:r>
        <w:rPr>
          <w:rFonts w:ascii="Arial" w:cs="Arial" w:eastAsia="Arial" w:hAnsi="Arial"/>
          <w:sz w:val="22"/>
          <w:szCs w:val="22"/>
          <w:u w:val="single" w:color="auto"/>
          <w:color w:val="auto"/>
        </w:rPr>
        <w:t>Restricted Payments, Etc</w:t>
      </w:r>
      <w:r>
        <w:rPr>
          <w:rFonts w:ascii="Arial" w:cs="Arial" w:eastAsia="Arial" w:hAnsi="Arial"/>
          <w:sz w:val="22"/>
          <w:szCs w:val="22"/>
          <w:color w:val="auto"/>
        </w:rPr>
        <w:t>. None of the Borrower or any of the Subsidiaries will declare or make a Restricted Payment, or make any deposit for any Restricted Payment or make a payment or prepayment of principal of, premium, if any, interest, fees, redemption, exchange, purchase, retirement, defeasance, sinking fund or similar payment with respect to any Permitted Subordinated Indebtedness, other than:</w:t>
      </w:r>
    </w:p>
    <w:p>
      <w:pPr>
        <w:spacing w:after="0" w:line="185" w:lineRule="exact"/>
        <w:rPr>
          <w:sz w:val="20"/>
          <w:szCs w:val="20"/>
          <w:color w:val="auto"/>
        </w:rPr>
      </w:pPr>
    </w:p>
    <w:p>
      <w:pPr>
        <w:ind w:left="1940" w:hanging="435"/>
        <w:spacing w:after="0"/>
        <w:tabs>
          <w:tab w:leader="none" w:pos="19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Restricted Payments made by the Borrower or the Subsidiaries to the Borrower or any Subsidiaries; and</w:t>
      </w:r>
    </w:p>
    <w:p>
      <w:pPr>
        <w:spacing w:after="0" w:line="240" w:lineRule="exact"/>
        <w:rPr>
          <w:rFonts w:ascii="Arial" w:cs="Arial" w:eastAsia="Arial" w:hAnsi="Arial"/>
          <w:sz w:val="19"/>
          <w:szCs w:val="19"/>
          <w:color w:val="auto"/>
        </w:rPr>
      </w:pPr>
    </w:p>
    <w:p>
      <w:pPr>
        <w:ind w:left="760" w:right="20" w:firstLine="745"/>
        <w:spacing w:after="0" w:line="250" w:lineRule="auto"/>
        <w:tabs>
          <w:tab w:leader="none" w:pos="1941" w:val="left"/>
        </w:tabs>
        <w:numPr>
          <w:ilvl w:val="0"/>
          <w:numId w:val="89"/>
        </w:numPr>
        <w:rPr>
          <w:rFonts w:ascii="Arial" w:cs="Arial" w:eastAsia="Arial" w:hAnsi="Arial"/>
          <w:sz w:val="22"/>
          <w:szCs w:val="22"/>
          <w:color w:val="auto"/>
        </w:rPr>
      </w:pPr>
      <w:r>
        <w:rPr>
          <w:rFonts w:ascii="Arial" w:cs="Arial" w:eastAsia="Arial" w:hAnsi="Arial"/>
          <w:sz w:val="22"/>
          <w:szCs w:val="22"/>
          <w:color w:val="auto"/>
        </w:rPr>
        <w:t>payments on Permitted Subordinated Indebtedness expressly permitted to be paid under the subordination agreement relating to such Permitted Subordinated Indebtedness.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SECTION 8.7 </w:t>
      </w:r>
      <w:r>
        <w:rPr>
          <w:rFonts w:ascii="Arial" w:cs="Arial" w:eastAsia="Arial" w:hAnsi="Arial"/>
          <w:sz w:val="19"/>
          <w:szCs w:val="19"/>
          <w:u w:val="single" w:color="auto"/>
          <w:color w:val="auto"/>
        </w:rPr>
        <w:t>Consolidation, Merger; Permitted Acquisitions, Etc</w:t>
      </w:r>
      <w:r>
        <w:rPr>
          <w:rFonts w:ascii="Arial" w:cs="Arial" w:eastAsia="Arial" w:hAnsi="Arial"/>
          <w:sz w:val="19"/>
          <w:szCs w:val="19"/>
          <w:color w:val="auto"/>
        </w:rPr>
        <w:t>. None of the Borrower or any of the Subsidiaries will</w:t>
      </w:r>
    </w:p>
    <w:p>
      <w:pPr>
        <w:spacing w:after="0" w:line="43" w:lineRule="exact"/>
        <w:rPr>
          <w:sz w:val="20"/>
          <w:szCs w:val="20"/>
          <w:color w:val="auto"/>
        </w:rPr>
      </w:pPr>
    </w:p>
    <w:p>
      <w:pPr>
        <w:jc w:val="both"/>
        <w:ind w:firstLine="8"/>
        <w:spacing w:after="0" w:line="266" w:lineRule="auto"/>
        <w:tabs>
          <w:tab w:leader="none" w:pos="314"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liquidate or dissolve, consolidate with, or merge into or with, any other Person, or (b) purchase or otherwise acquire all or substantially all of the assets of any Person (or any division, business unit, product or line of business thereof), including through an exclusive lease or license, other than, in the case of clause (b), to consummate a Permitted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clauses (a) and (b), so long as no Event of Default has occurred and is continuing (or would occur), any Subsidiary may liquidate or dissolve voluntarily into, and may merge with and into, the Borrower or any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in connection with any Permitted Acquisition, the Borrower or any Subsidiary may merge into or consolidate with any other Person or permit any other Person to merge into or consolidate with it, so long as (i) the Person surviving such merger or consolidation with any Subsidiary shall be a direct or indirect wholly-owned Subsidiary of the Borrower and a Guarantor, (ii) subject to clause</w:t>
      </w:r>
    </w:p>
    <w:p>
      <w:pPr>
        <w:spacing w:after="0" w:line="6" w:lineRule="exact"/>
        <w:rPr>
          <w:rFonts w:ascii="Arial" w:cs="Arial" w:eastAsia="Arial" w:hAnsi="Arial"/>
          <w:sz w:val="19"/>
          <w:szCs w:val="19"/>
          <w:color w:val="auto"/>
        </w:rPr>
      </w:pPr>
    </w:p>
    <w:p>
      <w:pPr>
        <w:jc w:val="both"/>
        <w:ind w:right="20" w:firstLine="8"/>
        <w:spacing w:after="0" w:line="234" w:lineRule="auto"/>
        <w:tabs>
          <w:tab w:leader="none" w:pos="402" w:val="left"/>
        </w:tabs>
        <w:numPr>
          <w:ilvl w:val="0"/>
          <w:numId w:val="91"/>
        </w:numPr>
        <w:rPr>
          <w:rFonts w:ascii="Arial" w:cs="Arial" w:eastAsia="Arial" w:hAnsi="Arial"/>
          <w:sz w:val="22"/>
          <w:szCs w:val="22"/>
          <w:color w:val="auto"/>
        </w:rPr>
      </w:pPr>
      <w:r>
        <w:rPr>
          <w:rFonts w:ascii="Arial" w:cs="Arial" w:eastAsia="Arial" w:hAnsi="Arial"/>
          <w:sz w:val="22"/>
          <w:szCs w:val="22"/>
          <w:color w:val="auto"/>
        </w:rPr>
        <w:t>below, in the case of any such merger or consolidation to which any Guarantor is a party, the Guarantor is the surviving Person, and (iii) in the case of any such merger or consolidation to which the Borrower is a party, the Borrower is the surviving Person.</w:t>
      </w:r>
    </w:p>
    <w:p>
      <w:pPr>
        <w:spacing w:after="0" w:line="187"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8.8 </w:t>
      </w:r>
      <w:r>
        <w:rPr>
          <w:rFonts w:ascii="Arial" w:cs="Arial" w:eastAsia="Arial" w:hAnsi="Arial"/>
          <w:sz w:val="22"/>
          <w:szCs w:val="22"/>
          <w:u w:val="single" w:color="auto"/>
          <w:color w:val="auto"/>
        </w:rPr>
        <w:t>Permitted Dispositions</w:t>
      </w:r>
      <w:r>
        <w:rPr>
          <w:rFonts w:ascii="Arial" w:cs="Arial" w:eastAsia="Arial" w:hAnsi="Arial"/>
          <w:sz w:val="22"/>
          <w:szCs w:val="22"/>
          <w:color w:val="auto"/>
        </w:rPr>
        <w:t>. None of the Borrower or any of the Subsidiaries will Dispose of any of its assets (including accounts receivable and Capital Securities of the Borrower or any Subsidiary) to any Person in one transaction or series of transactions unless such Disposition (i) is inventory or obsolete, damaged, worn out or surplus property Disposed of in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8" w:name="page99"/>
    <w:bookmarkEnd w:id="98"/>
    <w:p>
      <w:pPr>
        <w:jc w:val="both"/>
        <w:spacing w:after="0" w:line="252" w:lineRule="auto"/>
        <w:rPr>
          <w:sz w:val="20"/>
          <w:szCs w:val="20"/>
          <w:color w:val="auto"/>
        </w:rPr>
      </w:pPr>
      <w:r>
        <w:rPr>
          <w:rFonts w:ascii="Arial" w:cs="Arial" w:eastAsia="Arial" w:hAnsi="Arial"/>
          <w:sz w:val="21"/>
          <w:szCs w:val="21"/>
          <w:color w:val="auto"/>
        </w:rPr>
        <w:t xml:space="preserve">ordinary course of its business, (ii) is a license for the use of Intellectual Property of the Borrower or the Subsidiaries that is on a non-exclusive basis and is consistent with prior licenses for the use of such Intellectual Property in the ordinary course of its business, or (iii) is permitted by </w:t>
      </w:r>
      <w:r>
        <w:rPr>
          <w:rFonts w:ascii="Arial" w:cs="Arial" w:eastAsia="Arial" w:hAnsi="Arial"/>
          <w:sz w:val="21"/>
          <w:szCs w:val="21"/>
          <w:u w:val="single" w:color="auto"/>
          <w:color w:val="auto"/>
        </w:rPr>
        <w:t>Section 8.7</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Dispositions shall be of any Key Contract or any rights thereunder, or any assets of the Borrower or any Subsidiary necessary thereunder.</w:t>
      </w:r>
    </w:p>
    <w:p>
      <w:pPr>
        <w:spacing w:after="0" w:line="17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 xml:space="preserve">SECTION 8.9 </w:t>
      </w:r>
      <w:r>
        <w:rPr>
          <w:rFonts w:ascii="Arial" w:cs="Arial" w:eastAsia="Arial" w:hAnsi="Arial"/>
          <w:sz w:val="19"/>
          <w:szCs w:val="19"/>
          <w:u w:val="single" w:color="auto"/>
          <w:color w:val="auto"/>
        </w:rPr>
        <w:t>Modification of Certain Agreements</w:t>
      </w:r>
      <w:r>
        <w:rPr>
          <w:rFonts w:ascii="Arial" w:cs="Arial" w:eastAsia="Arial" w:hAnsi="Arial"/>
          <w:sz w:val="19"/>
          <w:szCs w:val="19"/>
          <w:color w:val="auto"/>
        </w:rPr>
        <w:t xml:space="preserve">. None of the Borrower or any of the Subsidiaries will consent to any amendment, supplement, waiver or other modification of, or enter into any forbearance from exercising any rights with respect to, the terms or provisions contained in (a) any Organic Documents of the Borrower or any of the Subsidiaries, if the result would have an adverse effect on the rights or remedies of the Administrative Agent or the Lenders under this Agreement or any Investment Document, or (b) any agreement governing any Permitted Subordinated Indebtedness except as permitted in the subordination agreement with respect thereto, in each case without the consent of the Administrative Agent. None of the Borrower or any of the Subsidiaries will (i) terminate or agree to the termination of the Key Contracts for any reason, (ii) fail to enforce any of its material rights under the Key Contracts, or (iii) agree to any assignment or transfer of the Key Contracts, or any material rights or obligations thereunder, by any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the Key Contracts identified on </w:t>
      </w:r>
      <w:r>
        <w:rPr>
          <w:rFonts w:ascii="Arial" w:cs="Arial" w:eastAsia="Arial" w:hAnsi="Arial"/>
          <w:sz w:val="19"/>
          <w:szCs w:val="19"/>
          <w:u w:val="single" w:color="auto"/>
          <w:color w:val="auto"/>
        </w:rPr>
        <w:t>Schedule 1.1</w:t>
      </w:r>
      <w:r>
        <w:rPr>
          <w:rFonts w:ascii="Arial" w:cs="Arial" w:eastAsia="Arial" w:hAnsi="Arial"/>
          <w:sz w:val="19"/>
          <w:szCs w:val="19"/>
          <w:color w:val="auto"/>
        </w:rPr>
        <w:t>, the Borrower or any of its Subsidiaries may terminate or agree to the termination of any such Key Contract if, no later than 30 days following the termination of such Key Contract, the Borrower or such Subsidiary shall have entered into a replacement agreement for substantially the same services or supplies in substitution of such Key Contract, which replacement agreement shall be with a counterparty reasonably acceptable to the Lenders.</w:t>
      </w:r>
    </w:p>
    <w:p>
      <w:pPr>
        <w:spacing w:after="0" w:line="15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 xml:space="preserve">SECTION 8.10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None of the Borrower or any of the Subsidiaries will enter into or cause or permit to exist any arrangement, transaction or contract (including for the purchase, lease or exchange of property or the rendering of services) with any of its Affiliates, unless such arrangement, transaction or contract (A) (i) is on fair and reasonable terms no less favorable to the Borrower or such Subsidiary than it could obtain in an arm’s-length transaction with a Person that is not one of its Affiliates and (ii) is of the kind which would be entered into by a prudent Person in its position with a Person that is not one of its Affiliates or (B) is a transaction between the Borrower and any Guarantor, or a transaction between Guarantors.</w:t>
      </w:r>
    </w:p>
    <w:p>
      <w:pPr>
        <w:spacing w:after="0" w:line="150"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 xml:space="preserve">SECTION 8.11 </w:t>
      </w:r>
      <w:r>
        <w:rPr>
          <w:rFonts w:ascii="Arial" w:cs="Arial" w:eastAsia="Arial" w:hAnsi="Arial"/>
          <w:sz w:val="21"/>
          <w:szCs w:val="21"/>
          <w:u w:val="single" w:color="auto"/>
          <w:color w:val="auto"/>
        </w:rPr>
        <w:t>Restrictive Agreements, Etc</w:t>
      </w:r>
      <w:r>
        <w:rPr>
          <w:rFonts w:ascii="Arial" w:cs="Arial" w:eastAsia="Arial" w:hAnsi="Arial"/>
          <w:sz w:val="21"/>
          <w:szCs w:val="21"/>
          <w:color w:val="auto"/>
        </w:rPr>
        <w:t xml:space="preserve">. None of the Borrower or any of the Subsidiaries will enter into any agreement prohibiting (i) the creation or assumption of any Lien upon its properties, revenues or assets, whether now owned or hereafter acquired, (ii) the ability of the Borrower or any of the Guarantors to amend or otherwise modify any Investment Document, or (iii) the ability of the Borrower or any Subsidiary to make any payments, directly or indirectly, to the Borrower, including by way of dividends, advances, repayments of loans, reimbursements of management and other intercompany charges, expenses and accruals or other returns on investments. The foregoing prohibitions shall not apply to restrictions contained (x) in any Investment Document (including any applicable intercreditor or subordination agreement), or (y) in the case of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in any agreement governing any Indebtedness permitted by </w:t>
      </w:r>
      <w:r>
        <w:rPr>
          <w:rFonts w:ascii="Arial" w:cs="Arial" w:eastAsia="Arial" w:hAnsi="Arial"/>
          <w:sz w:val="21"/>
          <w:szCs w:val="21"/>
          <w:u w:val="single" w:color="auto"/>
          <w:color w:val="auto"/>
        </w:rPr>
        <w:t>Section 8.2(d)</w:t>
      </w:r>
      <w:r>
        <w:rPr>
          <w:rFonts w:ascii="Arial" w:cs="Arial" w:eastAsia="Arial" w:hAnsi="Arial"/>
          <w:sz w:val="21"/>
          <w:szCs w:val="21"/>
          <w:color w:val="auto"/>
        </w:rPr>
        <w:t xml:space="preserve"> as to the assets financed with the proceeds of such Indebtedness.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9" w:name="page100"/>
    <w:bookmarkEnd w:id="99"/>
    <w:p>
      <w:pPr>
        <w:jc w:val="both"/>
        <w:ind w:firstLine="749"/>
        <w:spacing w:after="0" w:line="257" w:lineRule="auto"/>
        <w:rPr>
          <w:sz w:val="20"/>
          <w:szCs w:val="20"/>
          <w:color w:val="auto"/>
        </w:rPr>
      </w:pPr>
      <w:r>
        <w:rPr>
          <w:rFonts w:ascii="Arial" w:cs="Arial" w:eastAsia="Arial" w:hAnsi="Arial"/>
          <w:sz w:val="21"/>
          <w:szCs w:val="21"/>
          <w:color w:val="auto"/>
        </w:rPr>
        <w:t xml:space="preserve">SECTION 8.12 </w:t>
      </w:r>
      <w:r>
        <w:rPr>
          <w:rFonts w:ascii="Arial" w:cs="Arial" w:eastAsia="Arial" w:hAnsi="Arial"/>
          <w:sz w:val="21"/>
          <w:szCs w:val="21"/>
          <w:u w:val="single" w:color="auto"/>
          <w:color w:val="auto"/>
        </w:rPr>
        <w:t>Sale and Leaseback</w:t>
      </w:r>
      <w:r>
        <w:rPr>
          <w:rFonts w:ascii="Arial" w:cs="Arial" w:eastAsia="Arial" w:hAnsi="Arial"/>
          <w:sz w:val="21"/>
          <w:szCs w:val="21"/>
          <w:color w:val="auto"/>
        </w:rPr>
        <w:t>. None of the Borrower or any of the Subsidiaries will directly or indirectly enter into any agreement or arrangement providing for the sale or transfer by it of any property (now owned or hereafter acquired) to a Person and the subsequent lease or rental of such property or other similar property from such Person.</w:t>
      </w:r>
    </w:p>
    <w:p>
      <w:pPr>
        <w:spacing w:after="0" w:line="169"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 xml:space="preserve">SECTION 8.13 </w:t>
      </w:r>
      <w:r>
        <w:rPr>
          <w:rFonts w:ascii="Arial" w:cs="Arial" w:eastAsia="Arial" w:hAnsi="Arial"/>
          <w:sz w:val="19"/>
          <w:szCs w:val="19"/>
          <w:u w:val="single" w:color="auto"/>
          <w:color w:val="auto"/>
        </w:rPr>
        <w:t>Product Agreements</w:t>
      </w:r>
      <w:r>
        <w:rPr>
          <w:rFonts w:ascii="Arial" w:cs="Arial" w:eastAsia="Arial" w:hAnsi="Arial"/>
          <w:sz w:val="19"/>
          <w:szCs w:val="19"/>
          <w:color w:val="auto"/>
        </w:rPr>
        <w:t>. None of the Borrower or any of the Subsidiaries will enter into any amendment with respect to any existing Product Agreement or enter into any new Product Agreement that contains (a) any provision that permits any counterparty other than the Borrower or any of the Subsidiaries to terminate such Product Agreement for any reason related to the insolvency or change of control of the Borrower or any of the Subsidiaries or assignment of such Product Agreement by the Borrower or any of the Subsidiaries, (b) any provision which restricts or penalizes a security interest in, or the assignment of, any Product Agreements, upon the sale, merger or other Disposition of all or a material portion of a Product to which such Product Agreement relates, or (c) any other provision that has or is likely to adversely affect, in any material respect, any Product to which such agreement relates or any Secured Party’s rights hereunder.</w:t>
      </w:r>
    </w:p>
    <w:p>
      <w:pPr>
        <w:spacing w:after="0" w:line="157"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 xml:space="preserve">SECTION 8.14 </w:t>
      </w:r>
      <w:r>
        <w:rPr>
          <w:rFonts w:ascii="Arial" w:cs="Arial" w:eastAsia="Arial" w:hAnsi="Arial"/>
          <w:sz w:val="21"/>
          <w:szCs w:val="21"/>
          <w:u w:val="single" w:color="auto"/>
          <w:color w:val="auto"/>
        </w:rPr>
        <w:t>Change in Name, Location or Executive Office or Executive Management; Change in Fiscal Year</w:t>
      </w:r>
      <w:r>
        <w:rPr>
          <w:rFonts w:ascii="Arial" w:cs="Arial" w:eastAsia="Arial" w:hAnsi="Arial"/>
          <w:sz w:val="21"/>
          <w:szCs w:val="21"/>
          <w:color w:val="auto"/>
        </w:rPr>
        <w:t>. None of the Borrower or any of the Subsidiaries will (i) change its legal name or any trade name used to identify it in the conduct of its business or ownership of its properties, (ii) change its jurisdiction of organization or legal structure, (iii) relocate its chief executive office, principal place of business or any office in which it maintains books or records relating to its business (including the establishment of any new office or facility) without 30 days’ prior written notice to the Administrative Agent, (iv) change its federal taxpayer identification number or organizational number (or equivalent), in each case, without 30 days’ prior written notice to the Administrative Agent, (v) terminate the employment of or replace its chief executive officer or chief financial officer (or equivalent title) without written notification to the Administrative Agent within 30 days thereafter, or (vi) change its Fiscal Year or any of its Fiscal Quarters, or (vii) enter into, or permit any of its Subsidiaries to enter into, any Division/Series Transaction (it being understood that none of the provisions in this Agreement nor any other Investment Document shall be deemed to permit any Division/Series Transaction).</w:t>
      </w:r>
    </w:p>
    <w:p>
      <w:pPr>
        <w:spacing w:after="0" w:line="18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 xml:space="preserve">SECTION 8.15 </w:t>
      </w:r>
      <w:r>
        <w:rPr>
          <w:rFonts w:ascii="Arial" w:cs="Arial" w:eastAsia="Arial" w:hAnsi="Arial"/>
          <w:sz w:val="19"/>
          <w:szCs w:val="19"/>
          <w:u w:val="single" w:color="auto"/>
          <w:color w:val="auto"/>
        </w:rPr>
        <w:t>Benefit Plans and Agreements</w:t>
      </w:r>
      <w:r>
        <w:rPr>
          <w:rFonts w:ascii="Arial" w:cs="Arial" w:eastAsia="Arial" w:hAnsi="Arial"/>
          <w:sz w:val="19"/>
          <w:szCs w:val="19"/>
          <w:color w:val="auto"/>
        </w:rPr>
        <w:t>. None of the Borrower or any Subsidiary will (i) become the sponsor of, incur any responsibility to contribute to or otherwise incur actual or potential liability with respect to, any Benefit Plan, (ii) allow any “employee benefit plan” as defined in section 3(3) of ERISA that provides retirement benefits, is sponsored by the Borrower, any Subsidiary or any of their ERISA Affiliates, and is intended to be tax qualified under section 401 of the Code to cease to be tax qualified, (iii) allow the assets of any tax qualified retirement plan to become invested in Capital Securities of the Borrower or any Subsidiary, (iv) allow any employee benefit plan, program or arrangement sponsored, maintained, contributed to or required to be contributed to by the Borrower or any Subsidiary to fail to comply in all material respects with its terms and applicable law, or (v) allow any employee benefit plan as defined in Section 3(3) of ERISA that provides medical, dental, vision, or long-term disability benefits and that is sponsored by the Borrower or any of the Subsidiaries or any of their ERISA Affiliates (or under which any of these entities has any actual or potential liability), to cease to be fully insured by a third-party insurance company. The Borrower will not enter into any employment, severance,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0" w:name="page101"/>
    <w:bookmarkEnd w:id="100"/>
    <w:p>
      <w:pPr>
        <w:jc w:val="both"/>
        <w:spacing w:after="0" w:line="250" w:lineRule="auto"/>
        <w:rPr>
          <w:sz w:val="20"/>
          <w:szCs w:val="20"/>
          <w:color w:val="auto"/>
        </w:rPr>
      </w:pPr>
      <w:r>
        <w:rPr>
          <w:rFonts w:ascii="Arial" w:cs="Arial" w:eastAsia="Arial" w:hAnsi="Arial"/>
          <w:sz w:val="22"/>
          <w:szCs w:val="22"/>
          <w:color w:val="auto"/>
        </w:rPr>
        <w:t>independent contractor, or consulting agreements or grant any equity awards other than in the ordinary course of business and consistent with past practice.</w:t>
      </w:r>
    </w:p>
    <w:p>
      <w:pPr>
        <w:spacing w:after="0" w:line="17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 xml:space="preserve">SECTION 8.16 </w:t>
      </w:r>
      <w:r>
        <w:rPr>
          <w:rFonts w:ascii="Arial" w:cs="Arial" w:eastAsia="Arial" w:hAnsi="Arial"/>
          <w:sz w:val="21"/>
          <w:szCs w:val="21"/>
          <w:u w:val="single" w:color="auto"/>
          <w:color w:val="auto"/>
        </w:rPr>
        <w:t>Conduct of Business by the Excluded Subsidiaries</w:t>
      </w:r>
      <w:r>
        <w:rPr>
          <w:rFonts w:ascii="Arial" w:cs="Arial" w:eastAsia="Arial" w:hAnsi="Arial"/>
          <w:sz w:val="21"/>
          <w:szCs w:val="21"/>
          <w:color w:val="auto"/>
        </w:rPr>
        <w:t xml:space="preserve">. Except as otherwise permitted by the definition of “Excluded Subsidiary” or </w:t>
      </w:r>
      <w:r>
        <w:rPr>
          <w:rFonts w:ascii="Arial" w:cs="Arial" w:eastAsia="Arial" w:hAnsi="Arial"/>
          <w:sz w:val="21"/>
          <w:szCs w:val="21"/>
          <w:u w:val="single" w:color="auto"/>
          <w:color w:val="auto"/>
        </w:rPr>
        <w:t>Section 7.15</w:t>
      </w:r>
      <w:r>
        <w:rPr>
          <w:rFonts w:ascii="Arial" w:cs="Arial" w:eastAsia="Arial" w:hAnsi="Arial"/>
          <w:sz w:val="21"/>
          <w:szCs w:val="21"/>
          <w:color w:val="auto"/>
        </w:rPr>
        <w:t xml:space="preserve">, no Excluded Subsidiary will engage in any business or activity, hold any assets or incur any Indebtedness or other liabilities, other than (i) the ownership of outstanding Equity Interests in Avita Medical Americas, LLC or another Excluded Subsidiary held by such Excluded Subsidiary on the Closing Date and its transfer or contribution of such Equity Interests to the Borrower, (ii) the ownership of Intellectual Property held by each Excluded Subsidiary, subject to compliance with the definition of “Excluded Subsidiary” and </w:t>
      </w:r>
      <w:r>
        <w:rPr>
          <w:rFonts w:ascii="Arial" w:cs="Arial" w:eastAsia="Arial" w:hAnsi="Arial"/>
          <w:sz w:val="21"/>
          <w:szCs w:val="21"/>
          <w:u w:val="single" w:color="auto"/>
          <w:color w:val="auto"/>
        </w:rPr>
        <w:t>Section 7.16(d)</w:t>
      </w:r>
      <w:r>
        <w:rPr>
          <w:rFonts w:ascii="Arial" w:cs="Arial" w:eastAsia="Arial" w:hAnsi="Arial"/>
          <w:sz w:val="21"/>
          <w:szCs w:val="21"/>
          <w:color w:val="auto"/>
        </w:rPr>
        <w:t xml:space="preserve">, (iii) cash to the extent required for the winding up and dissolution of each such Excluded Subsidiary and to the extent permitted by the definition of “Excluded Subsidiary”,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8.2(g)</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8.5(h)</w:t>
      </w:r>
      <w:r>
        <w:rPr>
          <w:rFonts w:ascii="Arial" w:cs="Arial" w:eastAsia="Arial" w:hAnsi="Arial"/>
          <w:sz w:val="21"/>
          <w:szCs w:val="21"/>
          <w:color w:val="auto"/>
        </w:rPr>
        <w:t>, (iv) liabilities incurred in the ordinary course of the winding up or dissolution of each such Excluded Subsidiary or pursuant to any Loan Document, and (v) activities incidental to the businesses or activities described in clauses (i)-(iv) above.</w:t>
      </w:r>
    </w:p>
    <w:p>
      <w:pPr>
        <w:spacing w:after="0" w:line="181"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IX</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EVENTS OF DEFAULT</w:t>
      </w:r>
    </w:p>
    <w:p>
      <w:pPr>
        <w:spacing w:after="0" w:line="18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u w:val="single" w:color="auto"/>
          <w:color w:val="auto"/>
        </w:rPr>
        <w:t>Listing of Events of Default</w:t>
      </w:r>
      <w:r>
        <w:rPr>
          <w:rFonts w:ascii="Arial" w:cs="Arial" w:eastAsia="Arial" w:hAnsi="Arial"/>
          <w:sz w:val="22"/>
          <w:szCs w:val="22"/>
          <w:color w:val="auto"/>
        </w:rPr>
        <w:t xml:space="preserve">. Each of the following events or occurrences described in this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shall constitute an “</w:t>
      </w:r>
      <w:r>
        <w:rPr>
          <w:rFonts w:ascii="Arial" w:cs="Arial" w:eastAsia="Arial" w:hAnsi="Arial"/>
          <w:sz w:val="22"/>
          <w:szCs w:val="22"/>
          <w:u w:val="single" w:color="auto"/>
          <w:color w:val="auto"/>
        </w:rPr>
        <w:t>Event of Default</w:t>
      </w:r>
      <w:r>
        <w:rPr>
          <w:rFonts w:ascii="Arial" w:cs="Arial" w:eastAsia="Arial" w:hAnsi="Arial"/>
          <w:sz w:val="22"/>
          <w:szCs w:val="22"/>
          <w:color w:val="auto"/>
        </w:rPr>
        <w:t>”.</w:t>
      </w:r>
    </w:p>
    <w:p>
      <w:pPr>
        <w:spacing w:after="0" w:line="175" w:lineRule="exact"/>
        <w:rPr>
          <w:sz w:val="20"/>
          <w:szCs w:val="20"/>
          <w:color w:val="auto"/>
        </w:rPr>
      </w:pPr>
    </w:p>
    <w:p>
      <w:pPr>
        <w:jc w:val="both"/>
        <w:ind w:left="760" w:firstLine="745"/>
        <w:spacing w:after="0" w:line="238" w:lineRule="auto"/>
        <w:tabs>
          <w:tab w:leader="none" w:pos="1954"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Non-Payment of Obligations</w:t>
      </w:r>
      <w:r>
        <w:rPr>
          <w:rFonts w:ascii="Arial" w:cs="Arial" w:eastAsia="Arial" w:hAnsi="Arial"/>
          <w:sz w:val="22"/>
          <w:szCs w:val="22"/>
          <w:color w:val="auto"/>
        </w:rPr>
        <w:t xml:space="preserve">. The Borrower shall default in the payment or prepayment when due of (i) any principal of or interest on any Loan, or (ii) any fee described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or any other monetary Obligation, and in the case of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such default shall continue unremedied for a period of two Business Days after such amount was due.</w:t>
      </w:r>
    </w:p>
    <w:p>
      <w:pPr>
        <w:spacing w:after="0" w:line="184" w:lineRule="exact"/>
        <w:rPr>
          <w:rFonts w:ascii="Arial" w:cs="Arial" w:eastAsia="Arial" w:hAnsi="Arial"/>
          <w:sz w:val="22"/>
          <w:szCs w:val="22"/>
          <w:color w:val="auto"/>
        </w:rPr>
      </w:pPr>
    </w:p>
    <w:p>
      <w:pPr>
        <w:jc w:val="both"/>
        <w:ind w:left="760" w:firstLine="745"/>
        <w:spacing w:after="0" w:line="257" w:lineRule="auto"/>
        <w:tabs>
          <w:tab w:leader="none" w:pos="1941" w:val="left"/>
        </w:tabs>
        <w:numPr>
          <w:ilvl w:val="1"/>
          <w:numId w:val="92"/>
        </w:numPr>
        <w:rPr>
          <w:rFonts w:ascii="Arial" w:cs="Arial" w:eastAsia="Arial" w:hAnsi="Arial"/>
          <w:sz w:val="21"/>
          <w:szCs w:val="21"/>
          <w:color w:val="auto"/>
        </w:rPr>
      </w:pPr>
      <w:r>
        <w:rPr>
          <w:rFonts w:ascii="Arial" w:cs="Arial" w:eastAsia="Arial" w:hAnsi="Arial"/>
          <w:sz w:val="21"/>
          <w:szCs w:val="21"/>
          <w:u w:val="single" w:color="auto"/>
          <w:color w:val="auto"/>
        </w:rPr>
        <w:t>Breach of Warranty</w:t>
      </w:r>
      <w:r>
        <w:rPr>
          <w:rFonts w:ascii="Arial" w:cs="Arial" w:eastAsia="Arial" w:hAnsi="Arial"/>
          <w:sz w:val="21"/>
          <w:szCs w:val="21"/>
          <w:color w:val="auto"/>
        </w:rPr>
        <w:t xml:space="preserve">. Any representation or warranty made or deemed to be made by the Borrower or any of the Subsidiaries in any Investment Document (including any certificates delivered pursuant to </w:t>
      </w:r>
      <w:r>
        <w:rPr>
          <w:rFonts w:ascii="Arial" w:cs="Arial" w:eastAsia="Arial" w:hAnsi="Arial"/>
          <w:sz w:val="21"/>
          <w:szCs w:val="21"/>
          <w:u w:val="single" w:color="auto"/>
          <w:color w:val="auto"/>
        </w:rPr>
        <w:t>Article V</w:t>
      </w:r>
      <w:r>
        <w:rPr>
          <w:rFonts w:ascii="Arial" w:cs="Arial" w:eastAsia="Arial" w:hAnsi="Arial"/>
          <w:sz w:val="21"/>
          <w:szCs w:val="21"/>
          <w:color w:val="auto"/>
        </w:rPr>
        <w:t>) is or shall be incorrect in any material respect when made or deemed to have been made.</w:t>
      </w:r>
    </w:p>
    <w:p>
      <w:pPr>
        <w:spacing w:after="0" w:line="169" w:lineRule="exact"/>
        <w:rPr>
          <w:rFonts w:ascii="Arial" w:cs="Arial" w:eastAsia="Arial" w:hAnsi="Arial"/>
          <w:sz w:val="21"/>
          <w:szCs w:val="21"/>
          <w:color w:val="auto"/>
        </w:rPr>
      </w:pPr>
    </w:p>
    <w:p>
      <w:pPr>
        <w:jc w:val="both"/>
        <w:ind w:left="760" w:firstLine="745"/>
        <w:spacing w:after="0"/>
        <w:tabs>
          <w:tab w:leader="none" w:pos="1941"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Non-Performance of Certain Covenants and Obligations</w:t>
      </w:r>
      <w:r>
        <w:rPr>
          <w:rFonts w:ascii="Arial" w:cs="Arial" w:eastAsia="Arial" w:hAnsi="Arial"/>
          <w:sz w:val="22"/>
          <w:szCs w:val="22"/>
          <w:color w:val="auto"/>
        </w:rPr>
        <w:t xml:space="preserve">. The Borrower or any Subsidiary shall default in the due performance or observance of any of its obligations under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7.8</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7.15</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7.16</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VIII</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left="760" w:firstLine="745"/>
        <w:spacing w:after="0" w:line="273" w:lineRule="auto"/>
        <w:tabs>
          <w:tab w:leader="none" w:pos="1954"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Non-Performance of Other Covenants and Obligations</w:t>
      </w:r>
      <w:r>
        <w:rPr>
          <w:rFonts w:ascii="Arial" w:cs="Arial" w:eastAsia="Arial" w:hAnsi="Arial"/>
          <w:sz w:val="19"/>
          <w:szCs w:val="19"/>
          <w:color w:val="auto"/>
        </w:rPr>
        <w:t>. The Borrower or any Subsidiary shall default in the due performance and observance of any other covenant, obligation or agreement contained in any Investment Document executed by it, and such default shall continue unremedied for a period of 30 days after the earlier to occur of</w:t>
      </w:r>
    </w:p>
    <w:p>
      <w:pPr>
        <w:spacing w:after="0" w:line="1" w:lineRule="exact"/>
        <w:rPr>
          <w:rFonts w:ascii="Arial" w:cs="Arial" w:eastAsia="Arial" w:hAnsi="Arial"/>
          <w:sz w:val="19"/>
          <w:szCs w:val="19"/>
          <w:color w:val="auto"/>
        </w:rPr>
      </w:pPr>
    </w:p>
    <w:p>
      <w:pPr>
        <w:ind w:left="760" w:hanging="3"/>
        <w:spacing w:after="0" w:line="236" w:lineRule="auto"/>
        <w:tabs>
          <w:tab w:leader="none" w:pos="1018" w:val="left"/>
        </w:tabs>
        <w:numPr>
          <w:ilvl w:val="0"/>
          <w:numId w:val="93"/>
        </w:numPr>
        <w:rPr>
          <w:rFonts w:ascii="Arial" w:cs="Arial" w:eastAsia="Arial" w:hAnsi="Arial"/>
          <w:sz w:val="22"/>
          <w:szCs w:val="22"/>
          <w:color w:val="auto"/>
        </w:rPr>
      </w:pPr>
      <w:r>
        <w:rPr>
          <w:rFonts w:ascii="Arial" w:cs="Arial" w:eastAsia="Arial" w:hAnsi="Arial"/>
          <w:sz w:val="22"/>
          <w:szCs w:val="22"/>
          <w:color w:val="auto"/>
        </w:rPr>
        <w:t>notice thereof given to the Borrower by the Administrative Agent or Lenders or (ii) the date on which the Borrower or any Subsidiary has knowledge of such default.</w:t>
      </w:r>
    </w:p>
    <w:p>
      <w:pPr>
        <w:spacing w:after="0" w:line="186" w:lineRule="exact"/>
        <w:rPr>
          <w:rFonts w:ascii="Arial" w:cs="Arial" w:eastAsia="Arial" w:hAnsi="Arial"/>
          <w:sz w:val="22"/>
          <w:szCs w:val="22"/>
          <w:color w:val="auto"/>
        </w:rPr>
      </w:pPr>
    </w:p>
    <w:p>
      <w:pPr>
        <w:ind w:left="760" w:firstLine="745"/>
        <w:spacing w:after="0" w:line="250" w:lineRule="auto"/>
        <w:tabs>
          <w:tab w:leader="none" w:pos="1941" w:val="left"/>
        </w:tabs>
        <w:numPr>
          <w:ilvl w:val="1"/>
          <w:numId w:val="93"/>
        </w:numPr>
        <w:rPr>
          <w:rFonts w:ascii="Arial" w:cs="Arial" w:eastAsia="Arial" w:hAnsi="Arial"/>
          <w:sz w:val="22"/>
          <w:szCs w:val="22"/>
          <w:color w:val="auto"/>
        </w:rPr>
      </w:pPr>
      <w:r>
        <w:rPr>
          <w:rFonts w:ascii="Arial" w:cs="Arial" w:eastAsia="Arial" w:hAnsi="Arial"/>
          <w:sz w:val="22"/>
          <w:szCs w:val="22"/>
          <w:u w:val="single" w:color="auto"/>
          <w:color w:val="auto"/>
        </w:rPr>
        <w:t>Default on Other Indebtedness</w:t>
      </w:r>
      <w:r>
        <w:rPr>
          <w:rFonts w:ascii="Arial" w:cs="Arial" w:eastAsia="Arial" w:hAnsi="Arial"/>
          <w:sz w:val="22"/>
          <w:szCs w:val="22"/>
          <w:color w:val="auto"/>
        </w:rPr>
        <w:t>. A default shall occur in the payment of any amount when due (subject to any applicable grace period), whether by acceleration or</w:t>
      </w:r>
    </w:p>
    <w:p>
      <w:pPr>
        <w:spacing w:after="0" w:line="174" w:lineRule="exact"/>
        <w:rPr>
          <w:rFonts w:ascii="Arial" w:cs="Arial" w:eastAsia="Arial" w:hAnsi="Arial"/>
          <w:sz w:val="22"/>
          <w:szCs w:val="22"/>
          <w:color w:val="auto"/>
        </w:rPr>
      </w:pPr>
    </w:p>
    <w:p>
      <w:pPr>
        <w:ind w:left="5520" w:hanging="130"/>
        <w:spacing w:after="0"/>
        <w:tabs>
          <w:tab w:leader="none" w:pos="5520" w:val="left"/>
        </w:tabs>
        <w:numPr>
          <w:ilvl w:val="2"/>
          <w:numId w:val="93"/>
        </w:numPr>
        <w:rPr>
          <w:rFonts w:ascii="Arial" w:cs="Arial" w:eastAsia="Arial" w:hAnsi="Arial"/>
          <w:sz w:val="22"/>
          <w:szCs w:val="22"/>
          <w:color w:val="auto"/>
        </w:rPr>
      </w:pPr>
      <w:r>
        <w:rPr>
          <w:rFonts w:ascii="Arial" w:cs="Arial" w:eastAsia="Arial" w:hAnsi="Arial"/>
          <w:sz w:val="22"/>
          <w:szCs w:val="22"/>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1" w:name="page102"/>
    <w:bookmarkEnd w:id="101"/>
    <w:p>
      <w:pPr>
        <w:jc w:val="both"/>
        <w:spacing w:after="0" w:line="246" w:lineRule="auto"/>
        <w:rPr>
          <w:sz w:val="20"/>
          <w:szCs w:val="20"/>
          <w:color w:val="auto"/>
        </w:rPr>
      </w:pPr>
      <w:r>
        <w:rPr>
          <w:rFonts w:ascii="Arial" w:cs="Arial" w:eastAsia="Arial" w:hAnsi="Arial"/>
          <w:sz w:val="21"/>
          <w:szCs w:val="21"/>
          <w:color w:val="auto"/>
        </w:rPr>
        <w:t>otherwise, of any principal or stated amount of, or interest or fees on, any Indebtedness of the Borrower or any of the Subsidiaries having a principal or stated amount, individually or in the aggregate, in excess of $500,000, or a default shall occur in the performance or observance of any obligation or condition with respect to such Indebtedness if the effect of such default is to accelerate the maturity of any such Indebtedness or such default shall continue unremedied for any applicable period of time sufficient to permit the holder or holders of such Indebtedness, or any trustee or agent for such holders, to cause or declare such Indebtedness to become due and payable or to require such Indebtedness to be prepaid, redeemed, purchased or defeased, or require an offer to purchase or defease such Indebtedness to be made, prior to its expressed maturity.</w:t>
      </w:r>
    </w:p>
    <w:p>
      <w:pPr>
        <w:spacing w:after="0" w:line="180" w:lineRule="exact"/>
        <w:rPr>
          <w:sz w:val="20"/>
          <w:szCs w:val="20"/>
          <w:color w:val="auto"/>
        </w:rPr>
      </w:pPr>
    </w:p>
    <w:p>
      <w:pPr>
        <w:jc w:val="both"/>
        <w:ind w:firstLine="745"/>
        <w:spacing w:after="0" w:line="235" w:lineRule="auto"/>
        <w:tabs>
          <w:tab w:leader="none" w:pos="1181"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Judgments</w:t>
      </w:r>
      <w:r>
        <w:rPr>
          <w:rFonts w:ascii="Arial" w:cs="Arial" w:eastAsia="Arial" w:hAnsi="Arial"/>
          <w:sz w:val="22"/>
          <w:szCs w:val="22"/>
          <w:color w:val="auto"/>
        </w:rPr>
        <w:t>. Any judgment or order for the payment of money individually or in the aggregate in excess of $500,000 (exclusive of any amounts fully covered by insurance (less any applicable deductible) and as to which the insurer has acknowledged its responsibility to cover such judgment or order) shall be rendered against the Borrower or any of the Subsidiaries and such judgment shall not have been vacated or discharged or stayed or bonded pending appeal within 30 days after the entry thereof or enforcement proceedings shall have been commenced by any creditor upon such judgment or order.</w:t>
      </w:r>
    </w:p>
    <w:p>
      <w:pPr>
        <w:spacing w:after="0" w:line="187" w:lineRule="exact"/>
        <w:rPr>
          <w:rFonts w:ascii="Arial" w:cs="Arial" w:eastAsia="Arial" w:hAnsi="Arial"/>
          <w:sz w:val="22"/>
          <w:szCs w:val="22"/>
          <w:color w:val="auto"/>
        </w:rPr>
      </w:pPr>
    </w:p>
    <w:p>
      <w:pPr>
        <w:ind w:left="1180" w:hanging="435"/>
        <w:spacing w:after="0"/>
        <w:tabs>
          <w:tab w:leader="none" w:pos="118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Any Change in Control shall occur.</w:t>
      </w:r>
    </w:p>
    <w:p>
      <w:pPr>
        <w:spacing w:after="0" w:line="206" w:lineRule="exact"/>
        <w:rPr>
          <w:rFonts w:ascii="Arial" w:cs="Arial" w:eastAsia="Arial" w:hAnsi="Arial"/>
          <w:sz w:val="22"/>
          <w:szCs w:val="22"/>
          <w:color w:val="auto"/>
        </w:rPr>
      </w:pPr>
    </w:p>
    <w:p>
      <w:pPr>
        <w:ind w:right="20" w:firstLine="745"/>
        <w:spacing w:after="0" w:line="250" w:lineRule="auto"/>
        <w:tabs>
          <w:tab w:leader="none" w:pos="1194"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Bankruptcy, Insolvency, Etc.</w:t>
      </w:r>
      <w:r>
        <w:rPr>
          <w:rFonts w:ascii="Arial" w:cs="Arial" w:eastAsia="Arial" w:hAnsi="Arial"/>
          <w:sz w:val="22"/>
          <w:szCs w:val="22"/>
          <w:color w:val="auto"/>
        </w:rPr>
        <w:t xml:space="preserve"> The Borrower or (except as permitted pursuant to </w:t>
      </w:r>
      <w:r>
        <w:rPr>
          <w:rFonts w:ascii="Arial" w:cs="Arial" w:eastAsia="Arial" w:hAnsi="Arial"/>
          <w:sz w:val="22"/>
          <w:szCs w:val="22"/>
          <w:u w:val="single" w:color="auto"/>
          <w:color w:val="auto"/>
        </w:rPr>
        <w:t>Section 8.7</w:t>
      </w:r>
      <w:r>
        <w:rPr>
          <w:rFonts w:ascii="Arial" w:cs="Arial" w:eastAsia="Arial" w:hAnsi="Arial"/>
          <w:sz w:val="22"/>
          <w:szCs w:val="22"/>
          <w:color w:val="auto"/>
        </w:rPr>
        <w:t>) any of the Subsidiaries shall:</w:t>
      </w:r>
    </w:p>
    <w:p>
      <w:pPr>
        <w:spacing w:after="0" w:line="174" w:lineRule="exact"/>
        <w:rPr>
          <w:rFonts w:ascii="Arial" w:cs="Arial" w:eastAsia="Arial" w:hAnsi="Arial"/>
          <w:sz w:val="22"/>
          <w:szCs w:val="22"/>
          <w:color w:val="auto"/>
        </w:rPr>
      </w:pPr>
    </w:p>
    <w:p>
      <w:pPr>
        <w:ind w:left="740" w:right="60" w:firstLine="754"/>
        <w:spacing w:after="0" w:line="250" w:lineRule="auto"/>
        <w:tabs>
          <w:tab w:leader="none" w:pos="1921" w:val="left"/>
        </w:tabs>
        <w:numPr>
          <w:ilvl w:val="1"/>
          <w:numId w:val="94"/>
        </w:numPr>
        <w:rPr>
          <w:rFonts w:ascii="Arial" w:cs="Arial" w:eastAsia="Arial" w:hAnsi="Arial"/>
          <w:sz w:val="22"/>
          <w:szCs w:val="22"/>
          <w:color w:val="auto"/>
        </w:rPr>
      </w:pPr>
      <w:r>
        <w:rPr>
          <w:rFonts w:ascii="Arial" w:cs="Arial" w:eastAsia="Arial" w:hAnsi="Arial"/>
          <w:sz w:val="22"/>
          <w:szCs w:val="22"/>
          <w:color w:val="auto"/>
        </w:rPr>
        <w:t>become insolvent or generally fail to pay, or admit in writing its inability or unwillingness generally to pay, debts as they become due;</w:t>
      </w:r>
    </w:p>
    <w:p>
      <w:pPr>
        <w:spacing w:after="0" w:line="174" w:lineRule="exact"/>
        <w:rPr>
          <w:rFonts w:ascii="Arial" w:cs="Arial" w:eastAsia="Arial" w:hAnsi="Arial"/>
          <w:sz w:val="22"/>
          <w:szCs w:val="22"/>
          <w:color w:val="auto"/>
        </w:rPr>
      </w:pPr>
    </w:p>
    <w:p>
      <w:pPr>
        <w:jc w:val="both"/>
        <w:ind w:left="740" w:right="20" w:firstLine="754"/>
        <w:spacing w:after="0"/>
        <w:tabs>
          <w:tab w:leader="none" w:pos="1921" w:val="left"/>
        </w:tabs>
        <w:numPr>
          <w:ilvl w:val="1"/>
          <w:numId w:val="94"/>
        </w:numPr>
        <w:rPr>
          <w:rFonts w:ascii="Arial" w:cs="Arial" w:eastAsia="Arial" w:hAnsi="Arial"/>
          <w:sz w:val="22"/>
          <w:szCs w:val="22"/>
          <w:color w:val="auto"/>
        </w:rPr>
      </w:pPr>
      <w:r>
        <w:rPr>
          <w:rFonts w:ascii="Arial" w:cs="Arial" w:eastAsia="Arial" w:hAnsi="Arial"/>
          <w:sz w:val="22"/>
          <w:szCs w:val="22"/>
          <w:color w:val="auto"/>
        </w:rPr>
        <w:t>apply for, consent to, or acquiesce in the appointment of a trustee, receiver, sequestrator or other custodian for any substantial part of the property of any thereof, or make a general assignment for the benefit of creditors;</w:t>
      </w:r>
    </w:p>
    <w:p>
      <w:pPr>
        <w:spacing w:after="0" w:line="186" w:lineRule="exact"/>
        <w:rPr>
          <w:rFonts w:ascii="Arial" w:cs="Arial" w:eastAsia="Arial" w:hAnsi="Arial"/>
          <w:sz w:val="22"/>
          <w:szCs w:val="22"/>
          <w:color w:val="auto"/>
        </w:rPr>
      </w:pPr>
    </w:p>
    <w:p>
      <w:pPr>
        <w:jc w:val="both"/>
        <w:ind w:left="740" w:firstLine="754"/>
        <w:spacing w:after="0" w:line="248" w:lineRule="exact"/>
        <w:tabs>
          <w:tab w:leader="none" w:pos="1921" w:val="left"/>
        </w:tabs>
        <w:numPr>
          <w:ilvl w:val="1"/>
          <w:numId w:val="94"/>
        </w:numPr>
        <w:rPr>
          <w:rFonts w:ascii="Arial" w:cs="Arial" w:eastAsia="Arial" w:hAnsi="Arial"/>
          <w:sz w:val="21"/>
          <w:szCs w:val="21"/>
          <w:color w:val="auto"/>
        </w:rPr>
      </w:pPr>
      <w:r>
        <w:rPr>
          <w:rFonts w:ascii="Arial" w:cs="Arial" w:eastAsia="Arial" w:hAnsi="Arial"/>
          <w:sz w:val="21"/>
          <w:szCs w:val="21"/>
          <w:color w:val="auto"/>
        </w:rPr>
        <w:t xml:space="preserve">in the absence of such application, consent or acquiescence in or permit or suffer to exist the appointment of a trustee, receiver, sequestrator or other custodian for a substantial part of the property of any thereof, and such trustee, receiver, sequestrator or other custodian shall not be discharged within 60 days;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and each Subsidiary hereby expressly authorizes the Administrative Agent and the Lenders to appear in any court conducting any relevant proceeding during such 60</w:t>
      </w:r>
      <w:r>
        <w:rPr>
          <w:rFonts w:ascii="MS PGothic" w:cs="MS PGothic" w:eastAsia="MS PGothic" w:hAnsi="MS PGothic"/>
          <w:sz w:val="21"/>
          <w:szCs w:val="21"/>
          <w:color w:val="auto"/>
        </w:rPr>
        <w:t>‑</w:t>
      </w:r>
      <w:r>
        <w:rPr>
          <w:rFonts w:ascii="Arial" w:cs="Arial" w:eastAsia="Arial" w:hAnsi="Arial"/>
          <w:sz w:val="21"/>
          <w:szCs w:val="21"/>
          <w:color w:val="auto"/>
        </w:rPr>
        <w:t>day period to preserve, protect and defend its rights under the Investment Documents;</w:t>
      </w:r>
    </w:p>
    <w:p>
      <w:pPr>
        <w:spacing w:after="0" w:line="188" w:lineRule="exact"/>
        <w:rPr>
          <w:rFonts w:ascii="Arial" w:cs="Arial" w:eastAsia="Arial" w:hAnsi="Arial"/>
          <w:sz w:val="21"/>
          <w:szCs w:val="21"/>
          <w:color w:val="auto"/>
        </w:rPr>
      </w:pPr>
    </w:p>
    <w:p>
      <w:pPr>
        <w:jc w:val="both"/>
        <w:ind w:left="740" w:firstLine="754"/>
        <w:spacing w:after="0" w:line="235" w:lineRule="auto"/>
        <w:tabs>
          <w:tab w:leader="none" w:pos="1921" w:val="left"/>
        </w:tabs>
        <w:numPr>
          <w:ilvl w:val="1"/>
          <w:numId w:val="94"/>
        </w:numPr>
        <w:rPr>
          <w:rFonts w:ascii="Arial" w:cs="Arial" w:eastAsia="Arial" w:hAnsi="Arial"/>
          <w:sz w:val="22"/>
          <w:szCs w:val="22"/>
          <w:color w:val="auto"/>
        </w:rPr>
      </w:pPr>
      <w:r>
        <w:rPr>
          <w:rFonts w:ascii="Arial" w:cs="Arial" w:eastAsia="Arial" w:hAnsi="Arial"/>
          <w:sz w:val="22"/>
          <w:szCs w:val="22"/>
          <w:color w:val="auto"/>
        </w:rPr>
        <w:t>permit or suffer to exist the commencement of any bankruptcy, insolvency, reorganization, debt arrangement, arrangement (including any plan of compromise or arrangement or other corporate proceeding involving or affecting its creditors) or other case or proceeding under any bankruptcy or insolvency law or any dissolution, winding up or liquidation proceeding, in respect thereof (each, an “</w:t>
      </w:r>
      <w:r>
        <w:rPr>
          <w:rFonts w:ascii="Arial" w:cs="Arial" w:eastAsia="Arial" w:hAnsi="Arial"/>
          <w:sz w:val="22"/>
          <w:szCs w:val="22"/>
          <w:u w:val="single" w:color="auto"/>
          <w:color w:val="auto"/>
        </w:rPr>
        <w:t>Insolvency Event</w:t>
      </w:r>
      <w:r>
        <w:rPr>
          <w:rFonts w:ascii="Arial" w:cs="Arial" w:eastAsia="Arial" w:hAnsi="Arial"/>
          <w:sz w:val="22"/>
          <w:szCs w:val="22"/>
          <w:color w:val="auto"/>
        </w:rPr>
        <w:t>”), and, if any such case or proceeding is not commenced by the Borrower or any Subsidiary, such case or proceeding shall be consented to or</w:t>
      </w:r>
    </w:p>
    <w:p>
      <w:pPr>
        <w:spacing w:after="0" w:line="187" w:lineRule="exact"/>
        <w:rPr>
          <w:rFonts w:ascii="Arial" w:cs="Arial" w:eastAsia="Arial" w:hAnsi="Arial"/>
          <w:sz w:val="22"/>
          <w:szCs w:val="22"/>
          <w:color w:val="auto"/>
        </w:rPr>
      </w:pPr>
    </w:p>
    <w:p>
      <w:pPr>
        <w:ind w:left="4760" w:hanging="130"/>
        <w:spacing w:after="0"/>
        <w:tabs>
          <w:tab w:leader="none" w:pos="4760" w:val="left"/>
        </w:tabs>
        <w:numPr>
          <w:ilvl w:val="2"/>
          <w:numId w:val="94"/>
        </w:numPr>
        <w:rPr>
          <w:rFonts w:ascii="Arial" w:cs="Arial" w:eastAsia="Arial" w:hAnsi="Arial"/>
          <w:sz w:val="22"/>
          <w:szCs w:val="22"/>
          <w:color w:val="auto"/>
        </w:rPr>
      </w:pPr>
      <w:r>
        <w:rPr>
          <w:rFonts w:ascii="Arial" w:cs="Arial" w:eastAsia="Arial" w:hAnsi="Arial"/>
          <w:sz w:val="22"/>
          <w:szCs w:val="22"/>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405765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1" w:right="339" w:bottom="1440" w:gutter="0" w:footer="0" w:header="0"/>
        </w:sectPr>
      </w:pPr>
    </w:p>
    <w:bookmarkStart w:id="102" w:name="page103"/>
    <w:bookmarkEnd w:id="102"/>
    <w:p>
      <w:pPr>
        <w:jc w:val="both"/>
        <w:ind w:left="743"/>
        <w:spacing w:after="0" w:line="249" w:lineRule="exact"/>
        <w:rPr>
          <w:sz w:val="20"/>
          <w:szCs w:val="20"/>
          <w:color w:val="auto"/>
        </w:rPr>
      </w:pPr>
      <w:r>
        <w:rPr>
          <w:rFonts w:ascii="Arial" w:cs="Arial" w:eastAsia="Arial" w:hAnsi="Arial"/>
          <w:sz w:val="22"/>
          <w:szCs w:val="22"/>
          <w:color w:val="auto"/>
        </w:rPr>
        <w:t xml:space="preserve">acquiesced in by the Borrower or such Subsidiary, as the case may be, or shall result in the entry of an order for relief or shall remain for 60 days undismissed;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and each Subsidiary hereby expressly authorizes the Administrative Agent and the Lenders to appear in any court conducting any such case or proceeding during such 60</w:t>
      </w:r>
      <w:r>
        <w:rPr>
          <w:rFonts w:ascii="MS PGothic" w:cs="MS PGothic" w:eastAsia="MS PGothic" w:hAnsi="MS PGothic"/>
          <w:sz w:val="22"/>
          <w:szCs w:val="22"/>
          <w:color w:val="auto"/>
        </w:rPr>
        <w:t>‑</w:t>
      </w:r>
      <w:r>
        <w:rPr>
          <w:rFonts w:ascii="Arial" w:cs="Arial" w:eastAsia="Arial" w:hAnsi="Arial"/>
          <w:sz w:val="22"/>
          <w:szCs w:val="22"/>
          <w:color w:val="auto"/>
        </w:rPr>
        <w:t>day period to preserve, protect and defend its rights under the Investment Documents; or</w:t>
      </w:r>
    </w:p>
    <w:p>
      <w:pPr>
        <w:spacing w:after="0" w:line="187" w:lineRule="exact"/>
        <w:rPr>
          <w:sz w:val="20"/>
          <w:szCs w:val="20"/>
          <w:color w:val="auto"/>
        </w:rPr>
      </w:pPr>
    </w:p>
    <w:p>
      <w:pPr>
        <w:ind w:left="1923" w:hanging="426"/>
        <w:spacing w:after="0"/>
        <w:tabs>
          <w:tab w:leader="none" w:pos="1923" w:val="left"/>
        </w:tabs>
        <w:numPr>
          <w:ilvl w:val="2"/>
          <w:numId w:val="95"/>
        </w:numPr>
        <w:rPr>
          <w:rFonts w:ascii="Arial" w:cs="Arial" w:eastAsia="Arial" w:hAnsi="Arial"/>
          <w:sz w:val="22"/>
          <w:szCs w:val="22"/>
          <w:color w:val="auto"/>
        </w:rPr>
      </w:pPr>
      <w:r>
        <w:rPr>
          <w:rFonts w:ascii="Arial" w:cs="Arial" w:eastAsia="Arial" w:hAnsi="Arial"/>
          <w:sz w:val="22"/>
          <w:szCs w:val="22"/>
          <w:color w:val="auto"/>
        </w:rPr>
        <w:t>take any action authorizing, or in furtherance of, any of the foregoing.</w:t>
      </w:r>
    </w:p>
    <w:p>
      <w:pPr>
        <w:spacing w:after="0" w:line="206" w:lineRule="exact"/>
        <w:rPr>
          <w:rFonts w:ascii="Arial" w:cs="Arial" w:eastAsia="Arial" w:hAnsi="Arial"/>
          <w:sz w:val="22"/>
          <w:szCs w:val="22"/>
          <w:color w:val="auto"/>
        </w:rPr>
      </w:pPr>
    </w:p>
    <w:p>
      <w:pPr>
        <w:jc w:val="both"/>
        <w:ind w:left="3" w:firstLine="745"/>
        <w:spacing w:after="0" w:line="248" w:lineRule="auto"/>
        <w:tabs>
          <w:tab w:leader="none" w:pos="1184" w:val="left"/>
        </w:tabs>
        <w:numPr>
          <w:ilvl w:val="1"/>
          <w:numId w:val="96"/>
        </w:numPr>
        <w:rPr>
          <w:rFonts w:ascii="Arial" w:cs="Arial" w:eastAsia="Arial" w:hAnsi="Arial"/>
          <w:sz w:val="21"/>
          <w:szCs w:val="21"/>
          <w:color w:val="auto"/>
        </w:rPr>
      </w:pPr>
      <w:r>
        <w:rPr>
          <w:rFonts w:ascii="Arial" w:cs="Arial" w:eastAsia="Arial" w:hAnsi="Arial"/>
          <w:sz w:val="21"/>
          <w:szCs w:val="21"/>
          <w:u w:val="single" w:color="auto"/>
          <w:color w:val="auto"/>
        </w:rPr>
        <w:t>Impairment of Security, Etc</w:t>
      </w:r>
      <w:r>
        <w:rPr>
          <w:rFonts w:ascii="Arial" w:cs="Arial" w:eastAsia="Arial" w:hAnsi="Arial"/>
          <w:sz w:val="21"/>
          <w:szCs w:val="21"/>
          <w:color w:val="auto"/>
        </w:rPr>
        <w:t>. Any Investment Document or any Lien granted under a Loan Document shall (except in accordance with its terms), in whole or in part, terminate, cease to be effective or cease to be the legally valid, binding and enforceable obligation of the Borrower or any Subsidiary party thereto; the Borrower, any Subsidiary or any other party shall, directly or indirectly, contest in any manner such effectiveness, validity, binding nature or enforceability; or, except as permitted under any Loan Document, any Lien securing any Obligation shall, in whole or in part, cease to be a perfected first priority Lien.</w:t>
      </w:r>
    </w:p>
    <w:p>
      <w:pPr>
        <w:spacing w:after="0" w:line="176" w:lineRule="exact"/>
        <w:rPr>
          <w:rFonts w:ascii="Arial" w:cs="Arial" w:eastAsia="Arial" w:hAnsi="Arial"/>
          <w:sz w:val="21"/>
          <w:szCs w:val="21"/>
          <w:color w:val="auto"/>
        </w:rPr>
      </w:pPr>
    </w:p>
    <w:p>
      <w:pPr>
        <w:jc w:val="both"/>
        <w:ind w:left="3" w:firstLine="745"/>
        <w:spacing w:after="0"/>
        <w:tabs>
          <w:tab w:leader="none" w:pos="1211"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Key Permit Events</w:t>
      </w:r>
      <w:r>
        <w:rPr>
          <w:rFonts w:ascii="Arial" w:cs="Arial" w:eastAsia="Arial" w:hAnsi="Arial"/>
          <w:sz w:val="22"/>
          <w:szCs w:val="22"/>
          <w:color w:val="auto"/>
        </w:rPr>
        <w:t>. Any Key Permit or any of the Borrower’s or any Subsidiary’s material rights or interests thereunder is terminated or amended in any manner adverse to the Borrower or any Subsidiary in any material respect.</w:t>
      </w:r>
    </w:p>
    <w:p>
      <w:pPr>
        <w:spacing w:after="0" w:line="186" w:lineRule="exact"/>
        <w:rPr>
          <w:rFonts w:ascii="Arial" w:cs="Arial" w:eastAsia="Arial" w:hAnsi="Arial"/>
          <w:sz w:val="22"/>
          <w:szCs w:val="22"/>
          <w:color w:val="auto"/>
        </w:rPr>
      </w:pPr>
    </w:p>
    <w:p>
      <w:pPr>
        <w:jc w:val="both"/>
        <w:ind w:left="3" w:firstLine="745"/>
        <w:spacing w:after="0" w:line="287" w:lineRule="auto"/>
        <w:tabs>
          <w:tab w:leader="none" w:pos="1197"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Key Person Event</w:t>
      </w:r>
      <w:r>
        <w:rPr>
          <w:rFonts w:ascii="Arial" w:cs="Arial" w:eastAsia="Arial" w:hAnsi="Arial"/>
          <w:sz w:val="19"/>
          <w:szCs w:val="19"/>
          <w:color w:val="auto"/>
        </w:rPr>
        <w:t>. If any of the following individuals ceases to be employed full time by the Borrower and actively working in the identified position: Jim Corbett, as Chief Executive Officer, unless within 120 days after such individual ceases to be employed full time and actively working in such position, the Borrower hires a replacement for such individual that is reasonably acceptable to the Administrative Agent and the Lenders.</w:t>
      </w:r>
    </w:p>
    <w:p>
      <w:pPr>
        <w:spacing w:after="0" w:line="142" w:lineRule="exact"/>
        <w:rPr>
          <w:rFonts w:ascii="Arial" w:cs="Arial" w:eastAsia="Arial" w:hAnsi="Arial"/>
          <w:sz w:val="19"/>
          <w:szCs w:val="19"/>
          <w:color w:val="auto"/>
        </w:rPr>
      </w:pPr>
    </w:p>
    <w:p>
      <w:pPr>
        <w:ind w:left="3" w:firstLine="745"/>
        <w:spacing w:after="0" w:line="250" w:lineRule="auto"/>
        <w:tabs>
          <w:tab w:leader="none" w:pos="1197"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Material Adverse Change</w:t>
      </w:r>
      <w:r>
        <w:rPr>
          <w:rFonts w:ascii="Arial" w:cs="Arial" w:eastAsia="Arial" w:hAnsi="Arial"/>
          <w:sz w:val="22"/>
          <w:szCs w:val="22"/>
          <w:color w:val="auto"/>
        </w:rPr>
        <w:t>. Any circumstance occurs has had or could reasonably be expected to have a Material Adverse Effect.</w:t>
      </w:r>
    </w:p>
    <w:p>
      <w:pPr>
        <w:spacing w:after="0" w:line="174" w:lineRule="exact"/>
        <w:rPr>
          <w:rFonts w:ascii="Arial" w:cs="Arial" w:eastAsia="Arial" w:hAnsi="Arial"/>
          <w:sz w:val="22"/>
          <w:szCs w:val="22"/>
          <w:color w:val="auto"/>
        </w:rPr>
      </w:pPr>
    </w:p>
    <w:p>
      <w:pPr>
        <w:jc w:val="both"/>
        <w:ind w:left="3" w:firstLine="745"/>
        <w:spacing w:after="0" w:line="270" w:lineRule="auto"/>
        <w:tabs>
          <w:tab w:leader="none" w:pos="1197"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Regulatory Matters</w:t>
      </w:r>
      <w:r>
        <w:rPr>
          <w:rFonts w:ascii="Arial" w:cs="Arial" w:eastAsia="Arial" w:hAnsi="Arial"/>
          <w:sz w:val="19"/>
          <w:szCs w:val="19"/>
          <w:color w:val="auto"/>
        </w:rPr>
        <w:t>. Any of the following occurs: (i) the FDA or any other Governmental Authority (A) issues a letter or other communication asserting that any Product lacks a required Regulatory Authorization or (B) initiates enforcement action against, or issues a warning letter with respect to the Borrower or any of the Subsidiaries, or any Product or the manufacturing facilities therefor, that in the case of either clause (A) or (B) causes the Borrower or such Subsidiary to discontinue marketing of or withdraw any Product, or causes a delay in the manufacture or offering of any Product, which discontinuance, withdrawal or delay could reasonably be expected to last for more than six months;</w:t>
      </w:r>
    </w:p>
    <w:p>
      <w:pPr>
        <w:spacing w:after="0" w:line="1" w:lineRule="exact"/>
        <w:rPr>
          <w:rFonts w:ascii="Arial" w:cs="Arial" w:eastAsia="Arial" w:hAnsi="Arial"/>
          <w:sz w:val="19"/>
          <w:szCs w:val="19"/>
          <w:color w:val="auto"/>
        </w:rPr>
      </w:pPr>
    </w:p>
    <w:p>
      <w:pPr>
        <w:jc w:val="both"/>
        <w:ind w:left="3" w:hanging="3"/>
        <w:spacing w:after="0" w:line="233" w:lineRule="auto"/>
        <w:tabs>
          <w:tab w:leader="none" w:pos="352"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there occurs a recall with respect to any Product which could reasonably be expected to result in (A) aggregate liability to the Borrower and the Subsidiaries in excess of $500,000 (exclusive of any amounts paid or covered by insurance or indemnity as to which the insurer or indemnifying party, as applicable, has been notified of the underlying claim and has not disputed or otherwise contested in writing such insurance coverage or indemnification obligation, as applicable, and exclusive of the value of such Product) or</w:t>
      </w:r>
    </w:p>
    <w:p>
      <w:pPr>
        <w:spacing w:after="0" w:line="185" w:lineRule="exact"/>
        <w:rPr>
          <w:rFonts w:ascii="Arial" w:cs="Arial" w:eastAsia="Arial" w:hAnsi="Arial"/>
          <w:sz w:val="22"/>
          <w:szCs w:val="22"/>
          <w:color w:val="auto"/>
        </w:rPr>
      </w:pPr>
    </w:p>
    <w:p>
      <w:pPr>
        <w:ind w:left="4763" w:hanging="130"/>
        <w:spacing w:after="0"/>
        <w:tabs>
          <w:tab w:leader="none" w:pos="4763" w:val="left"/>
        </w:tabs>
        <w:numPr>
          <w:ilvl w:val="3"/>
          <w:numId w:val="97"/>
        </w:numPr>
        <w:rPr>
          <w:rFonts w:ascii="Arial" w:cs="Arial" w:eastAsia="Arial" w:hAnsi="Arial"/>
          <w:sz w:val="22"/>
          <w:szCs w:val="22"/>
          <w:color w:val="auto"/>
        </w:rPr>
      </w:pPr>
      <w:r>
        <w:rPr>
          <w:rFonts w:ascii="Arial" w:cs="Arial" w:eastAsia="Arial" w:hAnsi="Arial"/>
          <w:sz w:val="22"/>
          <w:szCs w:val="22"/>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405765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61" w:right="339" w:bottom="1440" w:gutter="0" w:footer="0" w:header="0"/>
        </w:sectPr>
      </w:pPr>
    </w:p>
    <w:bookmarkStart w:id="103" w:name="page104"/>
    <w:bookmarkEnd w:id="103"/>
    <w:p>
      <w:pPr>
        <w:jc w:val="both"/>
        <w:ind w:left="760" w:hanging="3"/>
        <w:spacing w:after="0" w:line="235" w:lineRule="auto"/>
        <w:tabs>
          <w:tab w:leader="none" w:pos="1103" w:val="left"/>
        </w:tabs>
        <w:numPr>
          <w:ilvl w:val="0"/>
          <w:numId w:val="98"/>
        </w:numPr>
        <w:rPr>
          <w:rFonts w:ascii="Arial" w:cs="Arial" w:eastAsia="Arial" w:hAnsi="Arial"/>
          <w:sz w:val="22"/>
          <w:szCs w:val="22"/>
          <w:color w:val="auto"/>
        </w:rPr>
      </w:pPr>
      <w:r>
        <w:rPr>
          <w:rFonts w:ascii="Arial" w:cs="Arial" w:eastAsia="Arial" w:hAnsi="Arial"/>
          <w:sz w:val="22"/>
          <w:szCs w:val="22"/>
          <w:color w:val="auto"/>
        </w:rPr>
        <w:t>a Material Adverse Effect; or (iii) the Borrower or any of the Subsidiaries enters into a settlement agreement with the FDA, CMS or any other Governmental Authority with respect to any Product that results in aggregate liability as to any single or related series of transactions, incidents or conditions in excess of $500,000 (exclusive of any amounts paid or covered by insurance or indemnity as to which the insurer or indemnifying party, as applicable, has been notified of the underlying claim and has not disputed or otherwise contested in writing such insurance coverage or indemnification obligation, as applicable).</w:t>
      </w:r>
    </w:p>
    <w:p>
      <w:pPr>
        <w:spacing w:after="0" w:line="187" w:lineRule="exact"/>
        <w:rPr>
          <w:rFonts w:ascii="Arial" w:cs="Arial" w:eastAsia="Arial" w:hAnsi="Arial"/>
          <w:sz w:val="22"/>
          <w:szCs w:val="22"/>
          <w:color w:val="auto"/>
        </w:rPr>
      </w:pPr>
    </w:p>
    <w:p>
      <w:pPr>
        <w:ind w:left="760" w:firstLine="745"/>
        <w:spacing w:after="0" w:line="328" w:lineRule="auto"/>
        <w:tabs>
          <w:tab w:leader="none" w:pos="1941" w:val="left"/>
        </w:tabs>
        <w:numPr>
          <w:ilvl w:val="1"/>
          <w:numId w:val="98"/>
        </w:numPr>
        <w:rPr>
          <w:rFonts w:ascii="Arial" w:cs="Arial" w:eastAsia="Arial" w:hAnsi="Arial"/>
          <w:sz w:val="19"/>
          <w:szCs w:val="19"/>
          <w:color w:val="auto"/>
        </w:rPr>
      </w:pPr>
      <w:r>
        <w:rPr>
          <w:rFonts w:ascii="Arial" w:cs="Arial" w:eastAsia="Arial" w:hAnsi="Arial"/>
          <w:sz w:val="19"/>
          <w:szCs w:val="19"/>
          <w:u w:val="single" w:color="auto"/>
          <w:color w:val="auto"/>
        </w:rPr>
        <w:t>Key Contracts</w:t>
      </w:r>
      <w:r>
        <w:rPr>
          <w:rFonts w:ascii="Arial" w:cs="Arial" w:eastAsia="Arial" w:hAnsi="Arial"/>
          <w:sz w:val="19"/>
          <w:szCs w:val="19"/>
          <w:color w:val="auto"/>
        </w:rPr>
        <w:t>. Any of the Key Contracts is terminated for any reason, or the Borrower or any Subsidiaries receives a termination notice (written or otherwise) from any other Person party to any Key Contract.</w:t>
      </w:r>
    </w:p>
    <w:p>
      <w:pPr>
        <w:spacing w:after="0" w:line="10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9.2 </w:t>
      </w:r>
      <w:r>
        <w:rPr>
          <w:rFonts w:ascii="Arial" w:cs="Arial" w:eastAsia="Arial" w:hAnsi="Arial"/>
          <w:sz w:val="22"/>
          <w:szCs w:val="22"/>
          <w:u w:val="single" w:color="auto"/>
          <w:color w:val="auto"/>
        </w:rPr>
        <w:t>Action if Bankruptcy</w:t>
      </w:r>
      <w:r>
        <w:rPr>
          <w:rFonts w:ascii="Arial" w:cs="Arial" w:eastAsia="Arial" w:hAnsi="Arial"/>
          <w:sz w:val="22"/>
          <w:szCs w:val="22"/>
          <w:color w:val="auto"/>
        </w:rPr>
        <w:t xml:space="preserve">. If any Event of Default described in clauses (i) through (iv) of </w:t>
      </w:r>
      <w:r>
        <w:rPr>
          <w:rFonts w:ascii="Arial" w:cs="Arial" w:eastAsia="Arial" w:hAnsi="Arial"/>
          <w:sz w:val="22"/>
          <w:szCs w:val="22"/>
          <w:u w:val="single" w:color="auto"/>
          <w:color w:val="auto"/>
        </w:rPr>
        <w:t>Section 9.1(h)</w:t>
      </w:r>
      <w:r>
        <w:rPr>
          <w:rFonts w:ascii="Arial" w:cs="Arial" w:eastAsia="Arial" w:hAnsi="Arial"/>
          <w:sz w:val="22"/>
          <w:szCs w:val="22"/>
          <w:color w:val="auto"/>
        </w:rPr>
        <w:t xml:space="preserve"> with respect to the Borrower shall occur, the Commitments (if not theretofore terminated) shall automatically terminate and the outstanding principal amount of the Loans and all other Obligations shall automatically be and become immediately due and payable, without notice or demand to any Person.</w:t>
      </w:r>
    </w:p>
    <w:p>
      <w:pPr>
        <w:spacing w:after="0" w:line="18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 xml:space="preserve">SECTION 9.3 </w:t>
      </w:r>
      <w:r>
        <w:rPr>
          <w:rFonts w:ascii="Arial" w:cs="Arial" w:eastAsia="Arial" w:hAnsi="Arial"/>
          <w:sz w:val="21"/>
          <w:szCs w:val="21"/>
          <w:u w:val="single" w:color="auto"/>
          <w:color w:val="auto"/>
        </w:rPr>
        <w:t>Action if Other Event of Default</w:t>
      </w:r>
      <w:r>
        <w:rPr>
          <w:rFonts w:ascii="Arial" w:cs="Arial" w:eastAsia="Arial" w:hAnsi="Arial"/>
          <w:sz w:val="21"/>
          <w:szCs w:val="21"/>
          <w:color w:val="auto"/>
        </w:rPr>
        <w:t xml:space="preserve">. If any Event of Default (other than any Event of Default described in clauses (i) through (iv) of </w:t>
      </w:r>
      <w:r>
        <w:rPr>
          <w:rFonts w:ascii="Arial" w:cs="Arial" w:eastAsia="Arial" w:hAnsi="Arial"/>
          <w:sz w:val="21"/>
          <w:szCs w:val="21"/>
          <w:u w:val="single" w:color="auto"/>
          <w:color w:val="auto"/>
        </w:rPr>
        <w:t>Section 9.1(h))</w:t>
      </w:r>
      <w:r>
        <w:rPr>
          <w:rFonts w:ascii="Arial" w:cs="Arial" w:eastAsia="Arial" w:hAnsi="Arial"/>
          <w:sz w:val="21"/>
          <w:szCs w:val="21"/>
          <w:color w:val="auto"/>
        </w:rPr>
        <w:t xml:space="preserve"> shall occur for any reason, whether voluntary or involuntary, and be continuing, the Administrative Agent may, and at the direction of the Lenders shall, by notice to the Borrower declare all or any portion of the outstanding principal amount of the Loans and other Obligations to be due and payable and/or the Commitments (if not theretofore terminated) to be terminated, whereupon the full unpaid amount of the Loans and other Obligations which shall be so declared due and payable shall be and become immediately due and payable, without further notice, demand or presentment, and the Commitments shall terminate.</w:t>
      </w:r>
    </w:p>
    <w:p>
      <w:pPr>
        <w:spacing w:after="0" w:line="184" w:lineRule="exact"/>
        <w:rPr>
          <w:sz w:val="20"/>
          <w:szCs w:val="20"/>
          <w:color w:val="auto"/>
        </w:rPr>
      </w:pPr>
    </w:p>
    <w:p>
      <w:pPr>
        <w:jc w:val="both"/>
        <w:ind w:firstLine="749"/>
        <w:spacing w:after="0"/>
        <w:rPr>
          <w:sz w:val="20"/>
          <w:szCs w:val="20"/>
          <w:color w:val="auto"/>
        </w:rPr>
      </w:pPr>
      <w:r>
        <w:rPr>
          <w:rFonts w:ascii="Arial" w:cs="Arial" w:eastAsia="Arial" w:hAnsi="Arial"/>
          <w:sz w:val="22"/>
          <w:szCs w:val="22"/>
          <w:u w:val="single" w:color="auto"/>
          <w:color w:val="auto"/>
        </w:rPr>
        <w:t>SECTION 9.4 Application of Funds.</w:t>
      </w:r>
      <w:r>
        <w:rPr>
          <w:rFonts w:ascii="Arial" w:cs="Arial" w:eastAsia="Arial" w:hAnsi="Arial"/>
          <w:sz w:val="22"/>
          <w:szCs w:val="22"/>
          <w:color w:val="auto"/>
        </w:rPr>
        <w:t xml:space="preserve"> After the exercise of remedies provided for in Section 9.3 (or after the Loans have automatically become immediately due and payable as set forth in Section 9.2), any amounts received by any Lender or the Administrative Agent on account of the Obligations shall be applied in the following order:</w:t>
      </w:r>
    </w:p>
    <w:p>
      <w:pPr>
        <w:spacing w:after="0" w:line="186" w:lineRule="exact"/>
        <w:rPr>
          <w:sz w:val="20"/>
          <w:szCs w:val="20"/>
          <w:color w:val="auto"/>
        </w:rPr>
      </w:pPr>
    </w:p>
    <w:p>
      <w:pPr>
        <w:jc w:val="both"/>
        <w:ind w:left="1500"/>
        <w:spacing w:after="0"/>
        <w:rPr>
          <w:sz w:val="20"/>
          <w:szCs w:val="20"/>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22"/>
          <w:szCs w:val="22"/>
          <w:u w:val="single" w:color="auto"/>
          <w:color w:val="auto"/>
        </w:rPr>
        <w:t>Article III</w:t>
      </w:r>
      <w:r>
        <w:rPr>
          <w:rFonts w:ascii="Arial" w:cs="Arial" w:eastAsia="Arial" w:hAnsi="Arial"/>
          <w:sz w:val="22"/>
          <w:szCs w:val="22"/>
          <w:color w:val="auto"/>
        </w:rPr>
        <w:t>) payable to the Administrative Agent in its capacity as such;</w:t>
      </w:r>
    </w:p>
    <w:p>
      <w:pPr>
        <w:spacing w:after="0" w:line="186" w:lineRule="exact"/>
        <w:rPr>
          <w:sz w:val="20"/>
          <w:szCs w:val="20"/>
          <w:color w:val="auto"/>
        </w:rPr>
      </w:pPr>
    </w:p>
    <w:p>
      <w:pPr>
        <w:jc w:val="both"/>
        <w:ind w:left="1500"/>
        <w:spacing w:after="0" w:line="287" w:lineRule="auto"/>
        <w:rPr>
          <w:sz w:val="20"/>
          <w:szCs w:val="20"/>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payment of that portion of the Obligations constituting fees, indemnities and other amounts (other than principal and interest) payable to the Lenders (including fees, charges and disbursements of counsel to the respective Lenders) arising under the Loan Documents and amounts payable under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ratably among them in proportion to the respective amounts described in this </w:t>
      </w:r>
      <w:r>
        <w:rPr>
          <w:rFonts w:ascii="Arial" w:cs="Arial" w:eastAsia="Arial" w:hAnsi="Arial"/>
          <w:sz w:val="19"/>
          <w:szCs w:val="19"/>
          <w:u w:val="single" w:color="auto"/>
          <w:color w:val="auto"/>
        </w:rPr>
        <w:t>clause Second</w:t>
      </w:r>
      <w:r>
        <w:rPr>
          <w:rFonts w:ascii="Arial" w:cs="Arial" w:eastAsia="Arial" w:hAnsi="Arial"/>
          <w:sz w:val="19"/>
          <w:szCs w:val="19"/>
          <w:color w:val="auto"/>
        </w:rPr>
        <w:t xml:space="preserve"> payable to them;</w:t>
      </w:r>
    </w:p>
    <w:p>
      <w:pPr>
        <w:spacing w:after="0" w:line="143" w:lineRule="exact"/>
        <w:rPr>
          <w:sz w:val="20"/>
          <w:szCs w:val="20"/>
          <w:color w:val="auto"/>
        </w:rPr>
      </w:pPr>
    </w:p>
    <w:p>
      <w:pPr>
        <w:jc w:val="both"/>
        <w:ind w:left="1500"/>
        <w:spacing w:after="0" w:line="250" w:lineRule="auto"/>
        <w:rPr>
          <w:sz w:val="20"/>
          <w:szCs w:val="20"/>
          <w:color w:val="auto"/>
        </w:rPr>
      </w:pPr>
      <w:r>
        <w:rPr>
          <w:rFonts w:ascii="Arial" w:cs="Arial" w:eastAsia="Arial" w:hAnsi="Arial"/>
          <w:sz w:val="22"/>
          <w:szCs w:val="22"/>
          <w:u w:val="single" w:color="auto"/>
          <w:color w:val="auto"/>
        </w:rPr>
        <w:t>Third</w:t>
      </w:r>
      <w:r>
        <w:rPr>
          <w:rFonts w:ascii="Arial" w:cs="Arial" w:eastAsia="Arial" w:hAnsi="Arial"/>
          <w:sz w:val="22"/>
          <w:szCs w:val="22"/>
          <w:color w:val="auto"/>
        </w:rPr>
        <w:t>, to payment of that portion of the Obligations constituting accrued and unpaid interest on the Loans (including interest accruing after the commencement of 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4" w:name="page105"/>
    <w:bookmarkEnd w:id="104"/>
    <w:p>
      <w:pPr>
        <w:jc w:val="both"/>
        <w:ind w:left="1500"/>
        <w:spacing w:after="0"/>
        <w:rPr>
          <w:sz w:val="20"/>
          <w:szCs w:val="20"/>
          <w:color w:val="auto"/>
        </w:rPr>
      </w:pPr>
      <w:r>
        <w:rPr>
          <w:rFonts w:ascii="Arial" w:cs="Arial" w:eastAsia="Arial" w:hAnsi="Arial"/>
          <w:sz w:val="22"/>
          <w:szCs w:val="22"/>
          <w:color w:val="auto"/>
        </w:rPr>
        <w:t xml:space="preserve">proceeding in bankruptcy, insolvency or similar Law, whether or not permitted as a claim under such Law) and amounts payable under </w:t>
      </w:r>
      <w:r>
        <w:rPr>
          <w:rFonts w:ascii="Arial" w:cs="Arial" w:eastAsia="Arial" w:hAnsi="Arial"/>
          <w:sz w:val="22"/>
          <w:szCs w:val="22"/>
          <w:u w:val="single" w:color="auto"/>
          <w:color w:val="auto"/>
        </w:rPr>
        <w:t>Section 3.7</w:t>
      </w:r>
      <w:r>
        <w:rPr>
          <w:rFonts w:ascii="Arial" w:cs="Arial" w:eastAsia="Arial" w:hAnsi="Arial"/>
          <w:sz w:val="22"/>
          <w:szCs w:val="22"/>
          <w:color w:val="auto"/>
        </w:rPr>
        <w:t xml:space="preserve">, ratably among the Lenders in proportion to the respective amounts described in this </w:t>
      </w:r>
      <w:r>
        <w:rPr>
          <w:rFonts w:ascii="Arial" w:cs="Arial" w:eastAsia="Arial" w:hAnsi="Arial"/>
          <w:sz w:val="22"/>
          <w:szCs w:val="22"/>
          <w:u w:val="single" w:color="auto"/>
          <w:color w:val="auto"/>
        </w:rPr>
        <w:t>clause Third</w:t>
      </w:r>
      <w:r>
        <w:rPr>
          <w:rFonts w:ascii="Arial" w:cs="Arial" w:eastAsia="Arial" w:hAnsi="Arial"/>
          <w:sz w:val="22"/>
          <w:szCs w:val="22"/>
          <w:color w:val="auto"/>
        </w:rPr>
        <w:t xml:space="preserve"> held by them;</w:t>
      </w:r>
    </w:p>
    <w:p>
      <w:pPr>
        <w:spacing w:after="0" w:line="186" w:lineRule="exact"/>
        <w:rPr>
          <w:sz w:val="20"/>
          <w:szCs w:val="20"/>
          <w:color w:val="auto"/>
        </w:rPr>
      </w:pPr>
    </w:p>
    <w:p>
      <w:pPr>
        <w:jc w:val="both"/>
        <w:ind w:left="1500"/>
        <w:spacing w:after="0"/>
        <w:rPr>
          <w:sz w:val="20"/>
          <w:szCs w:val="20"/>
          <w:color w:val="auto"/>
        </w:rPr>
      </w:pPr>
      <w:r>
        <w:rPr>
          <w:rFonts w:ascii="Arial" w:cs="Arial" w:eastAsia="Arial" w:hAnsi="Arial"/>
          <w:sz w:val="22"/>
          <w:szCs w:val="22"/>
          <w:u w:val="single" w:color="auto"/>
          <w:color w:val="auto"/>
        </w:rPr>
        <w:t>Fourth</w:t>
      </w:r>
      <w:r>
        <w:rPr>
          <w:rFonts w:ascii="Arial" w:cs="Arial" w:eastAsia="Arial" w:hAnsi="Arial"/>
          <w:sz w:val="22"/>
          <w:szCs w:val="22"/>
          <w:color w:val="auto"/>
        </w:rPr>
        <w:t xml:space="preserve">, to payment of that portion of the Obligations constituting accrued and unpaid principal of the Loans, ratably among the Lenders in proportion to the respective amounts described in this </w:t>
      </w:r>
      <w:r>
        <w:rPr>
          <w:rFonts w:ascii="Arial" w:cs="Arial" w:eastAsia="Arial" w:hAnsi="Arial"/>
          <w:sz w:val="22"/>
          <w:szCs w:val="22"/>
          <w:u w:val="single" w:color="auto"/>
          <w:color w:val="auto"/>
        </w:rPr>
        <w:t>clause Fourth</w:t>
      </w:r>
      <w:r>
        <w:rPr>
          <w:rFonts w:ascii="Arial" w:cs="Arial" w:eastAsia="Arial" w:hAnsi="Arial"/>
          <w:sz w:val="22"/>
          <w:szCs w:val="22"/>
          <w:color w:val="auto"/>
        </w:rPr>
        <w:t xml:space="preserve"> held by them; and</w:t>
      </w:r>
    </w:p>
    <w:p>
      <w:pPr>
        <w:spacing w:after="0" w:line="186" w:lineRule="exact"/>
        <w:rPr>
          <w:sz w:val="20"/>
          <w:szCs w:val="20"/>
          <w:color w:val="auto"/>
        </w:rPr>
      </w:pPr>
    </w:p>
    <w:p>
      <w:pPr>
        <w:jc w:val="both"/>
        <w:ind w:left="1500"/>
        <w:spacing w:after="0" w:line="250" w:lineRule="auto"/>
        <w:rPr>
          <w:sz w:val="20"/>
          <w:szCs w:val="20"/>
          <w:color w:val="auto"/>
        </w:rPr>
      </w:pPr>
      <w:r>
        <w:rPr>
          <w:rFonts w:ascii="Arial" w:cs="Arial" w:eastAsia="Arial" w:hAnsi="Arial"/>
          <w:sz w:val="22"/>
          <w:szCs w:val="22"/>
          <w:u w:val="single" w:color="auto"/>
          <w:color w:val="auto"/>
        </w:rPr>
        <w:t>Last</w:t>
      </w:r>
      <w:r>
        <w:rPr>
          <w:rFonts w:ascii="Arial" w:cs="Arial" w:eastAsia="Arial" w:hAnsi="Arial"/>
          <w:sz w:val="22"/>
          <w:szCs w:val="22"/>
          <w:color w:val="auto"/>
        </w:rPr>
        <w:t>, the balance, if any, after all of the Obligations have been paid in full, to the Borrower or as otherwise required by Law.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MISCELLANEOUS PROVISIONS</w:t>
      </w:r>
    </w:p>
    <w:p>
      <w:pPr>
        <w:spacing w:after="0" w:line="188"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Waivers, Amendments, Etc</w:t>
      </w:r>
      <w:r>
        <w:rPr>
          <w:rFonts w:ascii="Arial" w:cs="Arial" w:eastAsia="Arial" w:hAnsi="Arial"/>
          <w:sz w:val="22"/>
          <w:szCs w:val="22"/>
          <w:color w:val="auto"/>
        </w:rPr>
        <w:t>. No amendment or waiver of any provision of this Agreement or any other Loan Document, and no consent to any departure by the Borrower or any Subsidiary therefrom, shall be effective unless in writing and signed by the Lenders and the Borrower or the applicable Subsidiary, as the case may be, and acknowledged by the Administrative Agent, and each such waiver or consent shall be effective only in the specific instance and for the specific purpose for which given.</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Notices; Time</w:t>
      </w:r>
    </w:p>
    <w:p>
      <w:pPr>
        <w:spacing w:after="0" w:line="206" w:lineRule="exact"/>
        <w:rPr>
          <w:sz w:val="20"/>
          <w:szCs w:val="20"/>
          <w:color w:val="auto"/>
        </w:rPr>
      </w:pPr>
    </w:p>
    <w:p>
      <w:pPr>
        <w:jc w:val="both"/>
        <w:ind w:left="760" w:firstLine="745"/>
        <w:spacing w:after="0" w:line="275" w:lineRule="auto"/>
        <w:tabs>
          <w:tab w:leader="none" w:pos="1941"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All notices and other communications provided under any Loan Document shall be in writing or by email and addressed, delivered or transmitted, if to the Borrower, the Administrative Agent or the Lenders, to the applicable Person at its address or email address set forth on </w:t>
      </w:r>
      <w:r>
        <w:rPr>
          <w:rFonts w:ascii="Arial" w:cs="Arial" w:eastAsia="Arial" w:hAnsi="Arial"/>
          <w:sz w:val="19"/>
          <w:szCs w:val="19"/>
          <w:u w:val="single" w:color="auto"/>
          <w:color w:val="auto"/>
        </w:rPr>
        <w:t>Schedule 10.2</w:t>
      </w:r>
      <w:r>
        <w:rPr>
          <w:rFonts w:ascii="Arial" w:cs="Arial" w:eastAsia="Arial" w:hAnsi="Arial"/>
          <w:sz w:val="19"/>
          <w:szCs w:val="19"/>
          <w:color w:val="auto"/>
        </w:rPr>
        <w:t xml:space="preserve"> hereto, or at such other address or email address as may be designated by such party in a notice to the other parties. Any notice, if mailed and properly addressed with postage prepaid or if properly addressed and sent by pre-paid courier service, shall be deemed given when received; any notice, if transmitted by email, shall be deemed given upon the earlier of (i) confirmation of receipt by the recipient and (y) the opening of business on the next Business Day for the recipient. Unless otherwise indicated, all references to the time of a day in a Loan Document shall refer to New York City time.</w:t>
      </w:r>
    </w:p>
    <w:p>
      <w:pPr>
        <w:spacing w:after="0" w:line="157" w:lineRule="exact"/>
        <w:rPr>
          <w:rFonts w:ascii="Arial" w:cs="Arial" w:eastAsia="Arial" w:hAnsi="Arial"/>
          <w:sz w:val="19"/>
          <w:szCs w:val="19"/>
          <w:color w:val="auto"/>
        </w:rPr>
      </w:pPr>
    </w:p>
    <w:p>
      <w:pPr>
        <w:jc w:val="both"/>
        <w:ind w:left="760" w:firstLine="745"/>
        <w:spacing w:after="0" w:line="245" w:lineRule="auto"/>
        <w:tabs>
          <w:tab w:leader="none" w:pos="1941" w:val="left"/>
        </w:tabs>
        <w:numPr>
          <w:ilvl w:val="0"/>
          <w:numId w:val="99"/>
        </w:numPr>
        <w:rPr>
          <w:rFonts w:ascii="Arial" w:cs="Arial" w:eastAsia="Arial" w:hAnsi="Arial"/>
          <w:sz w:val="21"/>
          <w:szCs w:val="21"/>
          <w:color w:val="auto"/>
        </w:rPr>
      </w:pPr>
      <w:r>
        <w:rPr>
          <w:rFonts w:ascii="Arial" w:cs="Arial" w:eastAsia="Arial" w:hAnsi="Arial"/>
          <w:sz w:val="21"/>
          <w:szCs w:val="21"/>
          <w:color w:val="auto"/>
        </w:rPr>
        <w:t xml:space="preserve">The Administrative Agent and the Lenders shall be entitled to rely and act upon any notices (including telephonic or electronic loan notices) purportedly given by or on behalf of the Borrower or any Guarantor even if (i) such notices were not made in a manner specified herein, were incomplete or were not preceded or followed by any other form of notice specified herein, or (ii) the terms thereof, as understood by the recipient, varied from any confirmation thereof. The Borrower and each Guarantor shall indemnify the Administrative Agent, each Lender and their respective partners, directors, officers, employees, agents, trustees, administrators, managers, advisors and representatives from all losses, costs, expenses and liabilities resulting from the reliance by such Person on each notice purportedly given by or on behalf of the Borrower and each Guarantor;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indemnity shall not, as to any Person be available to the extent that such losses,</w:t>
      </w:r>
    </w:p>
    <w:p>
      <w:pPr>
        <w:spacing w:after="0" w:line="184" w:lineRule="exact"/>
        <w:rPr>
          <w:rFonts w:ascii="Arial" w:cs="Arial" w:eastAsia="Arial" w:hAnsi="Arial"/>
          <w:sz w:val="21"/>
          <w:szCs w:val="21"/>
          <w:color w:val="auto"/>
        </w:rPr>
      </w:pPr>
    </w:p>
    <w:p>
      <w:pPr>
        <w:ind w:left="5520" w:hanging="130"/>
        <w:spacing w:after="0"/>
        <w:tabs>
          <w:tab w:leader="none" w:pos="5520" w:val="left"/>
        </w:tabs>
        <w:numPr>
          <w:ilvl w:val="1"/>
          <w:numId w:val="99"/>
        </w:numPr>
        <w:rPr>
          <w:rFonts w:ascii="Arial" w:cs="Arial" w:eastAsia="Arial" w:hAnsi="Arial"/>
          <w:sz w:val="22"/>
          <w:szCs w:val="22"/>
          <w:color w:val="auto"/>
        </w:rPr>
      </w:pPr>
      <w:r>
        <w:rPr>
          <w:rFonts w:ascii="Arial" w:cs="Arial" w:eastAsia="Arial" w:hAnsi="Arial"/>
          <w:sz w:val="22"/>
          <w:szCs w:val="22"/>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5" w:name="page106"/>
    <w:bookmarkEnd w:id="105"/>
    <w:p>
      <w:pPr>
        <w:ind w:left="760"/>
        <w:spacing w:after="0" w:line="250" w:lineRule="auto"/>
        <w:rPr>
          <w:sz w:val="20"/>
          <w:szCs w:val="20"/>
          <w:color w:val="auto"/>
        </w:rPr>
      </w:pPr>
      <w:r>
        <w:rPr>
          <w:rFonts w:ascii="Arial" w:cs="Arial" w:eastAsia="Arial" w:hAnsi="Arial"/>
          <w:sz w:val="22"/>
          <w:szCs w:val="22"/>
          <w:color w:val="auto"/>
        </w:rPr>
        <w:t>costs, expenses or liabilities are determined by a court of competent jurisdiction by final and non-appealable judgment to have resulted from the gross negligence or willful misconduct of such Person.</w:t>
      </w:r>
    </w:p>
    <w:p>
      <w:pPr>
        <w:spacing w:after="0" w:line="175"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Payment of Costs and Expenses</w:t>
      </w:r>
      <w:r>
        <w:rPr>
          <w:rFonts w:ascii="Arial" w:cs="Arial" w:eastAsia="Arial" w:hAnsi="Arial"/>
          <w:sz w:val="19"/>
          <w:szCs w:val="19"/>
          <w:color w:val="auto"/>
        </w:rPr>
        <w:t>. The Borrower agrees to pay to the Administrative Agent, for the account of each Lender, on demand all expenses of the Administrative Agent and the Lenders (including the fees and out-of-pocket expenses of Covington &amp; Burling LLP, counsel to the Administrative Agent and the Lenders, and of local counsel, if any, who may be retained by or on behalf of the Administrative Agent and the Lenders) in connection with:</w:t>
      </w:r>
    </w:p>
    <w:p>
      <w:pPr>
        <w:spacing w:after="0" w:line="143" w:lineRule="exact"/>
        <w:rPr>
          <w:sz w:val="20"/>
          <w:szCs w:val="20"/>
          <w:color w:val="auto"/>
        </w:rPr>
      </w:pPr>
    </w:p>
    <w:p>
      <w:pPr>
        <w:jc w:val="both"/>
        <w:ind w:left="760" w:firstLine="745"/>
        <w:spacing w:after="0" w:line="252" w:lineRule="auto"/>
        <w:tabs>
          <w:tab w:leader="none" w:pos="1941" w:val="left"/>
        </w:tabs>
        <w:numPr>
          <w:ilvl w:val="0"/>
          <w:numId w:val="100"/>
        </w:numPr>
        <w:rPr>
          <w:rFonts w:ascii="Arial" w:cs="Arial" w:eastAsia="Arial" w:hAnsi="Arial"/>
          <w:sz w:val="21"/>
          <w:szCs w:val="21"/>
          <w:color w:val="auto"/>
        </w:rPr>
      </w:pPr>
      <w:r>
        <w:rPr>
          <w:rFonts w:ascii="Arial" w:cs="Arial" w:eastAsia="Arial" w:hAnsi="Arial"/>
          <w:sz w:val="21"/>
          <w:szCs w:val="21"/>
          <w:color w:val="auto"/>
        </w:rPr>
        <w:t>expenses incurred by the Administrative Agent or the Lenders in the negotiation, preparation, execution and delivery of each Investment Document, including schedules and exhibits, and any amendments, waivers, consents, supplements or other modifications to any Investment Document as may from time to time hereafter be required, whether or not the transactions contemplated hereby are consummated;</w:t>
      </w:r>
    </w:p>
    <w:p>
      <w:pPr>
        <w:spacing w:after="0" w:line="173" w:lineRule="exact"/>
        <w:rPr>
          <w:rFonts w:ascii="Arial" w:cs="Arial" w:eastAsia="Arial" w:hAnsi="Arial"/>
          <w:sz w:val="21"/>
          <w:szCs w:val="21"/>
          <w:color w:val="auto"/>
        </w:rPr>
      </w:pPr>
    </w:p>
    <w:p>
      <w:pPr>
        <w:jc w:val="both"/>
        <w:ind w:left="760" w:firstLine="745"/>
        <w:spacing w:after="0" w:line="236" w:lineRule="auto"/>
        <w:tabs>
          <w:tab w:leader="none" w:pos="194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filing or recording of any Loan Document (including any financing statements) and all amendments, supplements, amendment and restatements and other modifications to any thereof, searches made following the Closing Date in jurisdictions where financing statements (or other documents evidencing Liens in favor of the Secured Parties) have been recorded and any and all other documents or instruments of further assurance required to be filed or recorded by the terms of any Loan Document;</w:t>
      </w:r>
    </w:p>
    <w:p>
      <w:pPr>
        <w:spacing w:after="0" w:line="187" w:lineRule="exact"/>
        <w:rPr>
          <w:rFonts w:ascii="Arial" w:cs="Arial" w:eastAsia="Arial" w:hAnsi="Arial"/>
          <w:sz w:val="22"/>
          <w:szCs w:val="22"/>
          <w:color w:val="auto"/>
        </w:rPr>
      </w:pPr>
    </w:p>
    <w:p>
      <w:pPr>
        <w:ind w:left="760" w:right="60" w:firstLine="745"/>
        <w:spacing w:after="0" w:line="250" w:lineRule="auto"/>
        <w:tabs>
          <w:tab w:leader="none" w:pos="194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preparation and review of the form of any document or instrument relevant to any Investment Document; and</w:t>
      </w:r>
    </w:p>
    <w:p>
      <w:pPr>
        <w:spacing w:after="0" w:line="174" w:lineRule="exact"/>
        <w:rPr>
          <w:rFonts w:ascii="Arial" w:cs="Arial" w:eastAsia="Arial" w:hAnsi="Arial"/>
          <w:sz w:val="22"/>
          <w:szCs w:val="22"/>
          <w:color w:val="auto"/>
        </w:rPr>
      </w:pPr>
    </w:p>
    <w:p>
      <w:pPr>
        <w:ind w:left="760" w:right="20" w:firstLine="745"/>
        <w:spacing w:after="0" w:line="250" w:lineRule="auto"/>
        <w:tabs>
          <w:tab w:leader="none" w:pos="194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reasonable legal diligence, consulting and other advice in connection with the Borrower, the Subsidiaries and any of their Related Parties.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Initial Lender shall apply the $100,000 expense deposit that the Borrower furnished to the Administrative Agent prior to the Closing Date to the fees and expenses that are payable or reimbursable in accordance with the foregoing sentence. The Borrower further agrees to pay, and to hold the Administrative Agent and the Lenders harmless from all liability for, any stamp or other taxes which may be payable in connection with the execution or delivery of each Loan Document, the Loans or the issuance of the Note. The Borrower also agrees to reimburse the Administrative Agent and the Lenders upon demand for all reasonable out-of-pocket expenses (including reasonable attorneys’ fees and legal expenses of counsel to the Administrative Agent and the Lenders) incurred by the Administrative Agent and each Lender in connection with (x) the negotiation of any restructuring or “work-out” with the Borrower, whether or not consummated, of any Obligations and (y) the enforcement of any Obligations.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6" w:name="page107"/>
    <w:bookmarkEnd w:id="106"/>
    <w:p>
      <w:pPr>
        <w:spacing w:after="0"/>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06" w:lineRule="exact"/>
        <w:rPr>
          <w:sz w:val="20"/>
          <w:szCs w:val="20"/>
          <w:color w:val="auto"/>
        </w:rPr>
      </w:pPr>
    </w:p>
    <w:p>
      <w:pPr>
        <w:jc w:val="both"/>
        <w:ind w:firstLine="745"/>
        <w:spacing w:after="0" w:line="271" w:lineRule="auto"/>
        <w:tabs>
          <w:tab w:leader="none" w:pos="1194"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In consideration of the execution and delivery of this Agreement by the Administrative Agent and the Lenders, the Borrower hereby indemnifies, agrees to defend, exonerates and holds each Lender and the Administrative Agent (and any sub-agent thereof) and each of their respective partners, directors, officers, employees, agents, trustees, administrators, managers, advisors and representatives (collectively, the “</w:t>
      </w:r>
      <w:r>
        <w:rPr>
          <w:rFonts w:ascii="Arial" w:cs="Arial" w:eastAsia="Arial" w:hAnsi="Arial"/>
          <w:sz w:val="19"/>
          <w:szCs w:val="19"/>
          <w:u w:val="single" w:color="auto"/>
          <w:color w:val="auto"/>
        </w:rPr>
        <w:t>Indemnified Parties</w:t>
      </w:r>
      <w:r>
        <w:rPr>
          <w:rFonts w:ascii="Arial" w:cs="Arial" w:eastAsia="Arial" w:hAnsi="Arial"/>
          <w:sz w:val="19"/>
          <w:szCs w:val="19"/>
          <w:color w:val="auto"/>
        </w:rPr>
        <w:t>”) free and harmless from and against any and all actions, causes of action, suits, losses, costs, liabilities, obligations and damages, claims and expenses incurred in connection therewith (irrespective of whether any such Indemnified Party is a party to the action for which indemnification hereunder is sought), including reasonable attorneys’ and professionals’ fees and disbursements, whether incurred in connection with actions between the parties hereto or the parties hereto and third parties (collectively, the “</w:t>
      </w:r>
      <w:r>
        <w:rPr>
          <w:rFonts w:ascii="Arial" w:cs="Arial" w:eastAsia="Arial" w:hAnsi="Arial"/>
          <w:sz w:val="19"/>
          <w:szCs w:val="19"/>
          <w:u w:val="single" w:color="auto"/>
          <w:color w:val="auto"/>
        </w:rPr>
        <w:t>Indemnified Liabilities</w:t>
      </w:r>
      <w:r>
        <w:rPr>
          <w:rFonts w:ascii="Arial" w:cs="Arial" w:eastAsia="Arial" w:hAnsi="Arial"/>
          <w:sz w:val="19"/>
          <w:szCs w:val="19"/>
          <w:color w:val="auto"/>
        </w:rPr>
        <w:t xml:space="preserve">”), including, without limitation, Indemnified Liabilities arising out of or relating to (i) the entering into and performance of any Investment Document by any of the Indemnified Parties (including any action brought by or on behalf of the Borrower as the result of any determination by any Lender pursuant to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not to fund any Loan), and (ii) any Environmental Liability. If and to the extent that the foregoing indemnification may be unenforceable for any reason, the Borrower agrees to make the maximum contribution to the payment and satisfaction of each of the Indemnified Liabilities which is permissible under applicable Law.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10.4(a)</w:t>
      </w:r>
      <w:r>
        <w:rPr>
          <w:rFonts w:ascii="Arial" w:cs="Arial" w:eastAsia="Arial" w:hAnsi="Arial"/>
          <w:sz w:val="19"/>
          <w:szCs w:val="19"/>
          <w:color w:val="auto"/>
        </w:rPr>
        <w:t xml:space="preserve"> shall not apply with respect to Taxes other than any Taxes that represent Indemnified Liabilities arising from any non-Tax claim.</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1180" w:hanging="435"/>
        <w:spacing w:after="0"/>
        <w:tabs>
          <w:tab w:leader="none" w:pos="118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Reimbursement and Indemnification by Lenders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740" w:firstLine="754"/>
        <w:spacing w:after="0" w:line="271" w:lineRule="auto"/>
        <w:tabs>
          <w:tab w:leader="none" w:pos="1921" w:val="left"/>
        </w:tabs>
        <w:numPr>
          <w:ilvl w:val="1"/>
          <w:numId w:val="101"/>
        </w:numPr>
        <w:rPr>
          <w:rFonts w:ascii="Arial" w:cs="Arial" w:eastAsia="Arial" w:hAnsi="Arial"/>
          <w:sz w:val="19"/>
          <w:szCs w:val="19"/>
          <w:color w:val="auto"/>
        </w:rPr>
      </w:pPr>
      <w:r>
        <w:rPr>
          <w:rFonts w:ascii="Arial" w:cs="Arial" w:eastAsia="Arial" w:hAnsi="Arial"/>
          <w:sz w:val="19"/>
          <w:szCs w:val="19"/>
          <w:color w:val="auto"/>
        </w:rPr>
        <w:t xml:space="preserve">To the extent that the Borrower and the Guarantors for any reason fail to pay any amount required under </w:t>
      </w:r>
      <w:r>
        <w:rPr>
          <w:rFonts w:ascii="Arial" w:cs="Arial" w:eastAsia="Arial" w:hAnsi="Arial"/>
          <w:sz w:val="19"/>
          <w:szCs w:val="19"/>
          <w:u w:val="single" w:color="auto"/>
          <w:color w:val="auto"/>
        </w:rPr>
        <w:t>Section 10.4(a)</w:t>
      </w:r>
      <w:r>
        <w:rPr>
          <w:rFonts w:ascii="Arial" w:cs="Arial" w:eastAsia="Arial" w:hAnsi="Arial"/>
          <w:sz w:val="19"/>
          <w:szCs w:val="19"/>
          <w:color w:val="auto"/>
        </w:rPr>
        <w:t xml:space="preserve"> to be paid by them to the Administrative Agent (or any sub-agent thereof) or any of their respective partners, directors, officers, employees, agents, trustees, administrators, managers, advisors and representatives, each Lender severally agrees to pay to the Administrative Agent (or any such sub-agent) or such partners, directors, officers, employees, agents, trustees, administrators, managers, advisors and representatives of such Person,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Percentages (determined as of the time that the applicable unreimbursed expense or indemnity payment is sought);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unreimbursed expense or indemnified loss, claim, damage, liability or related expense, as the case may be, was incurred by or asserted against the Administrative Agent (or any such sub-agent), or against any of their respective partners, directors, officers, employees, agents, trustees, administrators, managers, advisors and representatives acting for the Administrative Agent (or any such sub-agent) in connection with such capacity.</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4760" w:hanging="130"/>
        <w:spacing w:after="0"/>
        <w:tabs>
          <w:tab w:leader="none" w:pos="4760" w:val="left"/>
        </w:tabs>
        <w:numPr>
          <w:ilvl w:val="2"/>
          <w:numId w:val="101"/>
        </w:numPr>
        <w:rPr>
          <w:rFonts w:ascii="Arial" w:cs="Arial" w:eastAsia="Arial" w:hAnsi="Arial"/>
          <w:sz w:val="22"/>
          <w:szCs w:val="22"/>
          <w:color w:val="auto"/>
        </w:rPr>
      </w:pPr>
      <w:r>
        <w:rPr>
          <w:rFonts w:ascii="Arial" w:cs="Arial" w:eastAsia="Arial" w:hAnsi="Arial"/>
          <w:sz w:val="22"/>
          <w:szCs w:val="22"/>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405765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1" w:right="339" w:bottom="1440" w:gutter="0" w:footer="0" w:header="0"/>
        </w:sectPr>
      </w:pPr>
    </w:p>
    <w:bookmarkStart w:id="107" w:name="page108"/>
    <w:bookmarkEnd w:id="107"/>
    <w:p>
      <w:pPr>
        <w:jc w:val="both"/>
        <w:ind w:left="1500" w:firstLine="754"/>
        <w:spacing w:after="0" w:line="245" w:lineRule="auto"/>
        <w:tabs>
          <w:tab w:leader="none" w:pos="2681" w:val="left"/>
        </w:tabs>
        <w:numPr>
          <w:ilvl w:val="1"/>
          <w:numId w:val="102"/>
        </w:numPr>
        <w:rPr>
          <w:rFonts w:ascii="Arial" w:cs="Arial" w:eastAsia="Arial" w:hAnsi="Arial"/>
          <w:sz w:val="21"/>
          <w:szCs w:val="21"/>
          <w:color w:val="auto"/>
        </w:rPr>
      </w:pPr>
      <w:r>
        <w:rPr>
          <w:rFonts w:ascii="Arial" w:cs="Arial" w:eastAsia="Arial" w:hAnsi="Arial"/>
          <w:sz w:val="21"/>
          <w:szCs w:val="21"/>
          <w:color w:val="auto"/>
        </w:rPr>
        <w:t xml:space="preserve">Each Lender shall severally indemnify the Administrative Agent for (a) any Non-Excluded Taxes and Other Taxes attributable to such Lender (including Non-Excluded Taxes and Other Taxes imposed or asserted on or attributable to amounts payable under </w:t>
      </w:r>
      <w:r>
        <w:rPr>
          <w:rFonts w:ascii="Arial" w:cs="Arial" w:eastAsia="Arial" w:hAnsi="Arial"/>
          <w:sz w:val="21"/>
          <w:szCs w:val="21"/>
          <w:u w:val="single" w:color="auto"/>
          <w:color w:val="auto"/>
        </w:rPr>
        <w:t>Section 4.3(a)(i)</w:t>
      </w:r>
      <w:r>
        <w:rPr>
          <w:rFonts w:ascii="Arial" w:cs="Arial" w:eastAsia="Arial" w:hAnsi="Arial"/>
          <w:sz w:val="21"/>
          <w:szCs w:val="21"/>
          <w:color w:val="auto"/>
        </w:rPr>
        <w:t>) (but only to the extent that the Borrower has not already indemnified the Administrative Agent for such Non-Excluded Taxes and Other Taxes and without limiting the obligation of the Borrower to do so), and (b) any Taxes other than Non-Excluded Taxes and Other Taxes, in each case, that are levied, imposed or assessed on the Administrative Agent, as well as any reasonable expenses arising therefrom or with respect thereto, whether or not such Taxes are correctly or legally asserted by the relevant Governmental Authority. Indemnification for such Taxes actually paid by the Administrative Agent shall be made within 10 days after the date the Administrative Agent makes written demand therefor.</w:t>
      </w:r>
    </w:p>
    <w:p>
      <w:pPr>
        <w:spacing w:after="0" w:line="180" w:lineRule="exact"/>
        <w:rPr>
          <w:rFonts w:ascii="Arial" w:cs="Arial" w:eastAsia="Arial" w:hAnsi="Arial"/>
          <w:sz w:val="21"/>
          <w:szCs w:val="21"/>
          <w:color w:val="auto"/>
        </w:rPr>
      </w:pPr>
    </w:p>
    <w:p>
      <w:pPr>
        <w:jc w:val="both"/>
        <w:ind w:left="760" w:firstLine="745"/>
        <w:spacing w:after="0" w:line="274" w:lineRule="auto"/>
        <w:tabs>
          <w:tab w:leader="none" w:pos="1968"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xml:space="preserve"> To the fullest extent permitted by applicable Law, neither the Borrower nor any Subsidiary shall assert, and the Borrower hereby waives, and acknowledges that no other Person shall have, any claim against any Indemnified Party, on any theory of liability, for special, indirect, consequential or punitive damages (as opposed to direct or actual damages) arising out of, in connection with, or as a result of, this Agreement, any other Investment Document or any agreement or instrument contemplated hereby, the transactions contemplated hereby or thereby, any Loan or the use of the proceeds thereof. No Indemnified Party referred to in </w:t>
      </w:r>
      <w:r>
        <w:rPr>
          <w:rFonts w:ascii="Arial" w:cs="Arial" w:eastAsia="Arial" w:hAnsi="Arial"/>
          <w:sz w:val="19"/>
          <w:szCs w:val="19"/>
          <w:u w:val="single" w:color="auto"/>
          <w:color w:val="auto"/>
        </w:rPr>
        <w:t>Section 10.4(a)</w:t>
      </w:r>
      <w:r>
        <w:rPr>
          <w:rFonts w:ascii="Arial" w:cs="Arial" w:eastAsia="Arial" w:hAnsi="Arial"/>
          <w:sz w:val="19"/>
          <w:szCs w:val="19"/>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Investment Documents or the transactions contemplated hereby or thereby.</w:t>
      </w:r>
    </w:p>
    <w:p>
      <w:pPr>
        <w:spacing w:after="0" w:line="158" w:lineRule="exact"/>
        <w:rPr>
          <w:rFonts w:ascii="Arial" w:cs="Arial" w:eastAsia="Arial" w:hAnsi="Arial"/>
          <w:sz w:val="19"/>
          <w:szCs w:val="19"/>
          <w:color w:val="auto"/>
        </w:rPr>
      </w:pPr>
    </w:p>
    <w:p>
      <w:pPr>
        <w:ind w:left="760" w:firstLine="745"/>
        <w:spacing w:after="0" w:line="250" w:lineRule="auto"/>
        <w:tabs>
          <w:tab w:leader="none" w:pos="1941"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All amounts due under this Section 10.4 shall be payable not later than ten (10) Business Days after demand therefor.</w:t>
      </w:r>
    </w:p>
    <w:p>
      <w:pPr>
        <w:spacing w:after="0" w:line="175"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Except with respect to any provision that is expressly stated to survive, this Agreement and the other Loan Documents shall automatically and immediately terminate upon the payment in full of all Obligations (other than any contingent indemnity and expense reimbursement obligation for which no claim has been asserted) and the termination or expiration of the Commitments. The obligations of the Borrower (and, with respect to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the Administrative Agent and the Lenders) under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shall in each case survive any assignment by any Lender and the occurrence of the Termination Date. The agreements in this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and the indemnity provision of </w:t>
      </w:r>
      <w:r>
        <w:rPr>
          <w:rFonts w:ascii="Arial" w:cs="Arial" w:eastAsia="Arial" w:hAnsi="Arial"/>
          <w:sz w:val="19"/>
          <w:szCs w:val="19"/>
          <w:u w:val="single" w:color="auto"/>
          <w:color w:val="auto"/>
        </w:rPr>
        <w:t>Section 10.4(b)</w:t>
      </w:r>
      <w:r>
        <w:rPr>
          <w:rFonts w:ascii="Arial" w:cs="Arial" w:eastAsia="Arial" w:hAnsi="Arial"/>
          <w:sz w:val="19"/>
          <w:szCs w:val="19"/>
          <w:color w:val="auto"/>
        </w:rPr>
        <w:t xml:space="preserve"> shall survive the resignation or replacement of the Administrative Agent, any assignment by any Lender, the termination of the Commitments and the repayment, satisfaction or discharge of all the other Obligations. All representations and warranties made by the Borrower or any Subsidiary hereunder and in each other Investment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8" w:name="page109"/>
    <w:bookmarkEnd w:id="108"/>
    <w:p>
      <w:pPr>
        <w:jc w:val="both"/>
        <w:spacing w:after="0" w:line="274" w:lineRule="auto"/>
        <w:rPr>
          <w:sz w:val="20"/>
          <w:szCs w:val="20"/>
          <w:color w:val="auto"/>
        </w:rPr>
      </w:pPr>
      <w:r>
        <w:rPr>
          <w:rFonts w:ascii="Arial" w:cs="Arial" w:eastAsia="Arial" w:hAnsi="Arial"/>
          <w:sz w:val="21"/>
          <w:szCs w:val="21"/>
          <w:color w:val="auto"/>
        </w:rPr>
        <w:t>Agent or such Lender may have had notice or knowledge of any Default at the time of any borrowing, and shall continue in full force and effect as long as any Loan or any other Obligation hereunder shall remain unpaid or unsatisfied.</w:t>
      </w:r>
    </w:p>
    <w:p>
      <w:pPr>
        <w:spacing w:after="0" w:line="15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 xml:space="preserve">SECTION 10.6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any Loan Document or any other Investment Document which is prohibited or unenforceable in any jurisdiction shall, as to such provision and such jurisdiction, be ineffective only to the extent of such prohibition or unenforceability without invalidating the remaining provisions of such Loan Document or Investment Document or affecting the validity or enforceability of such provision in any other jurisdiction.</w:t>
      </w:r>
    </w:p>
    <w:p>
      <w:pPr>
        <w:spacing w:after="0" w:line="174"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10.7 </w:t>
      </w:r>
      <w:r>
        <w:rPr>
          <w:rFonts w:ascii="Arial" w:cs="Arial" w:eastAsia="Arial" w:hAnsi="Arial"/>
          <w:sz w:val="22"/>
          <w:szCs w:val="22"/>
          <w:u w:val="single" w:color="auto"/>
          <w:color w:val="auto"/>
        </w:rPr>
        <w:t>Headings</w:t>
      </w:r>
      <w:r>
        <w:rPr>
          <w:rFonts w:ascii="Arial" w:cs="Arial" w:eastAsia="Arial" w:hAnsi="Arial"/>
          <w:sz w:val="22"/>
          <w:szCs w:val="22"/>
          <w:color w:val="auto"/>
        </w:rPr>
        <w:t>. The various headings of each Loan Document and each other Investment Document are inserted for convenience only and shall not affect the meaning or interpretation of such Loan Document or any provisions thereof.</w:t>
      </w:r>
    </w:p>
    <w:p>
      <w:pPr>
        <w:spacing w:after="0" w:line="186"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9"/>
          <w:szCs w:val="19"/>
          <w:u w:val="single" w:color="auto"/>
          <w:color w:val="auto"/>
        </w:rPr>
        <w:t>Execution in Counterparts, Effectiveness, Etc</w:t>
      </w:r>
      <w:r>
        <w:rPr>
          <w:rFonts w:ascii="Arial" w:cs="Arial" w:eastAsia="Arial" w:hAnsi="Arial"/>
          <w:sz w:val="19"/>
          <w:szCs w:val="19"/>
          <w:color w:val="auto"/>
        </w:rPr>
        <w:t>. This Agreement may be executed by the parties hereto in several counterparts, each of which shall be an original and all of which shall constitute together but one and the same agreement. This Agreement shall become effective when counterparts hereof executed on behalf of the Borrower and the Lenders, shall have been received by the Administrative Agent. Delivery of an executed counterpart of a signature page to this Agreement by email (e.g., “pdf” or “tiff”) or telecopy shall be effective as delivery of a manually executed counterpart of this Agreement.</w:t>
      </w:r>
    </w:p>
    <w:p>
      <w:pPr>
        <w:spacing w:after="0" w:line="147"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 xml:space="preserve">SECTION 10.9 </w:t>
      </w:r>
      <w:r>
        <w:rPr>
          <w:rFonts w:ascii="Arial" w:cs="Arial" w:eastAsia="Arial" w:hAnsi="Arial"/>
          <w:sz w:val="22"/>
          <w:szCs w:val="22"/>
          <w:u w:val="single" w:color="auto"/>
          <w:color w:val="auto"/>
        </w:rPr>
        <w:t>Governing Law; Entire Agreement</w:t>
      </w:r>
      <w:r>
        <w:rPr>
          <w:rFonts w:ascii="Arial" w:cs="Arial" w:eastAsia="Arial" w:hAnsi="Arial"/>
          <w:sz w:val="22"/>
          <w:szCs w:val="22"/>
          <w:color w:val="auto"/>
        </w:rPr>
        <w:t>. EACH INVESTMENT DOCUMENT AND ANY CLAIMS, CONTROVERSY, DISPUTE OR CAUSE OF ACTION (WHETHER IN CONTRACT OR TORT OR OTHERWISE) BASED UPON, ARISING OUT OF OR RELATING TO THIS AGREEMENT OR ANY OTHER INVESTMENT DOCUMENT CONTEMPLATED HEREBY AND THEREBY SHALL BE GOVERNED BY, AND CONSTRUED IN ACCORDANCE WITH, THE INTERNAL LAWS OF THE STATE OF NEW YORK (INCLUDING FOR SUCH PURPOSE SECTIONS 5-1401 AND 5-1402 OF THE GENERAL OBLIGATIONS LAW OF THE STATE OF NEW YORK). The Investment Documents constitute the entire understanding among the parties hereto with respect to the subject matter thereof and supersede any prior agreements, written or oral, with respect thereto.</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10.10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w:t>
      </w:r>
    </w:p>
    <w:p>
      <w:pPr>
        <w:spacing w:after="0" w:line="206" w:lineRule="exact"/>
        <w:rPr>
          <w:sz w:val="20"/>
          <w:szCs w:val="20"/>
          <w:color w:val="auto"/>
        </w:rPr>
      </w:pPr>
    </w:p>
    <w:p>
      <w:pPr>
        <w:jc w:val="both"/>
        <w:ind w:left="760" w:firstLine="745"/>
        <w:spacing w:after="0" w:line="246" w:lineRule="auto"/>
        <w:tabs>
          <w:tab w:leader="none" w:pos="1941"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This Agreement shall be binding upon and shall inure to the benefit of the parties hereto and their respective successors and assigns;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the avoidance of doubt, any Lender may, at all times, assign or transfer its rights or obligations hereunder to any of its Affiliates in accordance with this </w:t>
      </w:r>
      <w:r>
        <w:rPr>
          <w:rFonts w:ascii="Arial" w:cs="Arial" w:eastAsia="Arial" w:hAnsi="Arial"/>
          <w:sz w:val="21"/>
          <w:szCs w:val="21"/>
          <w:u w:val="single" w:color="auto"/>
          <w:color w:val="auto"/>
        </w:rPr>
        <w:t>Section 10.10</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further, that (i) the Borrower may not assign or transfer its rights or obligations hereunder without the consent of the Administrative Agent and each Lender and (ii) no Lender may assign or otherwise transfer any of its rights and obligations hereunder to any Person except (x) to any of its Affiliates or (y) otherwise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10.10(b)</w:t>
      </w:r>
      <w:r>
        <w:rPr>
          <w:rFonts w:ascii="Arial" w:cs="Arial" w:eastAsia="Arial" w:hAnsi="Arial"/>
          <w:sz w:val="21"/>
          <w:szCs w:val="21"/>
          <w:color w:val="auto"/>
        </w:rPr>
        <w:t>. Nothing in this Agreement, expressed or implied, shall be construed to confer upon any Person (other than the parties hereto, their respective successors and assigns permitted hereby and, to the</w:t>
      </w:r>
    </w:p>
    <w:p>
      <w:pPr>
        <w:spacing w:after="0" w:line="179" w:lineRule="exact"/>
        <w:rPr>
          <w:rFonts w:ascii="Arial" w:cs="Arial" w:eastAsia="Arial" w:hAnsi="Arial"/>
          <w:sz w:val="21"/>
          <w:szCs w:val="21"/>
          <w:color w:val="auto"/>
        </w:rPr>
      </w:pPr>
    </w:p>
    <w:p>
      <w:pPr>
        <w:ind w:left="5520" w:hanging="130"/>
        <w:spacing w:after="0"/>
        <w:tabs>
          <w:tab w:leader="none" w:pos="552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9" w:name="page110"/>
    <w:bookmarkEnd w:id="109"/>
    <w:p>
      <w:pPr>
        <w:jc w:val="both"/>
        <w:spacing w:after="0" w:line="277" w:lineRule="auto"/>
        <w:rPr>
          <w:sz w:val="20"/>
          <w:szCs w:val="20"/>
          <w:color w:val="auto"/>
        </w:rPr>
      </w:pPr>
      <w:r>
        <w:rPr>
          <w:rFonts w:ascii="Arial" w:cs="Arial" w:eastAsia="Arial" w:hAnsi="Arial"/>
          <w:sz w:val="19"/>
          <w:szCs w:val="19"/>
          <w:color w:val="auto"/>
        </w:rPr>
        <w:t xml:space="preserve">extent expressly contemplated hereby, the partners, directors, officers, employees, agents, trustees, administrators, managers, advisors and representatives of each of the Administrative Agent and the Lenders) any legal or equitable right, remedy or claim under or by reason of this Agreement. No assignment or transfer of any Commitment or Loan shall be effective until receipt and acceptance into the Register by the Administrative Agent of a fully executed Assignment and Assumption effecting the assignment or transfer thereof, together with the required forms and certificates regarding tax matters and any fees payable in connection with such assignment, in each case, as provided in </w:t>
      </w:r>
      <w:r>
        <w:rPr>
          <w:rFonts w:ascii="Arial" w:cs="Arial" w:eastAsia="Arial" w:hAnsi="Arial"/>
          <w:sz w:val="19"/>
          <w:szCs w:val="19"/>
          <w:u w:val="single" w:color="auto"/>
          <w:color w:val="auto"/>
        </w:rPr>
        <w:t>Section 10.10(b)</w:t>
      </w:r>
      <w:r>
        <w:rPr>
          <w:rFonts w:ascii="Arial" w:cs="Arial" w:eastAsia="Arial" w:hAnsi="Arial"/>
          <w:sz w:val="19"/>
          <w:szCs w:val="19"/>
          <w:color w:val="auto"/>
        </w:rPr>
        <w:t>. The date of such assignment shall be referred to herein as the “</w:t>
      </w:r>
      <w:r>
        <w:rPr>
          <w:rFonts w:ascii="Arial" w:cs="Arial" w:eastAsia="Arial" w:hAnsi="Arial"/>
          <w:sz w:val="19"/>
          <w:szCs w:val="19"/>
          <w:u w:val="single" w:color="auto"/>
          <w:color w:val="auto"/>
        </w:rPr>
        <w:t>Assignment Effective Date</w:t>
      </w:r>
      <w:r>
        <w:rPr>
          <w:rFonts w:ascii="Arial" w:cs="Arial" w:eastAsia="Arial" w:hAnsi="Arial"/>
          <w:sz w:val="19"/>
          <w:szCs w:val="19"/>
          <w:color w:val="auto"/>
        </w:rPr>
        <w:t>.”</w:t>
      </w:r>
    </w:p>
    <w:p>
      <w:pPr>
        <w:spacing w:after="0" w:line="152" w:lineRule="exact"/>
        <w:rPr>
          <w:sz w:val="20"/>
          <w:szCs w:val="20"/>
          <w:color w:val="auto"/>
        </w:rPr>
      </w:pPr>
    </w:p>
    <w:p>
      <w:pPr>
        <w:jc w:val="both"/>
        <w:ind w:firstLine="745"/>
        <w:spacing w:after="0" w:line="287" w:lineRule="auto"/>
        <w:tabs>
          <w:tab w:leader="none" w:pos="1181"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Assignments by Lenders</w:t>
      </w:r>
      <w:r>
        <w:rPr>
          <w:rFonts w:ascii="Arial" w:cs="Arial" w:eastAsia="Arial" w:hAnsi="Arial"/>
          <w:sz w:val="19"/>
          <w:szCs w:val="19"/>
          <w:color w:val="auto"/>
        </w:rPr>
        <w:t xml:space="preserve">. Any Lender may at any time assign to one or more assignees all or a portion of its rights and obligations under this Agreement and the other Loan Documents (including all or a portion of its Commitment and the Loans at the time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such assignment where the “Assignee” is not an Affiliate of such Lender, such assignment shall be subject to the following condition:</w:t>
      </w:r>
    </w:p>
    <w:p>
      <w:pPr>
        <w:spacing w:after="0" w:line="142" w:lineRule="exact"/>
        <w:rPr>
          <w:rFonts w:ascii="Arial" w:cs="Arial" w:eastAsia="Arial" w:hAnsi="Arial"/>
          <w:sz w:val="19"/>
          <w:szCs w:val="19"/>
          <w:color w:val="auto"/>
        </w:rPr>
      </w:pPr>
    </w:p>
    <w:p>
      <w:pPr>
        <w:jc w:val="both"/>
        <w:ind w:left="740" w:firstLine="754"/>
        <w:spacing w:after="0" w:line="273" w:lineRule="auto"/>
        <w:tabs>
          <w:tab w:leader="none" w:pos="1961" w:val="left"/>
        </w:tabs>
        <w:numPr>
          <w:ilvl w:val="1"/>
          <w:numId w:val="105"/>
        </w:numPr>
        <w:rPr>
          <w:rFonts w:ascii="Arial" w:cs="Arial" w:eastAsia="Arial" w:hAnsi="Arial"/>
          <w:sz w:val="19"/>
          <w:szCs w:val="19"/>
          <w:color w:val="auto"/>
        </w:rPr>
      </w:pP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Assignments and assumptions of Loans and Commitments by Lenders shall be effected by manual execution and delivery to the Administrative Agent of an Assignment and Assumption. Assignments made pursuant to the foregoing provision shall be effective as of the Assignment Effective Date, subject to acceptance and recording thereof in the Register by the Administrative Agent pursuant to Section 10.10(c). In connection with all assignments there shall be delivered to the Borrower and the Administrative Agent such forms, certificates or other evidence, if any, with respect to United States federal income tax withholding matters as the assignee under such Assignment and Assumption may be required to deliver pursuant to </w:t>
      </w:r>
      <w:r>
        <w:rPr>
          <w:rFonts w:ascii="Arial" w:cs="Arial" w:eastAsia="Arial" w:hAnsi="Arial"/>
          <w:sz w:val="19"/>
          <w:szCs w:val="19"/>
          <w:u w:val="single" w:color="auto"/>
          <w:color w:val="auto"/>
        </w:rPr>
        <w:t>Section 4.3</w:t>
      </w:r>
      <w:r>
        <w:rPr>
          <w:rFonts w:ascii="Arial" w:cs="Arial" w:eastAsia="Arial" w:hAnsi="Arial"/>
          <w:sz w:val="19"/>
          <w:szCs w:val="19"/>
          <w:color w:val="auto"/>
        </w:rPr>
        <w:t>, together with payment to the Administrative Agent of a registration and processing fee of $3,500, which may be waived or reduced at the sole discretion of the Administrative Agent. Any Lender assigning any of its Commitments shall not have any reason to believe that the assignee does not have the ability to honor the Commitments assigned.</w:t>
      </w:r>
    </w:p>
    <w:p>
      <w:pPr>
        <w:spacing w:after="0" w:line="155" w:lineRule="exact"/>
        <w:rPr>
          <w:rFonts w:ascii="Arial" w:cs="Arial" w:eastAsia="Arial" w:hAnsi="Arial"/>
          <w:sz w:val="19"/>
          <w:szCs w:val="19"/>
          <w:color w:val="auto"/>
        </w:rPr>
      </w:pPr>
    </w:p>
    <w:p>
      <w:pPr>
        <w:jc w:val="both"/>
        <w:ind w:firstLine="745"/>
        <w:spacing w:after="0" w:line="274" w:lineRule="auto"/>
        <w:tabs>
          <w:tab w:leader="none" w:pos="1181"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Subject to acceptance and recording thereof by the Administrative Agent pursuant to </w:t>
      </w:r>
      <w:r>
        <w:rPr>
          <w:rFonts w:ascii="Arial" w:cs="Arial" w:eastAsia="Arial" w:hAnsi="Arial"/>
          <w:sz w:val="19"/>
          <w:szCs w:val="19"/>
          <w:u w:val="single" w:color="auto"/>
          <w:color w:val="auto"/>
        </w:rPr>
        <w:t>Section 10.10(d)</w:t>
      </w:r>
      <w:r>
        <w:rPr>
          <w:rFonts w:ascii="Arial" w:cs="Arial" w:eastAsia="Arial" w:hAnsi="Arial"/>
          <w:sz w:val="19"/>
          <w:szCs w:val="19"/>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4.3</w:t>
      </w:r>
      <w:r>
        <w:rPr>
          <w:rFonts w:ascii="Arial" w:cs="Arial" w:eastAsia="Arial" w:hAnsi="Arial"/>
          <w:sz w:val="19"/>
          <w:szCs w:val="19"/>
          <w:color w:val="auto"/>
        </w:rPr>
        <w:t xml:space="preserve">, </w:t>
      </w:r>
      <w:r>
        <w:rPr>
          <w:rFonts w:ascii="Arial" w:cs="Arial" w:eastAsia="Arial" w:hAnsi="Arial"/>
          <w:sz w:val="19"/>
          <w:szCs w:val="19"/>
          <w:u w:val="single" w:color="auto"/>
          <w:color w:val="auto"/>
        </w:rPr>
        <w:t>10.3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10.4</w:t>
      </w:r>
      <w:r>
        <w:rPr>
          <w:rFonts w:ascii="Arial" w:cs="Arial" w:eastAsia="Arial" w:hAnsi="Arial"/>
          <w:sz w:val="19"/>
          <w:szCs w:val="19"/>
          <w:color w:val="auto"/>
        </w:rPr>
        <w:t xml:space="preserve"> with respect to facts and circumstances occurring prior to the effective date of such assignment. Upon request, the Borrower (at its expense) shall execute and deliver a Note to the assignee Lender.</w:t>
      </w:r>
    </w:p>
    <w:p>
      <w:pPr>
        <w:spacing w:after="0" w:line="158" w:lineRule="exact"/>
        <w:rPr>
          <w:rFonts w:ascii="Arial" w:cs="Arial" w:eastAsia="Arial" w:hAnsi="Arial"/>
          <w:sz w:val="19"/>
          <w:szCs w:val="19"/>
          <w:color w:val="auto"/>
        </w:rPr>
      </w:pPr>
    </w:p>
    <w:p>
      <w:pPr>
        <w:ind w:firstLine="745"/>
        <w:spacing w:after="0" w:line="250" w:lineRule="auto"/>
        <w:tabs>
          <w:tab w:leader="none" w:pos="1208"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Register</w:t>
      </w:r>
      <w:r>
        <w:rPr>
          <w:rFonts w:ascii="Arial" w:cs="Arial" w:eastAsia="Arial" w:hAnsi="Arial"/>
          <w:sz w:val="22"/>
          <w:szCs w:val="22"/>
          <w:color w:val="auto"/>
        </w:rPr>
        <w:t>. The Administrative Agent, acting solely for this purpose as an agent of the Borrower, shall maintain at the Administrative Agent’s office in the United States a</w:t>
      </w:r>
    </w:p>
    <w:p>
      <w:pPr>
        <w:spacing w:after="0" w:line="174" w:lineRule="exact"/>
        <w:rPr>
          <w:rFonts w:ascii="Arial" w:cs="Arial" w:eastAsia="Arial" w:hAnsi="Arial"/>
          <w:sz w:val="22"/>
          <w:szCs w:val="22"/>
          <w:color w:val="auto"/>
        </w:rPr>
      </w:pPr>
    </w:p>
    <w:p>
      <w:pPr>
        <w:ind w:left="4760" w:hanging="130"/>
        <w:spacing w:after="0"/>
        <w:tabs>
          <w:tab w:leader="none" w:pos="4760" w:val="left"/>
        </w:tabs>
        <w:numPr>
          <w:ilvl w:val="2"/>
          <w:numId w:val="105"/>
        </w:numPr>
        <w:rPr>
          <w:rFonts w:ascii="Arial" w:cs="Arial" w:eastAsia="Arial" w:hAnsi="Arial"/>
          <w:sz w:val="22"/>
          <w:szCs w:val="22"/>
          <w:color w:val="auto"/>
        </w:rPr>
      </w:pPr>
      <w:r>
        <w:rPr>
          <w:rFonts w:ascii="Arial" w:cs="Arial" w:eastAsia="Arial" w:hAnsi="Arial"/>
          <w:sz w:val="22"/>
          <w:szCs w:val="22"/>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405765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1" w:right="339" w:bottom="1440" w:gutter="0" w:footer="0" w:header="0"/>
        </w:sectPr>
      </w:pPr>
    </w:p>
    <w:bookmarkStart w:id="110" w:name="page111"/>
    <w:bookmarkEnd w:id="110"/>
    <w:p>
      <w:pPr>
        <w:jc w:val="both"/>
        <w:ind w:left="760"/>
        <w:spacing w:after="0" w:line="272" w:lineRule="auto"/>
        <w:rPr>
          <w:sz w:val="20"/>
          <w:szCs w:val="20"/>
          <w:color w:val="auto"/>
        </w:rPr>
      </w:pPr>
      <w:r>
        <w:rPr>
          <w:rFonts w:ascii="Arial" w:cs="Arial" w:eastAsia="Arial" w:hAnsi="Arial"/>
          <w:sz w:val="19"/>
          <w:szCs w:val="19"/>
          <w:color w:val="auto"/>
        </w:rPr>
        <w:t>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 The parties intend that any interest in or with respect to the Loans under this Agreement be treated as being issued and maintained in “registered form” within the meaning of Sections 163(f), 871(h)(2), and 881(c)(2) of the Code and any United States Treasury Regulations thereunder (and any successor provisions), including without limitation under United States Treasury Regulations Section 5f.103-1(c) and Proposed Regulations Section 1.163-5 (and any successor provisions), and the provisions of this Agreement shall be construed in a manner that gives effect to such intent.</w:t>
      </w:r>
    </w:p>
    <w:p>
      <w:pPr>
        <w:spacing w:after="0" w:line="161" w:lineRule="exact"/>
        <w:rPr>
          <w:sz w:val="20"/>
          <w:szCs w:val="20"/>
          <w:color w:val="auto"/>
        </w:rPr>
      </w:pPr>
    </w:p>
    <w:p>
      <w:pPr>
        <w:jc w:val="both"/>
        <w:ind w:left="760" w:firstLine="745"/>
        <w:spacing w:after="0" w:line="236" w:lineRule="auto"/>
        <w:tabs>
          <w:tab w:leader="none" w:pos="1941"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Certain Pledges</w:t>
      </w:r>
      <w:r>
        <w:rPr>
          <w:rFonts w:ascii="Arial" w:cs="Arial" w:eastAsia="Arial" w:hAnsi="Arial"/>
          <w:sz w:val="22"/>
          <w:szCs w:val="22"/>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87" w:lineRule="exact"/>
        <w:rPr>
          <w:rFonts w:ascii="Arial" w:cs="Arial" w:eastAsia="Arial" w:hAnsi="Arial"/>
          <w:sz w:val="22"/>
          <w:szCs w:val="22"/>
          <w:color w:val="auto"/>
        </w:rPr>
      </w:pPr>
    </w:p>
    <w:p>
      <w:pPr>
        <w:jc w:val="both"/>
        <w:ind w:left="760" w:firstLine="745"/>
        <w:spacing w:after="0" w:line="246" w:lineRule="auto"/>
        <w:tabs>
          <w:tab w:leader="none" w:pos="1981" w:val="left"/>
        </w:tabs>
        <w:numPr>
          <w:ilvl w:val="0"/>
          <w:numId w:val="106"/>
        </w:numPr>
        <w:rPr>
          <w:rFonts w:ascii="Arial" w:cs="Arial" w:eastAsia="Arial" w:hAnsi="Arial"/>
          <w:sz w:val="21"/>
          <w:szCs w:val="21"/>
          <w:color w:val="auto"/>
        </w:rPr>
      </w:pPr>
      <w:r>
        <w:rPr>
          <w:rFonts w:ascii="Arial" w:cs="Arial" w:eastAsia="Arial" w:hAnsi="Arial"/>
          <w:sz w:val="21"/>
          <w:szCs w:val="21"/>
          <w:u w:val="single" w:color="auto"/>
          <w:color w:val="auto"/>
        </w:rPr>
        <w:t>Administrative Agent</w:t>
      </w:r>
      <w:r>
        <w:rPr>
          <w:rFonts w:ascii="Arial" w:cs="Arial" w:eastAsia="Arial" w:hAnsi="Arial"/>
          <w:sz w:val="21"/>
          <w:szCs w:val="21"/>
          <w:color w:val="auto"/>
        </w:rPr>
        <w:t>. Any corporation or association into which the Administrative Agent may be converted or merged, or with which it may be consolidated, or to which it may sell or transfer all or substantially all of its corporate trust business and assets as a whole or substantially as a whole, or any corporation or association resulting from any such conversion, sale, merger, consolidation or transfer to which the Administrative Agent is a party, will be and become the successor to the Administrative Agent under this Agreement and will have and succeed to the rights, powers, duties, immunities and privileges as its predecessor, without the execution or filing of any instrument or paper or the performance of any further act.</w:t>
      </w:r>
    </w:p>
    <w:p>
      <w:pPr>
        <w:spacing w:after="0" w:line="18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 xml:space="preserve">SECTION 10.11 </w:t>
      </w:r>
      <w:r>
        <w:rPr>
          <w:rFonts w:ascii="Arial" w:cs="Arial" w:eastAsia="Arial" w:hAnsi="Arial"/>
          <w:sz w:val="21"/>
          <w:szCs w:val="21"/>
          <w:u w:val="single" w:color="auto"/>
          <w:color w:val="auto"/>
        </w:rPr>
        <w:t>Other Transactions.</w:t>
      </w:r>
      <w:r>
        <w:rPr>
          <w:rFonts w:ascii="Arial" w:cs="Arial" w:eastAsia="Arial" w:hAnsi="Arial"/>
          <w:sz w:val="21"/>
          <w:szCs w:val="21"/>
          <w:color w:val="auto"/>
        </w:rPr>
        <w:t xml:space="preserve"> Nothing contained herein shall preclude any Lender or any of its Affiliates, from engaging in any transaction, in addition to those contemplated by the Investment Documents, with the Borrower or any of its Affiliates in which the Borrower or such Affiliate is not restricted hereby from engaging with any other Person.</w:t>
      </w:r>
    </w:p>
    <w:p>
      <w:pPr>
        <w:spacing w:after="0" w:line="169"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 xml:space="preserve">SECTION 10.12 </w:t>
      </w:r>
      <w:r>
        <w:rPr>
          <w:rFonts w:ascii="Arial" w:cs="Arial" w:eastAsia="Arial" w:hAnsi="Arial"/>
          <w:sz w:val="19"/>
          <w:szCs w:val="19"/>
          <w:u w:val="single" w:color="auto"/>
          <w:color w:val="auto"/>
        </w:rPr>
        <w:t>Forum Selection and Consent to Jurisdiction</w:t>
      </w:r>
      <w:r>
        <w:rPr>
          <w:rFonts w:ascii="Arial" w:cs="Arial" w:eastAsia="Arial" w:hAnsi="Arial"/>
          <w:sz w:val="19"/>
          <w:szCs w:val="19"/>
          <w:color w:val="auto"/>
        </w:rPr>
        <w:t>. ANY LITIGATION BASED HEREON, OR ARISING OUT OF, UNDER, OR IN CONNECTION WITH, ANY INVESTMENT DOCUMENT, OR ANY COURSE OF CONDUCT, COURSE OF DEALING, STATEMENTS (WHETHER ORAL OR WRITTEN) OR ACTIONS OF THE ADMINISTRATIVE AGENT, ANY LENDER OR THE BORROWER IN CONNECTION HEREWITH OR THEREWITH SHALL BE BROUGHT AND MAINTAINED IN THE COURTS OF THE BOROUGH OF MANHATTAN IN THE CITY OF NEW YORK IN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1" w:name="page112"/>
    <w:bookmarkEnd w:id="111"/>
    <w:p>
      <w:pPr>
        <w:jc w:val="both"/>
        <w:spacing w:after="0" w:line="232" w:lineRule="auto"/>
        <w:rPr>
          <w:sz w:val="20"/>
          <w:szCs w:val="20"/>
          <w:color w:val="auto"/>
        </w:rPr>
      </w:pPr>
      <w:r>
        <w:rPr>
          <w:rFonts w:ascii="Arial" w:cs="Arial" w:eastAsia="Arial" w:hAnsi="Arial"/>
          <w:sz w:val="22"/>
          <w:szCs w:val="22"/>
          <w:color w:val="auto"/>
        </w:rPr>
        <w:t xml:space="preserve">STATE OF NEW YORK OR IN THE UNITED STATES DISTRICT COURT FOR THE SOUTHERN DISTRICT OF NEW YORK;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SUIT SEEKING ENFORCEMENT AGAINST ANY COLLATERAL OR OTHER PROPERTY MAY BE BROUGHT, AT THE ADMINISTRATIVE AGENT’S OR THE LENDERS’ OPTION, IN THE COURTS OF ANY JURISDICTION WHERE SUCH COLLATERAL OR OTHER PROPERTY MAY BE FOUND. THE BORROWER IRREVOCABLY CONSENTS TO THE SERVICE OF PROCESS BY REGISTERED MAIL, POSTAGE PREPAID, OR BY PERSONAL SERVICE WITHIN OR WITHOUT THE STATE OF NEW YORK AT THE ADDRESS FOR NOTICES SPECIFIED FOR THE BORROWER IN </w:t>
      </w:r>
      <w:r>
        <w:rPr>
          <w:rFonts w:ascii="Arial" w:cs="Arial" w:eastAsia="Arial" w:hAnsi="Arial"/>
          <w:sz w:val="22"/>
          <w:szCs w:val="22"/>
          <w:u w:val="single" w:color="auto"/>
          <w:color w:val="auto"/>
        </w:rPr>
        <w:t>SECTION 10.2</w:t>
      </w:r>
      <w:r>
        <w:rPr>
          <w:rFonts w:ascii="Arial" w:cs="Arial" w:eastAsia="Arial" w:hAnsi="Arial"/>
          <w:sz w:val="22"/>
          <w:szCs w:val="22"/>
          <w:color w:val="auto"/>
        </w:rPr>
        <w:t>. THE BORROWER HEREBY EXPRESSLY AND IRREVOCABLY WAIVES, TO THE FULLEST EXTENT PERMITTED BY LAW, ANY OBJECTION WHICH IT MAY HAVE OR HEREAFTER MAY HAVE TO THE LAYING OF VENUE OF ANY SUCH LITIGATION BROUGHT IN ANY SUCH COURT REFERRED TO ABOVE AND ANY CLAIM THAT ANY SUCH LITIGATION HAS BEEN BROUGHT IN AN INCONVENIENT FORUM. TO THE EXTENT THAT THE BORROWER HAS OR HEREAFTER MAY ACQUIRE ANY IMMUNITY FROM JURISDICTION OF ANY COURT OR FROM ANY LEGAL PROCESS (WHETHER THROUGH SERVICE OR NOTICE, ATTACHMENT PRIOR TO JUDGMENT, ATTACHMENT IN AID OF EXECUTION OR OTHERWISE) WITH RESPECT TO ITSELF OR ITS PROPERTY, THE BORROWER HEREBY IRREVOCABLY WAIVES TO THE FULLEST EXTENT PERMITTED BY LAW SUCH IMMUNITY IN RESPECT OF ITS OBLIGATIONS UNDER THE INVESTMENT DOCUMENTS.</w:t>
      </w:r>
    </w:p>
    <w:p>
      <w:pPr>
        <w:spacing w:after="0" w:line="19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 xml:space="preserve">SECTION 10.13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THE ADMINISTRATIVE AGENT, LENDERS AND THE BORROWER HEREBY KNOWINGLY, VOLUNTARILY AND INTENTIONALLY WAIVE TO THE FULLEST EXTENT PERMITTED BY LAW ANY RIGHTS THEY MAY HAVE TO A TRIAL BY JURY IN RESPECT OF ANY LITIGATION BASED HEREON, OR ARISING OUT OF, UNDER, OR IN CONNECTION WITH, EACH INVESTMENT DOCUMENT, OR ANY COURSE OF CONDUCT, COURSE OF DEALING, STATEMENTS (WHETHER ORAL OR WRITTEN) OR ACTIONS OF THE ADMINISTRATIVE AGENT, ANY LENDER OR THE BORROWER IN CONNECTION THEREWITH. THE BORROWER ACKNOWLEDGES AND AGREES THAT IT HAS RECEIVED FULL AND SUFFICIENT CONSIDERATION FOR THIS PROVISION (AND EACH OTHER PROVISION OF EACH OTHER INVESTMENT DOCUMENT TO WHICH IT IS A PARTY) AND THAT THIS PROVISION IS A MATERIAL INDUCEMENT FOR THE ADMINISTRATIVE AGENT AND THE LENDERS ENTERING INTO THE INVESTMENT DOCUMENTS.</w:t>
      </w:r>
    </w:p>
    <w:p>
      <w:pPr>
        <w:spacing w:after="0" w:line="18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 xml:space="preserve">SECTION 10.14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Section 10.15</w:t>
      </w:r>
      <w:r>
        <w:rPr>
          <w:rFonts w:ascii="Arial" w:cs="Arial" w:eastAsia="Arial" w:hAnsi="Arial"/>
          <w:sz w:val="19"/>
          <w:szCs w:val="19"/>
          <w:color w:val="auto"/>
        </w:rPr>
        <w:t xml:space="preserve">, at all times prior to the Termination Date, the Receiving Party shall keep confidential and shall not publish or otherwise disclose any Confidential Information furnished to it by the Disclosing Party, except to those of the Receiving Party’s employees, advisors or consultants who have a need to know such information to assist such Party in the performance of such Party’s obligations or in the exercise of such Party’s rights hereunder and who are subject to reasonable obligations of confidentiality consistent with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10.14</w:t>
      </w:r>
      <w:r>
        <w:rPr>
          <w:rFonts w:ascii="Arial" w:cs="Arial" w:eastAsia="Arial" w:hAnsi="Arial"/>
          <w:sz w:val="19"/>
          <w:szCs w:val="19"/>
          <w:color w:val="auto"/>
        </w:rPr>
        <w:t xml:space="preserve"> (collectively, “</w:t>
      </w:r>
      <w:r>
        <w:rPr>
          <w:rFonts w:ascii="Arial" w:cs="Arial" w:eastAsia="Arial" w:hAnsi="Arial"/>
          <w:sz w:val="19"/>
          <w:szCs w:val="19"/>
          <w:u w:val="single" w:color="auto"/>
          <w:color w:val="auto"/>
        </w:rPr>
        <w:t>Recipients</w:t>
      </w:r>
      <w:r>
        <w:rPr>
          <w:rFonts w:ascii="Arial" w:cs="Arial" w:eastAsia="Arial" w:hAnsi="Arial"/>
          <w:sz w:val="19"/>
          <w:szCs w:val="19"/>
          <w:color w:val="auto"/>
        </w:rPr>
        <w:t>”). Notwithstanding anything to the contrary set forth herein, (a) any Lender may disclose Confidential Information to (i) its Affiliates, (ii) potential and actual assignees of any of such Lender’s rights hereunder and (iii) potential and actual investors in, or lenders to, such Lender (including, in each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2959735</wp:posOffset>
            </wp:positionH>
            <wp:positionV relativeFrom="paragraph">
              <wp:posOffset>-357505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2" w:name="page113"/>
    <w:bookmarkEnd w:id="112"/>
    <w:p>
      <w:pPr>
        <w:jc w:val="both"/>
        <w:spacing w:after="0" w:line="271" w:lineRule="auto"/>
        <w:rPr>
          <w:sz w:val="20"/>
          <w:szCs w:val="20"/>
          <w:color w:val="auto"/>
        </w:rPr>
      </w:pPr>
      <w:r>
        <w:rPr>
          <w:rFonts w:ascii="Arial" w:cs="Arial" w:eastAsia="Arial" w:hAnsi="Arial"/>
          <w:sz w:val="19"/>
          <w:szCs w:val="19"/>
          <w:color w:val="auto"/>
        </w:rPr>
        <w:t xml:space="preserve">cases, such Person’s employees, advisors or consultants); provided that in each case, unless an Event of Default has occurred and is continuing, each such Recipient shall be subject to reasonable obligations of confidentiality; and (b) the Borrower may disclose Confidential Information to potential or actual permitted acquirers or assignees, collaborators and other (sub)licensees, permitted subcontractors, investment bankers, accountants, financial and legal advisors, investors, lenders (including, in each of the foregoing cases, such Person’s employees, advisors or consultants who have a need to receive and review such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each such Recipient shall be subject to reasonable obligations of confidentiality. In addition to the foregoing, the Receiving Party may disclose Confidential Information belonging to the Disclosing Party to the extent (and only to the extent) such disclosure is reasonably necessary in order to comply with applicable Laws (including any securities law or regulation or the rules of a securities exchange) and with judicial process, if in the reasonable opinion of the Receiving Party’s counsel, such disclosure is necessary for such compliance, provided that the Receiving Party (x) will only disclose those portions of the Confidential Information that are necessary or required to be so disclosed, and (y) to the extent legally permissible, will notify the Disclosing Party of the Receiving Party’s intent to make any disclosure pursuant thereto sufficiently prior to making such disclosure so as to allow the Disclosing Party time to take whatever action it may deem appropriate to protect the confidentiality of the information to be disclosed.</w:t>
      </w:r>
    </w:p>
    <w:p>
      <w:pPr>
        <w:spacing w:after="0" w:line="200" w:lineRule="exact"/>
        <w:rPr>
          <w:sz w:val="20"/>
          <w:szCs w:val="20"/>
          <w:color w:val="auto"/>
        </w:rPr>
      </w:pPr>
    </w:p>
    <w:p>
      <w:pPr>
        <w:spacing w:after="0" w:line="21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10.15 </w:t>
      </w:r>
      <w:r>
        <w:rPr>
          <w:rFonts w:ascii="Arial" w:cs="Arial" w:eastAsia="Arial" w:hAnsi="Arial"/>
          <w:sz w:val="22"/>
          <w:szCs w:val="22"/>
          <w:u w:val="single" w:color="auto"/>
          <w:color w:val="auto"/>
        </w:rPr>
        <w:t>Exceptions to Confidentiality</w:t>
      </w:r>
      <w:r>
        <w:rPr>
          <w:rFonts w:ascii="Arial" w:cs="Arial" w:eastAsia="Arial" w:hAnsi="Arial"/>
          <w:sz w:val="22"/>
          <w:szCs w:val="22"/>
          <w:color w:val="auto"/>
        </w:rPr>
        <w:t>. The Receiving Party’s obligations set forth in this Agreement shall not extend to any Confidential Information of the Disclosing Party:</w:t>
      </w:r>
    </w:p>
    <w:p>
      <w:pPr>
        <w:spacing w:after="0" w:line="175" w:lineRule="exact"/>
        <w:rPr>
          <w:sz w:val="20"/>
          <w:szCs w:val="20"/>
          <w:color w:val="auto"/>
        </w:rPr>
      </w:pPr>
    </w:p>
    <w:p>
      <w:pPr>
        <w:ind w:left="760" w:right="60" w:firstLine="745"/>
        <w:spacing w:after="0" w:line="250" w:lineRule="auto"/>
        <w:tabs>
          <w:tab w:leader="none" w:pos="1941"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that is or hereafter becomes part of the public domain (other than as a result of a disclosure by the Receiving Party or its Recipients in violation of this Agreement);</w:t>
      </w:r>
    </w:p>
    <w:p>
      <w:pPr>
        <w:spacing w:after="0" w:line="174" w:lineRule="exact"/>
        <w:rPr>
          <w:rFonts w:ascii="Arial" w:cs="Arial" w:eastAsia="Arial" w:hAnsi="Arial"/>
          <w:sz w:val="22"/>
          <w:szCs w:val="22"/>
          <w:color w:val="auto"/>
        </w:rPr>
      </w:pPr>
    </w:p>
    <w:p>
      <w:pPr>
        <w:ind w:left="760" w:right="20" w:firstLine="745"/>
        <w:spacing w:after="0" w:line="274" w:lineRule="auto"/>
        <w:tabs>
          <w:tab w:leader="none" w:pos="1941" w:val="left"/>
        </w:tabs>
        <w:numPr>
          <w:ilvl w:val="0"/>
          <w:numId w:val="107"/>
        </w:numPr>
        <w:rPr>
          <w:rFonts w:ascii="Arial" w:cs="Arial" w:eastAsia="Arial" w:hAnsi="Arial"/>
          <w:sz w:val="21"/>
          <w:szCs w:val="21"/>
          <w:color w:val="auto"/>
        </w:rPr>
      </w:pPr>
      <w:r>
        <w:rPr>
          <w:rFonts w:ascii="Arial" w:cs="Arial" w:eastAsia="Arial" w:hAnsi="Arial"/>
          <w:sz w:val="21"/>
          <w:szCs w:val="21"/>
          <w:color w:val="auto"/>
        </w:rPr>
        <w:t>that is received from a Third Party without restriction on disclosure and without, to the knowledge of the Receiving Party, breach of any agreement between such Third Party and the Disclosing Party;</w:t>
      </w:r>
    </w:p>
    <w:p>
      <w:pPr>
        <w:spacing w:after="0" w:line="150" w:lineRule="exact"/>
        <w:rPr>
          <w:rFonts w:ascii="Arial" w:cs="Arial" w:eastAsia="Arial" w:hAnsi="Arial"/>
          <w:sz w:val="21"/>
          <w:szCs w:val="21"/>
          <w:color w:val="auto"/>
        </w:rPr>
      </w:pPr>
    </w:p>
    <w:p>
      <w:pPr>
        <w:ind w:left="760" w:firstLine="745"/>
        <w:spacing w:after="0" w:line="250" w:lineRule="auto"/>
        <w:tabs>
          <w:tab w:leader="none" w:pos="1941"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that the Receiving Party can demonstrate by competent evidence was already in its possession without any limitation on disclosure prior to its receipt from the Disclosing Party;</w:t>
      </w:r>
    </w:p>
    <w:p>
      <w:pPr>
        <w:spacing w:after="0" w:line="174" w:lineRule="exact"/>
        <w:rPr>
          <w:rFonts w:ascii="Arial" w:cs="Arial" w:eastAsia="Arial" w:hAnsi="Arial"/>
          <w:sz w:val="22"/>
          <w:szCs w:val="22"/>
          <w:color w:val="auto"/>
        </w:rPr>
      </w:pPr>
    </w:p>
    <w:p>
      <w:pPr>
        <w:ind w:left="1940" w:hanging="435"/>
        <w:spacing w:after="0"/>
        <w:tabs>
          <w:tab w:leader="none" w:pos="194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that is generally made available to Third Parties by the Disclosing Party without restriction on disclosure;</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188" w:lineRule="exact"/>
        <w:rPr>
          <w:rFonts w:ascii="Arial" w:cs="Arial" w:eastAsia="Arial" w:hAnsi="Arial"/>
          <w:sz w:val="19"/>
          <w:szCs w:val="19"/>
          <w:color w:val="auto"/>
        </w:rPr>
      </w:pPr>
    </w:p>
    <w:p>
      <w:pPr>
        <w:ind w:left="760" w:right="40" w:firstLine="745"/>
        <w:spacing w:after="0" w:line="250" w:lineRule="auto"/>
        <w:tabs>
          <w:tab w:leader="none" w:pos="1941"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that the Receiving Party can demonstrate by competent evidence was independently developed by the Receiving Party without use of or reference to the Confidential Information.</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 xml:space="preserve">SECTION 10.16 </w:t>
      </w:r>
      <w:r>
        <w:rPr>
          <w:rFonts w:ascii="Arial" w:cs="Arial" w:eastAsia="Arial" w:hAnsi="Arial"/>
          <w:sz w:val="21"/>
          <w:szCs w:val="21"/>
          <w:u w:val="single" w:color="auto"/>
          <w:color w:val="auto"/>
        </w:rPr>
        <w:t>No Waiver; Cumulative Remedies; Enforcement</w:t>
      </w:r>
      <w:r>
        <w:rPr>
          <w:rFonts w:ascii="Arial" w:cs="Arial" w:eastAsia="Arial" w:hAnsi="Arial"/>
          <w:sz w:val="21"/>
          <w:szCs w:val="21"/>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3" w:name="page114"/>
    <w:bookmarkEnd w:id="113"/>
    <w:p>
      <w:pPr>
        <w:jc w:val="both"/>
        <w:spacing w:after="0" w:line="250" w:lineRule="auto"/>
        <w:rPr>
          <w:sz w:val="20"/>
          <w:szCs w:val="20"/>
          <w:color w:val="auto"/>
        </w:rPr>
      </w:pPr>
      <w:r>
        <w:rPr>
          <w:rFonts w:ascii="Arial" w:cs="Arial" w:eastAsia="Arial" w:hAnsi="Arial"/>
          <w:sz w:val="22"/>
          <w:szCs w:val="22"/>
          <w:color w:val="auto"/>
        </w:rPr>
        <w:t>under each other Loan Document, are cumulative and not exclusive of any rights, remedies, powers and privileges provided by Law.</w:t>
      </w:r>
    </w:p>
    <w:p>
      <w:pPr>
        <w:spacing w:after="0" w:line="175"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color w:val="auto"/>
        </w:rPr>
        <w:t xml:space="preserve">Notwithstanding anything to the contrary contained herein or in any other Loan Document, the authority to enforce rights and remedies hereunder and under the other Loan Documents against the Borrower and the Guarantors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for the benefit of all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prohibit (a) the Administrative Agent from exercising on its own behalf the rights and remedies that inure to its benefit (solely in its capacity as Administrative Agent) hereunder and under the other Loan Documents,</w:t>
      </w:r>
    </w:p>
    <w:p>
      <w:pPr>
        <w:spacing w:after="0" w:line="1" w:lineRule="exact"/>
        <w:rPr>
          <w:sz w:val="20"/>
          <w:szCs w:val="20"/>
          <w:color w:val="auto"/>
        </w:rPr>
      </w:pPr>
    </w:p>
    <w:p>
      <w:pPr>
        <w:jc w:val="both"/>
        <w:ind w:firstLine="8"/>
        <w:spacing w:after="0" w:line="232" w:lineRule="auto"/>
        <w:tabs>
          <w:tab w:leader="none" w:pos="325"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xml:space="preserve">any Lender from exercising setoff rights in accordance with </w:t>
      </w:r>
      <w:r>
        <w:rPr>
          <w:rFonts w:ascii="Arial" w:cs="Arial" w:eastAsia="Arial" w:hAnsi="Arial"/>
          <w:sz w:val="22"/>
          <w:szCs w:val="22"/>
          <w:u w:val="single" w:color="auto"/>
          <w:color w:val="auto"/>
        </w:rPr>
        <w:t>Section 4.5</w:t>
      </w:r>
      <w:r>
        <w:rPr>
          <w:rFonts w:ascii="Arial" w:cs="Arial" w:eastAsia="Arial" w:hAnsi="Arial"/>
          <w:sz w:val="22"/>
          <w:szCs w:val="22"/>
          <w:color w:val="auto"/>
        </w:rPr>
        <w:t xml:space="preserve"> (subject to the terms of </w:t>
      </w:r>
      <w:r>
        <w:rPr>
          <w:rFonts w:ascii="Arial" w:cs="Arial" w:eastAsia="Arial" w:hAnsi="Arial"/>
          <w:sz w:val="22"/>
          <w:szCs w:val="22"/>
          <w:u w:val="single" w:color="auto"/>
          <w:color w:val="auto"/>
        </w:rPr>
        <w:t>Section 4.4(e)</w:t>
      </w:r>
      <w:r>
        <w:rPr>
          <w:rFonts w:ascii="Arial" w:cs="Arial" w:eastAsia="Arial" w:hAnsi="Arial"/>
          <w:sz w:val="22"/>
          <w:szCs w:val="22"/>
          <w:color w:val="auto"/>
        </w:rPr>
        <w:t xml:space="preserve">), or (c) any Lender from filing proofs of claim or appearing and filing pleadings on its own behalf during the pendency of a proceeding relative to the Borrower or any Guarantor under any Debtor Relief Law or any proceedings arising out of or in connection with an Insolvency Event;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that if at any time there is no Person acting as Administrative Agent hereunder and under the other Loan Documents, then (i) the Lenders shall have the rights otherwise ascribed to the Administrative Agent pursuant to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and (ii) in addition to the matters set forth in </w:t>
      </w:r>
      <w:r>
        <w:rPr>
          <w:rFonts w:ascii="Arial" w:cs="Arial" w:eastAsia="Arial" w:hAnsi="Arial"/>
          <w:sz w:val="22"/>
          <w:szCs w:val="22"/>
          <w:u w:val="single" w:color="auto"/>
          <w:color w:val="auto"/>
        </w:rPr>
        <w:t>clauses (b)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of the preceding proviso and subject to </w:t>
      </w:r>
      <w:r>
        <w:rPr>
          <w:rFonts w:ascii="Arial" w:cs="Arial" w:eastAsia="Arial" w:hAnsi="Arial"/>
          <w:sz w:val="22"/>
          <w:szCs w:val="22"/>
          <w:u w:val="single" w:color="auto"/>
          <w:color w:val="auto"/>
        </w:rPr>
        <w:t>Section 4.4(e)</w:t>
      </w:r>
      <w:r>
        <w:rPr>
          <w:rFonts w:ascii="Arial" w:cs="Arial" w:eastAsia="Arial" w:hAnsi="Arial"/>
          <w:sz w:val="22"/>
          <w:szCs w:val="22"/>
          <w:color w:val="auto"/>
        </w:rPr>
        <w:t>, any Lender may, with the consent of the Lenders, enforce any rights and remedies available to it and as authorized by the Lenders.</w:t>
      </w:r>
    </w:p>
    <w:p>
      <w:pPr>
        <w:spacing w:after="0" w:line="18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 xml:space="preserve">SECTION 10.17 </w:t>
      </w:r>
      <w:r>
        <w:rPr>
          <w:rFonts w:ascii="Arial" w:cs="Arial" w:eastAsia="Arial" w:hAnsi="Arial"/>
          <w:sz w:val="21"/>
          <w:szCs w:val="21"/>
          <w:u w:val="single" w:color="auto"/>
          <w:color w:val="auto"/>
        </w:rPr>
        <w:t>Payments Set Aside</w:t>
      </w:r>
      <w:r>
        <w:rPr>
          <w:rFonts w:ascii="Arial" w:cs="Arial" w:eastAsia="Arial" w:hAnsi="Arial"/>
          <w:sz w:val="21"/>
          <w:szCs w:val="21"/>
          <w:color w:val="auto"/>
        </w:rPr>
        <w:t xml:space="preserve">. To the extent that any payment by or on behalf of the Borrower or any Guarantor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sole discretion) to be repaid to a trustee, receiver, receiver, manager, monitor or any other party, in connection with any proceeding under any Debtor Relief Law, any proceedings arising out of or in connection with an Insolvency Event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interest thereon from the date of such demand to the date such payment is made at a rate per annum equal to the federal funds rate from time to time in effect. The obligations of the Lenders under clause (b) of the preceding sentence shall survive the payment in full of the Obligations and the termination of this Agreement.</w:t>
      </w:r>
    </w:p>
    <w:p>
      <w:pPr>
        <w:spacing w:after="0" w:line="183"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SECTION 10.18 </w:t>
      </w:r>
      <w:r>
        <w:rPr>
          <w:rFonts w:ascii="Arial" w:cs="Arial" w:eastAsia="Arial" w:hAnsi="Arial"/>
          <w:sz w:val="22"/>
          <w:szCs w:val="22"/>
          <w:u w:val="single" w:color="auto"/>
          <w:color w:val="auto"/>
        </w:rPr>
        <w:t>Electronic Execution of Assignments and Certain Other Documents</w:t>
      </w:r>
      <w:r>
        <w:rPr>
          <w:rFonts w:ascii="Arial" w:cs="Arial" w:eastAsia="Arial" w:hAnsi="Arial"/>
          <w:sz w:val="22"/>
          <w:szCs w:val="22"/>
          <w:color w:val="auto"/>
        </w:rPr>
        <w:t>. The words “execute”, “execution”, “signed”, “signature” and words of like import in any Assignment and Assumption or in any amendment or other modification hereof (including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4" w:name="page115"/>
    <w:bookmarkEnd w:id="114"/>
    <w:p>
      <w:pPr>
        <w:jc w:val="both"/>
        <w:spacing w:after="0"/>
        <w:rPr>
          <w:sz w:val="20"/>
          <w:szCs w:val="20"/>
          <w:color w:val="auto"/>
        </w:rPr>
      </w:pPr>
      <w:r>
        <w:rPr>
          <w:rFonts w:ascii="Arial" w:cs="Arial" w:eastAsia="Arial" w:hAnsi="Arial"/>
          <w:sz w:val="22"/>
          <w:szCs w:val="22"/>
          <w:color w:val="auto"/>
        </w:rPr>
        <w:t>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XI</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ADMINISTRATIVE AGENT</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u w:val="single" w:color="auto"/>
          <w:color w:val="auto"/>
        </w:rPr>
        <w:t>Appointment and Authority.</w:t>
      </w:r>
    </w:p>
    <w:p>
      <w:pPr>
        <w:spacing w:after="0" w:line="206" w:lineRule="exact"/>
        <w:rPr>
          <w:sz w:val="20"/>
          <w:szCs w:val="20"/>
          <w:color w:val="auto"/>
        </w:rPr>
      </w:pPr>
    </w:p>
    <w:p>
      <w:pPr>
        <w:jc w:val="both"/>
        <w:ind w:left="760" w:firstLine="745"/>
        <w:spacing w:after="0" w:line="245" w:lineRule="auto"/>
        <w:tabs>
          <w:tab w:leader="none" w:pos="1941" w:val="left"/>
        </w:tabs>
        <w:numPr>
          <w:ilvl w:val="0"/>
          <w:numId w:val="109"/>
        </w:numPr>
        <w:rPr>
          <w:rFonts w:ascii="Arial" w:cs="Arial" w:eastAsia="Arial" w:hAnsi="Arial"/>
          <w:sz w:val="21"/>
          <w:szCs w:val="21"/>
          <w:color w:val="auto"/>
        </w:rPr>
      </w:pPr>
      <w:r>
        <w:rPr>
          <w:rFonts w:ascii="Arial" w:cs="Arial" w:eastAsia="Arial" w:hAnsi="Arial"/>
          <w:sz w:val="21"/>
          <w:szCs w:val="21"/>
          <w:color w:val="auto"/>
        </w:rPr>
        <w:t>Each of the Lenders hereby irrevocably appoints ORCO IV LLC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incidental thereto. The provisions of this Article are solely for the benefit of the Administrative Agent and the Lenders, and neither the Borrower nor any Guarantor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0" w:lineRule="exact"/>
        <w:rPr>
          <w:rFonts w:ascii="Arial" w:cs="Arial" w:eastAsia="Arial" w:hAnsi="Arial"/>
          <w:sz w:val="21"/>
          <w:szCs w:val="21"/>
          <w:color w:val="auto"/>
        </w:rPr>
      </w:pPr>
    </w:p>
    <w:p>
      <w:pPr>
        <w:jc w:val="both"/>
        <w:ind w:left="760" w:firstLine="745"/>
        <w:spacing w:after="0" w:line="273" w:lineRule="auto"/>
        <w:tabs>
          <w:tab w:leader="none" w:pos="1941"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The Administrative Agent shall also act as the “collateral agent” under the Loan Documents, and each of the Lenders hereby irrevocably appoints and authorizes the Administrative Agent to act as the agent of such Lender for purposes of acquiring, holding and enforcing any and all Liens on Collateral granted by any of the Borrower and the Guarantors to secure any of the Obligations, together with such powers and discretion as are incidental thereto. In this connection, the Administrative Agent, as “collateral agent” (and any co-agents, sub-agents and attorneys-in-fact appointed by the Administrative Agent pursuant to </w:t>
      </w:r>
      <w:r>
        <w:rPr>
          <w:rFonts w:ascii="Arial" w:cs="Arial" w:eastAsia="Arial" w:hAnsi="Arial"/>
          <w:sz w:val="19"/>
          <w:szCs w:val="19"/>
          <w:u w:val="single" w:color="auto"/>
          <w:color w:val="auto"/>
        </w:rPr>
        <w:t>Section 11.5</w:t>
      </w:r>
      <w:r>
        <w:rPr>
          <w:rFonts w:ascii="Arial" w:cs="Arial" w:eastAsia="Arial" w:hAnsi="Arial"/>
          <w:sz w:val="19"/>
          <w:szCs w:val="19"/>
          <w:color w:val="auto"/>
        </w:rPr>
        <w:t xml:space="preserve"> for purposes of holding or enforcing any Lien on the Collateral (or any portion thereof) granted under the Security Agreement, or for exercising any rights and remedies thereunder at the direction of the Administrative Agent), shall be entitled to the benefits of all provisions of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(including </w:t>
      </w:r>
      <w:r>
        <w:rPr>
          <w:rFonts w:ascii="Arial" w:cs="Arial" w:eastAsia="Arial" w:hAnsi="Arial"/>
          <w:sz w:val="19"/>
          <w:szCs w:val="19"/>
          <w:u w:val="single" w:color="auto"/>
          <w:color w:val="auto"/>
        </w:rPr>
        <w:t>Section 10.4(b))</w:t>
      </w:r>
      <w:r>
        <w:rPr>
          <w:rFonts w:ascii="Arial" w:cs="Arial" w:eastAsia="Arial" w:hAnsi="Arial"/>
          <w:sz w:val="19"/>
          <w:szCs w:val="19"/>
          <w:color w:val="auto"/>
        </w:rPr>
        <w:t xml:space="preserve">, as though such co-agents, sub-agents and attorneys-in-fact were the “collateral agent” under the Loan Documents and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as if set forth in full herein with respect thereto.</w:t>
      </w:r>
    </w:p>
    <w:p>
      <w:pPr>
        <w:spacing w:after="0" w:line="160" w:lineRule="exact"/>
        <w:rPr>
          <w:rFonts w:ascii="Arial" w:cs="Arial" w:eastAsia="Arial" w:hAnsi="Arial"/>
          <w:sz w:val="19"/>
          <w:szCs w:val="19"/>
          <w:color w:val="auto"/>
        </w:rPr>
      </w:pPr>
    </w:p>
    <w:p>
      <w:pPr>
        <w:ind w:left="760" w:firstLine="745"/>
        <w:spacing w:after="0" w:line="238" w:lineRule="auto"/>
        <w:tabs>
          <w:tab w:leader="none" w:pos="194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Each of the Lenders authorizes the Administrative Agent to perform the duties, obligations and responsibilities and to exercise the rights, powers, authorities and discretions specifically given to the Administrative Agent under or in connection with the Loan Documents together with any other incidental rights, powers, authorities and discretion.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9" w:lineRule="exact"/>
        <w:rPr>
          <w:rFonts w:ascii="Arial" w:cs="Arial" w:eastAsia="Arial" w:hAnsi="Arial"/>
          <w:sz w:val="22"/>
          <w:szCs w:val="22"/>
          <w:color w:val="auto"/>
        </w:rPr>
      </w:pPr>
    </w:p>
    <w:p>
      <w:pPr>
        <w:ind w:left="5520" w:hanging="130"/>
        <w:spacing w:after="0"/>
        <w:tabs>
          <w:tab w:leader="none" w:pos="552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5" w:name="page116"/>
    <w:bookmarkEnd w:id="115"/>
    <w:p>
      <w:pPr>
        <w:jc w:val="both"/>
        <w:ind w:firstLine="749"/>
        <w:spacing w:after="0" w:line="277"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Rights as a Lender</w:t>
      </w:r>
      <w:r>
        <w:rPr>
          <w:rFonts w:ascii="Arial" w:cs="Arial" w:eastAsia="Arial" w:hAnsi="Arial"/>
          <w:sz w:val="19"/>
          <w:szCs w:val="19"/>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any Guarantor or any Affiliate thereof as if such Person were not the Administrative Agent hereunder and without any duty to account therefor to the Lenders.</w:t>
      </w:r>
    </w:p>
    <w:p>
      <w:pPr>
        <w:spacing w:after="0" w:line="15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11.3 </w:t>
      </w:r>
      <w:r>
        <w:rPr>
          <w:rFonts w:ascii="Arial" w:cs="Arial" w:eastAsia="Arial" w:hAnsi="Arial"/>
          <w:sz w:val="22"/>
          <w:szCs w:val="22"/>
          <w:u w:val="single" w:color="auto"/>
          <w:color w:val="auto"/>
        </w:rPr>
        <w:t>Exculpatory Provisions.</w:t>
      </w:r>
      <w:r>
        <w:rPr>
          <w:rFonts w:ascii="Arial" w:cs="Arial" w:eastAsia="Arial" w:hAnsi="Arial"/>
          <w:sz w:val="22"/>
          <w:szCs w:val="22"/>
          <w:color w:val="auto"/>
        </w:rPr>
        <w:t xml:space="preserve">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86" w:lineRule="exact"/>
        <w:rPr>
          <w:sz w:val="20"/>
          <w:szCs w:val="20"/>
          <w:color w:val="auto"/>
        </w:rPr>
      </w:pPr>
    </w:p>
    <w:p>
      <w:pPr>
        <w:ind w:left="760" w:right="20" w:firstLine="745"/>
        <w:spacing w:after="0" w:line="250" w:lineRule="auto"/>
        <w:tabs>
          <w:tab w:leader="none" w:pos="194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shall not be subject to any fiduciary or other implied duties, regardless of whether a Default or Event of Default has occurred and is continuing;</w:t>
      </w:r>
    </w:p>
    <w:p>
      <w:pPr>
        <w:spacing w:after="0" w:line="174" w:lineRule="exact"/>
        <w:rPr>
          <w:rFonts w:ascii="Arial" w:cs="Arial" w:eastAsia="Arial" w:hAnsi="Arial"/>
          <w:sz w:val="22"/>
          <w:szCs w:val="22"/>
          <w:color w:val="auto"/>
        </w:rPr>
      </w:pPr>
    </w:p>
    <w:p>
      <w:pPr>
        <w:jc w:val="both"/>
        <w:ind w:left="760" w:firstLine="745"/>
        <w:spacing w:after="0" w:line="273" w:lineRule="auto"/>
        <w:tabs>
          <w:tab w:leader="none" w:pos="1941"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Lenders (or such other number or percentage of the Lenders as shall be expressly provided for herein or in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not be required to take any action or to exercise any of the rights or powers vested in it by this Agreement at the request or direction of the Lenders, pursuant to the provisions of this Agreement, unless such Lenders shall have offered to the Administrative Agent security or indemnity (satisfactory to the Administrative Agent in its sole and absolute discretion) against the costs, expenses and liabilities which may be incurred by it in compliance with such request or direction, or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and</w:t>
      </w:r>
    </w:p>
    <w:p>
      <w:pPr>
        <w:spacing w:after="0" w:line="155" w:lineRule="exact"/>
        <w:rPr>
          <w:rFonts w:ascii="Arial" w:cs="Arial" w:eastAsia="Arial" w:hAnsi="Arial"/>
          <w:sz w:val="19"/>
          <w:szCs w:val="19"/>
          <w:color w:val="auto"/>
        </w:rPr>
      </w:pPr>
    </w:p>
    <w:p>
      <w:pPr>
        <w:jc w:val="both"/>
        <w:ind w:left="760" w:firstLine="745"/>
        <w:spacing w:after="0" w:line="238" w:lineRule="auto"/>
        <w:tabs>
          <w:tab w:leader="none" w:pos="194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shall not, except as expressly set forth herein and in the other Loan Documents, have any duty to disclose, and shall not be liable for the failure to disclose, any information relating to any Borrower and any of the Subsidiaries that is communicated to or obtained by the Person serving as the Administrative Agent or any of its Affiliates in any capacity.</w:t>
      </w:r>
    </w:p>
    <w:p>
      <w:pPr>
        <w:spacing w:after="0" w:line="18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 xml:space="preserve">The Administrative Agent shall not be liable for any action taken or not taken by it (i) with the consent or at the request of the Lenders or (ii) in the absence of its own gross negligence or willful misconduct as determined by a court of competent jurisdiction by final and non-appealable judgment. Subject to the proviso in </w:t>
      </w:r>
      <w:r>
        <w:rPr>
          <w:rFonts w:ascii="Arial" w:cs="Arial" w:eastAsia="Arial" w:hAnsi="Arial"/>
          <w:sz w:val="21"/>
          <w:szCs w:val="21"/>
          <w:u w:val="single" w:color="auto"/>
          <w:color w:val="auto"/>
        </w:rPr>
        <w:t>Section 11.3(b)</w:t>
      </w:r>
      <w:r>
        <w:rPr>
          <w:rFonts w:ascii="Arial" w:cs="Arial" w:eastAsia="Arial" w:hAnsi="Arial"/>
          <w:sz w:val="21"/>
          <w:szCs w:val="21"/>
          <w:color w:val="auto"/>
        </w:rPr>
        <w:t>, to the extent the Administrative Agent is permitted to take any discretionary action hereunder or under any Loan Document, it shall take such action if instructed in writing to do so by the Lenders (or such other number or percentage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6" w:name="page117"/>
    <w:bookmarkEnd w:id="116"/>
    <w:p>
      <w:pPr>
        <w:jc w:val="both"/>
        <w:spacing w:after="0" w:line="238" w:lineRule="auto"/>
        <w:rPr>
          <w:sz w:val="20"/>
          <w:szCs w:val="20"/>
          <w:color w:val="auto"/>
        </w:rPr>
      </w:pPr>
      <w:r>
        <w:rPr>
          <w:rFonts w:ascii="Arial" w:cs="Arial" w:eastAsia="Arial" w:hAnsi="Arial"/>
          <w:sz w:val="22"/>
          <w:szCs w:val="22"/>
          <w:color w:val="auto"/>
        </w:rPr>
        <w:t>the Lenders as shall be necessary, or as the Administrative Agent shall believe in good faith shall be necessary under the circumstances). The Administrative Agent shall be deemed not to have knowledge of any Default or Event of Default unless and until notice describing such Default or Event of Default is given in writing to the Administrative Agent by the Borrower, or a Lender.</w:t>
      </w:r>
    </w:p>
    <w:p>
      <w:pPr>
        <w:spacing w:after="0" w:line="18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 xml:space="preserve">The Administrative Agent shall have the right to request instructions from the Lenders or, as required, each of the Lenders (or such other number or percentage of the Lenders as shall be necessary, or as the Administrative Agent shall believe in good faith shall be necessary under the circumstances). If the Administrative Agent shall request instructions from the Lenders or each of the Lenders (or such other number or percentage of the Lenders as shall be necessary, or as the Administrative Agent shall believe in good faith shall be necessary under the circumstances), as the case may be, with respect to any act or action (including the failure to act) in connection with this Agreement or any other Loan Document, the Administrative Agent shall be entitled to refrain from such act or taking such action unless and until the Administrative Agent shall have received instructions from the Lenders or such other number or percentage of the Lenders, as the case may be, and the Administrative Agent shall not incur any liability to any Person by reason of so refraining.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elsewhere herein, other than to confirm receipt of items expressly required to be delivered to the Administrative Agent.</w:t>
      </w:r>
    </w:p>
    <w:p>
      <w:pPr>
        <w:spacing w:after="0" w:line="200" w:lineRule="exact"/>
        <w:rPr>
          <w:sz w:val="20"/>
          <w:szCs w:val="20"/>
          <w:color w:val="auto"/>
        </w:rPr>
      </w:pPr>
    </w:p>
    <w:p>
      <w:pPr>
        <w:spacing w:after="0" w:line="203"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The Administrative Agent shall have no liability for any action taken, or errors in judgment made, in good faith by it or any of its officers, employees or agents, unless it shall have been negligent in ascertaining the pertinent facts. The permissive rights of the Administrative Agent to do things enumerated in this Agreement shall not be construed as a duty and, with respect to such permissive rights, the Administrative Agent shall not be answerable in respect thereof other than for its gross negligence or willful misconduct. Nothing in this Agreement shall require the Administrative Agent to expend or risk its own funds or otherwise incur any financial liability in the performance of any of its duties or in the exercise of any of its rights or powers hereunder.</w:t>
      </w:r>
    </w:p>
    <w:p>
      <w:pPr>
        <w:spacing w:after="0" w:line="191"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Neither the Administrative Agent nor any of its directors, officers, employees, agents or Affiliates shall be responsible for nor have any duty to monitor the performance or any action of the Borrower or any Guarantor, or any of their directors, members, officers, agents, Affiliates or employee, nor shall it have any liability in connection with the malfeasance or nonfeasance by such party. The Administrative Agent may assume performance by all such Persons of their respective obligations. The Administrative Agent shall have no enforcement or notification obligations relating to breaches of representations or warranties of any other Person.</w:t>
      </w:r>
    </w:p>
    <w:p>
      <w:pPr>
        <w:spacing w:after="0" w:line="18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Administrative Agent shall not be responsible or liable for any failure or delay in the performance of its obligations under this Agreement arising out of or caused, directly or indirectly,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7" w:name="page118"/>
    <w:bookmarkEnd w:id="117"/>
    <w:p>
      <w:pPr>
        <w:jc w:val="both"/>
        <w:spacing w:after="0" w:line="236" w:lineRule="auto"/>
        <w:rPr>
          <w:sz w:val="20"/>
          <w:szCs w:val="20"/>
          <w:color w:val="auto"/>
        </w:rPr>
      </w:pPr>
      <w:r>
        <w:rPr>
          <w:rFonts w:ascii="Arial" w:cs="Arial" w:eastAsia="Arial" w:hAnsi="Arial"/>
          <w:sz w:val="22"/>
          <w:szCs w:val="22"/>
          <w:color w:val="auto"/>
        </w:rPr>
        <w:t>by circumstances beyond its control, including without limitation, any act or provision of any present or future Law or regulation or Governmental Authority; acts of God; earthquakes; fires; floods; wars; terrorism; civil or military disturbances; sabotage; epidemics;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11.4 </w:t>
      </w:r>
      <w:r>
        <w:rPr>
          <w:rFonts w:ascii="Arial" w:cs="Arial" w:eastAsia="Arial" w:hAnsi="Arial"/>
          <w:sz w:val="22"/>
          <w:szCs w:val="22"/>
          <w:u w:val="single" w:color="auto"/>
          <w:color w:val="auto"/>
        </w:rPr>
        <w:t>Reliance by the Administrative Agent</w:t>
      </w:r>
      <w:r>
        <w:rPr>
          <w:rFonts w:ascii="Arial" w:cs="Arial" w:eastAsia="Arial" w:hAnsi="Arial"/>
          <w:sz w:val="22"/>
          <w:szCs w:val="22"/>
          <w:color w:val="auto"/>
        </w:rPr>
        <w:t>.</w:t>
      </w:r>
    </w:p>
    <w:p>
      <w:pPr>
        <w:spacing w:after="0" w:line="206" w:lineRule="exact"/>
        <w:rPr>
          <w:sz w:val="20"/>
          <w:szCs w:val="20"/>
          <w:color w:val="auto"/>
        </w:rPr>
      </w:pPr>
    </w:p>
    <w:p>
      <w:pPr>
        <w:jc w:val="both"/>
        <w:ind w:left="760" w:firstLine="745"/>
        <w:spacing w:after="0" w:line="273" w:lineRule="auto"/>
        <w:tabs>
          <w:tab w:leader="none" w:pos="1941"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or the Subsidiaries), independent accountants and other experts selected by it, and shall not be liable for any action taken or not taken by it in accordance with the advice of any such counsel, accountants or experts.</w:t>
      </w:r>
    </w:p>
    <w:p>
      <w:pPr>
        <w:spacing w:after="0" w:line="155" w:lineRule="exact"/>
        <w:rPr>
          <w:rFonts w:ascii="Arial" w:cs="Arial" w:eastAsia="Arial" w:hAnsi="Arial"/>
          <w:sz w:val="19"/>
          <w:szCs w:val="19"/>
          <w:color w:val="auto"/>
        </w:rPr>
      </w:pPr>
    </w:p>
    <w:p>
      <w:pPr>
        <w:jc w:val="both"/>
        <w:ind w:left="760" w:firstLine="745"/>
        <w:spacing w:after="0" w:line="273" w:lineRule="auto"/>
        <w:tabs>
          <w:tab w:leader="none" w:pos="1954"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Reliance by the Administrative Agent and Lenders</w:t>
      </w:r>
      <w:r>
        <w:rPr>
          <w:rFonts w:ascii="Arial" w:cs="Arial" w:eastAsia="Arial" w:hAnsi="Arial"/>
          <w:sz w:val="19"/>
          <w:szCs w:val="19"/>
          <w:color w:val="auto"/>
        </w:rPr>
        <w:t xml:space="preserve">. The Administrative Agent and the Lenders shall be entitled to rely and act upon any notices (including telephonic or electronic loan notices) purportedly given by or on behalf of the Borrower or any of the Guarantors even if (i) such notices were not made in a manner specified herein, were incomplete or were not preceded or followed by any other form of notice specified herein, or (ii) the terms thereof, as understood by the recipient, varied from any confirmation thereof. The Borrower and the Guarantors shall indemnify the Administrative Agent, each Lender and their respective partners, directors, officers, employees, agents, trustees, administrators, managers, advisors and representatives from all losses, costs, expenses and liabilities resulting from the reliance by such Person on each notice purportedly given by or on behalf of the Borrower or any Guarantor;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Person be available to the extent that such losses, costs, expenses or liabilities are determined by a court of competent jurisdiction by final and non-appealable judgment to have resulted from the gross negligence or willful misconduct of such Person.</w:t>
      </w:r>
    </w:p>
    <w:p>
      <w:pPr>
        <w:spacing w:after="0" w:line="155"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 xml:space="preserve">SECTION 11.5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partners, directors, officers, employees, agents, trustees,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8" w:name="page119"/>
    <w:bookmarkEnd w:id="118"/>
    <w:p>
      <w:pPr>
        <w:jc w:val="both"/>
        <w:spacing w:after="0" w:line="270" w:lineRule="auto"/>
        <w:rPr>
          <w:sz w:val="20"/>
          <w:szCs w:val="20"/>
          <w:color w:val="auto"/>
        </w:rPr>
      </w:pPr>
      <w:r>
        <w:rPr>
          <w:rFonts w:ascii="Arial" w:cs="Arial" w:eastAsia="Arial" w:hAnsi="Arial"/>
          <w:sz w:val="19"/>
          <w:szCs w:val="19"/>
          <w:color w:val="auto"/>
        </w:rPr>
        <w:t xml:space="preserve">administrators, managers, advisors and representatives. The rights, benefits and privileges (including the exculpatory and indemnification provisions) of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shall apply to any such sub-agent and to the partners, directors, officers, employees, agents, trustees, administrators, managers, advisors and representatives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 Notwithstanding anything herein to the contrary, with respect to each sub-agent appointed by the Administrative Agent, (i) such sub-agent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the Borrower, the Guarantors and the Lenders, (ii) any modification to such rights, benefits and privileges (including exculpatory rights and rights to indemnification) shall not be effective as against such sub-agent without its written consent thereto, and (iii) such sub-agent shall only have obligations to the Administrative Agent and not to the Borrower or any Guarantor, Lender or any other Person and none of the Borrower, the Guarantors, the Lenders or any other Person shall have any rights, directly or indirectly, as a third party beneficiary or otherwise, against such subagent.</w:t>
      </w:r>
    </w:p>
    <w:p>
      <w:pPr>
        <w:spacing w:after="0" w:line="200" w:lineRule="exact"/>
        <w:rPr>
          <w:sz w:val="20"/>
          <w:szCs w:val="20"/>
          <w:color w:val="auto"/>
        </w:rPr>
      </w:pPr>
    </w:p>
    <w:p>
      <w:pPr>
        <w:spacing w:after="0" w:line="214"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color w:val="auto"/>
        </w:rPr>
        <w:t xml:space="preserve">SECTION 11.6 </w:t>
      </w:r>
      <w:r>
        <w:rPr>
          <w:rFonts w:ascii="Arial" w:cs="Arial" w:eastAsia="Arial" w:hAnsi="Arial"/>
          <w:sz w:val="19"/>
          <w:szCs w:val="19"/>
          <w:u w:val="single" w:color="auto"/>
          <w:color w:val="auto"/>
        </w:rPr>
        <w:t>Resignation or Removal of the Administrative Agent.</w:t>
      </w:r>
      <w:r>
        <w:rPr>
          <w:rFonts w:ascii="Arial" w:cs="Arial" w:eastAsia="Arial" w:hAnsi="Arial"/>
          <w:sz w:val="19"/>
          <w:szCs w:val="19"/>
          <w:color w:val="auto"/>
        </w:rPr>
        <w:t xml:space="preserve"> The Administrative Agent may resign as the Administrative Agent at any time by giving thirty (30) days advance notice thereof to the Lenders and the Borrower and, thereafter, the retiring Administrative Agent shall be discharged from its duties and obligations hereunder. Upon any such resignation, the Lenders shall have the right to appoint a successor Administrative Agent. No less than thirty (30) days following the delivery of such written notice, the Lenders shall have the right with the consent of the Borrower (such consent not to be unreasonably withheld, conditioned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of the Borrower shall be required if an Event of Default has occurred and is continuing) to appoint a successor Administrative Agent, which shall be a bank with an office in the United States, or an Affiliate of any such bank with an office in the United States, with whom the Lenders shall be dealing on an arm’s length basis. Upon the acceptance of any appointment as the Administrative Agent hereunder by a successor Administrative Agent, such successor Administrative Agent shall thereupon succeed to and become vested with all rights, powers, privileges and duties of the retiring Administrative Agent. After any retiring Administrative Agent’s resignation hereunder as the Administrative Agent or upon a removal of the Administrative Agent upon the written request of the Lenders, the provisions of this </w:t>
      </w:r>
      <w:r>
        <w:rPr>
          <w:rFonts w:ascii="Arial" w:cs="Arial" w:eastAsia="Arial" w:hAnsi="Arial"/>
          <w:sz w:val="19"/>
          <w:szCs w:val="19"/>
          <w:u w:val="single" w:color="auto"/>
          <w:color w:val="auto"/>
        </w:rPr>
        <w:t>Section 11.6</w:t>
      </w:r>
      <w:r>
        <w:rPr>
          <w:rFonts w:ascii="Arial" w:cs="Arial" w:eastAsia="Arial" w:hAnsi="Arial"/>
          <w:sz w:val="19"/>
          <w:szCs w:val="19"/>
          <w:color w:val="auto"/>
        </w:rPr>
        <w:t xml:space="preserve"> shall continue in effect for its benefit in respect of any actions taken or omitted to be taken by it while it was acting as the Administrative Agent. If no successor has accepted appointment as the Administrative Agent by the date which is thirty (30) days following delivery of written notice of resignation or removal, the retiring Administrative Agent’s resignation or removal shall nevertheless thereupon become effective and the Lenders shall perform all of the duties of the Administrative Agent hereunder until such time, if any, as the Lenders appoint a successor agent as provided for above.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9" w:name="page120"/>
    <w:bookmarkEnd w:id="119"/>
    <w:p>
      <w:pPr>
        <w:jc w:val="both"/>
        <w:ind w:firstLine="749"/>
        <w:spacing w:after="0" w:line="274" w:lineRule="auto"/>
        <w:rPr>
          <w:sz w:val="20"/>
          <w:szCs w:val="20"/>
          <w:color w:val="auto"/>
        </w:rPr>
      </w:pPr>
      <w:r>
        <w:rPr>
          <w:rFonts w:ascii="Arial" w:cs="Arial" w:eastAsia="Arial" w:hAnsi="Arial"/>
          <w:sz w:val="19"/>
          <w:szCs w:val="19"/>
          <w:color w:val="auto"/>
        </w:rPr>
        <w:t xml:space="preserve">SECTION 11.7 </w:t>
      </w:r>
      <w:r>
        <w:rPr>
          <w:rFonts w:ascii="Arial" w:cs="Arial" w:eastAsia="Arial" w:hAnsi="Arial"/>
          <w:sz w:val="19"/>
          <w:szCs w:val="19"/>
          <w:u w:val="single" w:color="auto"/>
          <w:color w:val="auto"/>
        </w:rPr>
        <w:t>Non-Reliance on the Administrative Agent and Other Lenders.</w:t>
      </w:r>
      <w:r>
        <w:rPr>
          <w:rFonts w:ascii="Arial" w:cs="Arial" w:eastAsia="Arial" w:hAnsi="Arial"/>
          <w:sz w:val="19"/>
          <w:szCs w:val="19"/>
          <w:color w:val="auto"/>
        </w:rPr>
        <w:t xml:space="preserve"> Each Lender acknowledges that it has, independently and without reliance upon the Administrative Agent or any other Lender or any of their respective partners, directors, officers, employees, agents, trustees, administrators, managers, advisors and representatives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respective partners, directors, officers, employees, agents, trustees, administrators, managers, advisors and representatives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58"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 xml:space="preserve">SECTION 11.8 </w:t>
      </w:r>
      <w:r>
        <w:rPr>
          <w:rFonts w:ascii="Arial" w:cs="Arial" w:eastAsia="Arial" w:hAnsi="Arial"/>
          <w:sz w:val="19"/>
          <w:szCs w:val="19"/>
          <w:u w:val="single" w:color="auto"/>
          <w:color w:val="auto"/>
        </w:rPr>
        <w:t>Administrative Agent May File Proofs of Claim.</w:t>
      </w:r>
      <w:r>
        <w:rPr>
          <w:rFonts w:ascii="Arial" w:cs="Arial" w:eastAsia="Arial" w:hAnsi="Arial"/>
          <w:sz w:val="19"/>
          <w:szCs w:val="19"/>
          <w:color w:val="auto"/>
        </w:rPr>
        <w:t xml:space="preserve"> In case of the pendency of any receivership, insolvency, liquidation, bankruptcy, reorganization, arrangement, adjustment, composition or other judicial proceeding relative to the Borrower or any Guarantor,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47" w:lineRule="exact"/>
        <w:rPr>
          <w:sz w:val="20"/>
          <w:szCs w:val="20"/>
          <w:color w:val="auto"/>
        </w:rPr>
      </w:pPr>
    </w:p>
    <w:p>
      <w:pPr>
        <w:jc w:val="both"/>
        <w:ind w:left="760" w:firstLine="745"/>
        <w:spacing w:after="0" w:line="235" w:lineRule="auto"/>
        <w:tabs>
          <w:tab w:leader="none" w:pos="1941"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22"/>
          <w:szCs w:val="22"/>
          <w:u w:val="single" w:color="auto"/>
          <w:color w:val="auto"/>
        </w:rPr>
        <w:t>Section 10.4</w:t>
      </w:r>
      <w:r>
        <w:rPr>
          <w:rFonts w:ascii="Arial" w:cs="Arial" w:eastAsia="Arial" w:hAnsi="Arial"/>
          <w:sz w:val="22"/>
          <w:szCs w:val="22"/>
          <w:color w:val="auto"/>
        </w:rPr>
        <w:t>) allowed in such judicial proceeding; and</w:t>
      </w:r>
    </w:p>
    <w:p>
      <w:pPr>
        <w:spacing w:after="0" w:line="187" w:lineRule="exact"/>
        <w:rPr>
          <w:rFonts w:ascii="Arial" w:cs="Arial" w:eastAsia="Arial" w:hAnsi="Arial"/>
          <w:sz w:val="22"/>
          <w:szCs w:val="22"/>
          <w:color w:val="auto"/>
        </w:rPr>
      </w:pPr>
    </w:p>
    <w:p>
      <w:pPr>
        <w:ind w:left="760" w:right="40" w:firstLine="745"/>
        <w:spacing w:after="0" w:line="250" w:lineRule="auto"/>
        <w:tabs>
          <w:tab w:leader="none" w:pos="1941"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to collect and receive any monies or other property payable or deliverable on any such claims and to distribute the same;</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and any custodian, receiver, receiver-manager, monitor,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9"/>
          <w:szCs w:val="19"/>
          <w:u w:val="single" w:color="auto"/>
          <w:color w:val="auto"/>
        </w:rPr>
        <w:t>Section 10.4</w:t>
      </w:r>
      <w:r>
        <w:rPr>
          <w:rFonts w:ascii="Arial" w:cs="Arial" w:eastAsia="Arial" w:hAnsi="Arial"/>
          <w:sz w:val="19"/>
          <w:szCs w:val="19"/>
          <w:color w:val="auto"/>
        </w:rPr>
        <w:t>.</w:t>
      </w:r>
    </w:p>
    <w:p>
      <w:pPr>
        <w:spacing w:after="0" w:line="14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In addition, the Lenders hereby irrevocably authorize the Administrative Agent, based upon the written instruction of the Lenders, to (a) credit bid and in such manner purchase (either directly or through one or more acquisition vehicles) all or any portion of the Collateral at any sale thereof conducted under the provisions of the Debtor Relief Laws, including under Section 363 of the Bankruptcy Code of the United States or any similar laws in any other jurisdictions to which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0" w:name="page121"/>
    <w:bookmarkEnd w:id="120"/>
    <w:p>
      <w:pPr>
        <w:jc w:val="both"/>
        <w:spacing w:after="0" w:line="270" w:lineRule="auto"/>
        <w:rPr>
          <w:sz w:val="20"/>
          <w:szCs w:val="20"/>
          <w:color w:val="auto"/>
        </w:rPr>
      </w:pPr>
      <w:r>
        <w:rPr>
          <w:rFonts w:ascii="Arial" w:cs="Arial" w:eastAsia="Arial" w:hAnsi="Arial"/>
          <w:sz w:val="19"/>
          <w:szCs w:val="19"/>
          <w:color w:val="auto"/>
        </w:rPr>
        <w:t>the Borrower or any Guarantor is subject, or (b) credit bid and in such manner purchase (either directly or through one or more acquisition vehicles) all or any portion of the Collateral at any other sale or foreclosure conducted by (or with the consent or at the direction of) the Administrative Agent (whether by judicial action or otherwise) in accordance with applicable Law. In connection with any such credit bid and purchase, the Obligations owed to the Lenders shall be entitled to be, and shall be, credit bid on a ratable basis (with Obligations with respect to contingent or unliquidated claims being estimated for such purpose if the fixing or liquidation thereof would not unduly delay the ability of the Administrative Agent to credit bid and purchase at such sale or other disposition of the Collateral and, if such claims cannot be estimated without unduly delaying the ability of the Administrative Agent to credit bid, then such claims shall be disregarded, not credit bid, and not entitled to any interest in the asset or assets purchased by means of such credit bid) and the Lenders whose Obligations are credit bid shall be entitled to receive interests (ratably based upon the proportion of their Obligations credit bid in relation to the aggregate amount of Obligations so credit bid) in the asset or assets so purchased (or in the Capital Securities of the acquisition vehicle or vehicles that are used to consummate such purchase). Except as provided above and otherwise expressly provided for herein or in the other Loan Documents, the Administrative Agent will not execute or deliver a release of any Lien on any Collateral. Upon request by the Administrative Agent at any time, the Lenders will confirm in writing the Administrative Agent’s authority to release any such Liens on particular types or items of Collateral pursuant to, and in accordance with, this Section. Each Secured Party whose Obligations are credit bid under this Section shall be entitled to receive interests in the Collateral or any other asset acquired in connection with such credit bid (or in the Capital Securities of the acquisition vehicle or vehicles that are used to consummate such acquisition) on a ratable basis in accordance with the percentage obtained by dividing (y) the amount of Obligations of such Secured Party that were credit bid in such credit bid by (z) the aggregate amount of all Obligations that were credit bid in such credit bid.</w:t>
      </w:r>
    </w:p>
    <w:p>
      <w:pPr>
        <w:spacing w:after="0" w:line="200" w:lineRule="exact"/>
        <w:rPr>
          <w:sz w:val="20"/>
          <w:szCs w:val="20"/>
          <w:color w:val="auto"/>
        </w:rPr>
      </w:pP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xml:space="preserve">SECTION 11.9 </w:t>
      </w:r>
      <w:r>
        <w:rPr>
          <w:rFonts w:ascii="Arial" w:cs="Arial" w:eastAsia="Arial" w:hAnsi="Arial"/>
          <w:sz w:val="22"/>
          <w:szCs w:val="22"/>
          <w:u w:val="single" w:color="auto"/>
          <w:color w:val="auto"/>
        </w:rPr>
        <w:t>Collateral and Guarantee Matters</w:t>
      </w:r>
      <w:r>
        <w:rPr>
          <w:rFonts w:ascii="Arial" w:cs="Arial" w:eastAsia="Arial" w:hAnsi="Arial"/>
          <w:sz w:val="22"/>
          <w:szCs w:val="22"/>
          <w:color w:val="auto"/>
        </w:rPr>
        <w:t>. The Lenders irrevocably authorize the Administrative Agent:</w:t>
      </w:r>
    </w:p>
    <w:p>
      <w:pPr>
        <w:spacing w:after="0" w:line="206" w:lineRule="exact"/>
        <w:rPr>
          <w:sz w:val="20"/>
          <w:szCs w:val="20"/>
          <w:color w:val="auto"/>
        </w:rPr>
      </w:pPr>
    </w:p>
    <w:p>
      <w:pPr>
        <w:jc w:val="both"/>
        <w:ind w:left="760" w:firstLine="745"/>
        <w:spacing w:after="0" w:line="282" w:lineRule="auto"/>
        <w:tabs>
          <w:tab w:leader="none" w:pos="1941"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to release any Lien on any Collateral granted to or held by the Administrative Agent under any Loan Document (i) upon the Termination Date, (ii) that is sold or otherwise disposed of to a Person that is not the Borrower or any Guarantor as part of or in connection with any sale or other Disposition permitted hereunder and under the other Loan Documents or any Casualty Event, (iii) owned by a Guarantor upon release of such Guarantor from its obligations under its Guarantee pursuant to Section 11.9(b) or (iv) as approved in accordance with </w:t>
      </w:r>
      <w:r>
        <w:rPr>
          <w:rFonts w:ascii="Arial" w:cs="Arial" w:eastAsia="Arial" w:hAnsi="Arial"/>
          <w:sz w:val="19"/>
          <w:szCs w:val="19"/>
          <w:u w:val="single" w:color="auto"/>
          <w:color w:val="auto"/>
        </w:rPr>
        <w:t>Section 10.1</w:t>
      </w:r>
      <w:r>
        <w:rPr>
          <w:rFonts w:ascii="Arial" w:cs="Arial" w:eastAsia="Arial" w:hAnsi="Arial"/>
          <w:sz w:val="19"/>
          <w:szCs w:val="19"/>
          <w:color w:val="auto"/>
        </w:rPr>
        <w:t>; and</w:t>
      </w:r>
    </w:p>
    <w:p>
      <w:pPr>
        <w:spacing w:after="0" w:line="147" w:lineRule="exact"/>
        <w:rPr>
          <w:rFonts w:ascii="Arial" w:cs="Arial" w:eastAsia="Arial" w:hAnsi="Arial"/>
          <w:sz w:val="19"/>
          <w:szCs w:val="19"/>
          <w:color w:val="auto"/>
        </w:rPr>
      </w:pPr>
    </w:p>
    <w:p>
      <w:pPr>
        <w:ind w:left="5520" w:hanging="130"/>
        <w:spacing w:after="0"/>
        <w:tabs>
          <w:tab w:leader="none" w:pos="552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1" w:name="page122"/>
    <w:bookmarkEnd w:id="121"/>
    <w:p>
      <w:pPr>
        <w:ind w:left="760" w:right="20" w:firstLine="745"/>
        <w:spacing w:after="0" w:line="274" w:lineRule="auto"/>
        <w:tabs>
          <w:tab w:leader="none" w:pos="1941"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to release any Guarantor from its obligations under the Guarantee (i) upon the Termination Date or (ii) if such Person ceases to be a Subsidiary as a result of a transaction permitted under the Loan Documents.</w:t>
      </w:r>
    </w:p>
    <w:p>
      <w:pPr>
        <w:spacing w:after="0" w:line="151"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Upon request by the Administrative Agent at any time, the Lenders will confirm in writing the Administrative Agent’s authority to release its interest in particular types or items of property, or to release any Guarantor from its obligations under the Guarantee, pursuant to this </w:t>
      </w:r>
      <w:r>
        <w:rPr>
          <w:rFonts w:ascii="Arial" w:cs="Arial" w:eastAsia="Arial" w:hAnsi="Arial"/>
          <w:sz w:val="22"/>
          <w:szCs w:val="22"/>
          <w:u w:val="single" w:color="auto"/>
          <w:color w:val="auto"/>
        </w:rPr>
        <w:t>Section 11.9</w:t>
      </w:r>
      <w:r>
        <w:rPr>
          <w:rFonts w:ascii="Arial" w:cs="Arial" w:eastAsia="Arial" w:hAnsi="Arial"/>
          <w:sz w:val="22"/>
          <w:szCs w:val="22"/>
          <w:color w:val="auto"/>
        </w:rPr>
        <w:t>.</w:t>
      </w:r>
    </w:p>
    <w:p>
      <w:pPr>
        <w:spacing w:after="0" w:line="18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In the event that any Collateral shall be attached, garnished or levied upon by any court order, or the delivery thereof shall be stayed or enjoined by an order of a court, or any order, judgment or decree shall be made or entered by any court order affecting the Collateral, the Administrative Agent is hereby expressly authorized, in its sole discretion, to respond as it deems appropriate or to comply with all writs, orders or decrees so entered or issued, or which it is advised by legal counsel of its own choosing is binding upon it, whether with or without jurisdiction. In the event that the Administrative Agent obeys or complies with any such writ, order or decree it shall not be liable to any of the Parties or to any other person, firm or corporation, should, by reason of such compliance notwithstanding, such writ, order or decree be subsequently reversed, modified, annulled, set aside or vacated.</w:t>
      </w:r>
    </w:p>
    <w:p>
      <w:pPr>
        <w:spacing w:after="0" w:line="18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The Administrative Agent shall have no obligation to give, execute, deliver, file, record, authorize or obtain any financing statements, notices, instruments, documents, agreements, consents or other papers as shall be necessary to (i) create, preserve, perfect or validate any security interest granted to the Administrative Agent pursuant to the Loan Documents or (ii) enable the Administrative Agent to exercise and enforce its rights under the Loan Documents with respect to any such pledge and security interest.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the Borrower or any Guarantor in connection therewith, nor shall the Administrative Agent be responsible or liable to the Lenders for any failure to monitor or maintain any portion of the Collateral.</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SECTION 11.10 Erroneous Payments</w:t>
      </w:r>
      <w:r>
        <w:rPr>
          <w:rFonts w:ascii="Arial" w:cs="Arial" w:eastAsia="Arial" w:hAnsi="Arial"/>
          <w:sz w:val="22"/>
          <w:szCs w:val="22"/>
          <w:color w:val="auto"/>
        </w:rPr>
        <w:t>.</w:t>
      </w:r>
    </w:p>
    <w:p>
      <w:pPr>
        <w:spacing w:after="0" w:line="206" w:lineRule="exact"/>
        <w:rPr>
          <w:sz w:val="20"/>
          <w:szCs w:val="20"/>
          <w:color w:val="auto"/>
        </w:rPr>
      </w:pPr>
    </w:p>
    <w:p>
      <w:pPr>
        <w:jc w:val="both"/>
        <w:ind w:left="760" w:firstLine="745"/>
        <w:spacing w:after="0" w:line="273" w:lineRule="auto"/>
        <w:tabs>
          <w:tab w:leader="none" w:pos="1941"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If the Administrative Agent notifies a Lender, or any Person who has received funds on behalf of a Lender (any such Lender or other recipient, a “</w:t>
      </w:r>
      <w:r>
        <w:rPr>
          <w:rFonts w:ascii="Arial" w:cs="Arial" w:eastAsia="Arial" w:hAnsi="Arial"/>
          <w:sz w:val="19"/>
          <w:szCs w:val="19"/>
          <w:u w:val="single" w:color="auto"/>
          <w:color w:val="auto"/>
        </w:rPr>
        <w:t>Payment Recipient</w:t>
      </w:r>
      <w:r>
        <w:rPr>
          <w:rFonts w:ascii="Arial" w:cs="Arial" w:eastAsia="Arial" w:hAnsi="Arial"/>
          <w:sz w:val="19"/>
          <w:szCs w:val="19"/>
          <w:color w:val="auto"/>
        </w:rPr>
        <w:t xml:space="preserve">”), that the Administrative Agent has determined in its sole discretion (whether or not after receipt of any notice under immediately succeeding </w:t>
      </w:r>
      <w:r>
        <w:rPr>
          <w:rFonts w:ascii="Arial" w:cs="Arial" w:eastAsia="Arial" w:hAnsi="Arial"/>
          <w:sz w:val="19"/>
          <w:szCs w:val="19"/>
          <w:u w:val="single" w:color="auto"/>
          <w:color w:val="auto"/>
        </w:rPr>
        <w:t>clause (b)</w:t>
      </w:r>
      <w:r>
        <w:rPr>
          <w:rFonts w:ascii="Arial" w:cs="Arial" w:eastAsia="Arial" w:hAnsi="Arial"/>
          <w:sz w:val="19"/>
          <w:szCs w:val="19"/>
          <w:color w:val="auto"/>
        </w:rPr>
        <w:t>)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Arial" w:cs="Arial" w:eastAsia="Arial" w:hAnsi="Arial"/>
          <w:sz w:val="19"/>
          <w:szCs w:val="19"/>
          <w:u w:val="single" w:color="auto"/>
          <w:color w:val="auto"/>
        </w:rPr>
        <w:t>Erroneous Payment</w:t>
      </w:r>
      <w:r>
        <w:rPr>
          <w:rFonts w:ascii="Arial" w:cs="Arial" w:eastAsia="Arial" w:hAnsi="Arial"/>
          <w:sz w:val="19"/>
          <w:szCs w:val="19"/>
          <w:color w:val="auto"/>
        </w:rPr>
        <w:t>”) and demands in writing the return of such Erroneous Payment (or a portion thereof), such Erroneous Payment shall at all times remain the property of the Administrative Agent pending its return or repayment as contemplated below in this</w:t>
      </w:r>
    </w:p>
    <w:p>
      <w:pPr>
        <w:spacing w:after="0" w:line="160" w:lineRule="exact"/>
        <w:rPr>
          <w:rFonts w:ascii="Arial" w:cs="Arial" w:eastAsia="Arial" w:hAnsi="Arial"/>
          <w:sz w:val="19"/>
          <w:szCs w:val="19"/>
          <w:color w:val="auto"/>
        </w:rPr>
      </w:pPr>
    </w:p>
    <w:p>
      <w:pPr>
        <w:ind w:left="5520" w:hanging="130"/>
        <w:spacing w:after="0"/>
        <w:tabs>
          <w:tab w:leader="none" w:pos="552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2" w:name="page123"/>
    <w:bookmarkEnd w:id="122"/>
    <w:p>
      <w:pPr>
        <w:jc w:val="both"/>
        <w:spacing w:after="0" w:line="244" w:lineRule="auto"/>
        <w:rPr>
          <w:sz w:val="20"/>
          <w:szCs w:val="20"/>
          <w:color w:val="auto"/>
        </w:rPr>
      </w:pPr>
      <w:r>
        <w:rPr>
          <w:rFonts w:ascii="Arial" w:cs="Arial" w:eastAsia="Arial" w:hAnsi="Arial"/>
          <w:sz w:val="21"/>
          <w:szCs w:val="21"/>
          <w:color w:val="auto"/>
        </w:rPr>
        <w:t xml:space="preserve">Section 11.10 and held in trust for the benefit of the Administrative Agent, and such Lender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shall be conclusive, absent manifest error.</w:t>
      </w:r>
    </w:p>
    <w:p>
      <w:pPr>
        <w:spacing w:after="0" w:line="188" w:lineRule="exact"/>
        <w:rPr>
          <w:sz w:val="20"/>
          <w:szCs w:val="20"/>
          <w:color w:val="auto"/>
        </w:rPr>
      </w:pPr>
    </w:p>
    <w:p>
      <w:pPr>
        <w:jc w:val="both"/>
        <w:ind w:firstLine="745"/>
        <w:spacing w:after="0" w:line="245" w:lineRule="auto"/>
        <w:tabs>
          <w:tab w:leader="none" w:pos="1181"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Without limiting immediately preceding </w:t>
      </w:r>
      <w:r>
        <w:rPr>
          <w:rFonts w:ascii="Arial" w:cs="Arial" w:eastAsia="Arial" w:hAnsi="Arial"/>
          <w:sz w:val="21"/>
          <w:szCs w:val="21"/>
          <w:u w:val="single" w:color="auto"/>
          <w:color w:val="auto"/>
        </w:rPr>
        <w:t>clause (a)</w:t>
      </w:r>
      <w:r>
        <w:rPr>
          <w:rFonts w:ascii="Arial" w:cs="Arial" w:eastAsia="Arial" w:hAnsi="Arial"/>
          <w:sz w:val="21"/>
          <w:szCs w:val="21"/>
          <w:color w:val="auto"/>
        </w:rPr>
        <w:t>, each Lender, or any Person who has received funds on behalf of a Lender,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w:t>
      </w:r>
    </w:p>
    <w:p>
      <w:pPr>
        <w:spacing w:after="0" w:line="184" w:lineRule="exact"/>
        <w:rPr>
          <w:rFonts w:ascii="Arial" w:cs="Arial" w:eastAsia="Arial" w:hAnsi="Arial"/>
          <w:sz w:val="21"/>
          <w:szCs w:val="21"/>
          <w:color w:val="auto"/>
        </w:rPr>
      </w:pPr>
    </w:p>
    <w:p>
      <w:pPr>
        <w:jc w:val="both"/>
        <w:ind w:left="740" w:firstLine="754"/>
        <w:spacing w:after="0" w:line="287" w:lineRule="auto"/>
        <w:tabs>
          <w:tab w:leader="none" w:pos="1921" w:val="left"/>
        </w:tabs>
        <w:numPr>
          <w:ilvl w:val="1"/>
          <w:numId w:val="116"/>
        </w:numPr>
        <w:rPr>
          <w:rFonts w:ascii="Arial" w:cs="Arial" w:eastAsia="Arial" w:hAnsi="Arial"/>
          <w:sz w:val="19"/>
          <w:szCs w:val="19"/>
          <w:color w:val="auto"/>
        </w:rPr>
      </w:pPr>
      <w:r>
        <w:rPr>
          <w:rFonts w:ascii="Arial" w:cs="Arial" w:eastAsia="Arial" w:hAnsi="Arial"/>
          <w:sz w:val="19"/>
          <w:szCs w:val="19"/>
          <w:color w:val="auto"/>
        </w:rPr>
        <w:t>it acknowledges and agrees that (A) in the case of immediately preceding clauses (x) or (y), an error or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spacing w:after="0" w:line="142" w:lineRule="exact"/>
        <w:rPr>
          <w:rFonts w:ascii="Arial" w:cs="Arial" w:eastAsia="Arial" w:hAnsi="Arial"/>
          <w:sz w:val="19"/>
          <w:szCs w:val="19"/>
          <w:color w:val="auto"/>
        </w:rPr>
      </w:pPr>
    </w:p>
    <w:p>
      <w:pPr>
        <w:jc w:val="both"/>
        <w:ind w:left="740" w:firstLine="754"/>
        <w:spacing w:after="0" w:line="249" w:lineRule="auto"/>
        <w:tabs>
          <w:tab w:leader="none" w:pos="1921" w:val="left"/>
        </w:tabs>
        <w:numPr>
          <w:ilvl w:val="1"/>
          <w:numId w:val="116"/>
        </w:numPr>
        <w:rPr>
          <w:rFonts w:ascii="Arial" w:cs="Arial" w:eastAsia="Arial" w:hAnsi="Arial"/>
          <w:sz w:val="21"/>
          <w:szCs w:val="21"/>
          <w:color w:val="auto"/>
        </w:rPr>
      </w:pPr>
      <w:r>
        <w:rPr>
          <w:rFonts w:ascii="Arial" w:cs="Arial" w:eastAsia="Arial" w:hAnsi="Arial"/>
          <w:sz w:val="21"/>
          <w:szCs w:val="21"/>
          <w:color w:val="auto"/>
        </w:rPr>
        <w:t xml:space="preserve">such Lender shall (and shall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Arial" w:cs="Arial" w:eastAsia="Arial" w:hAnsi="Arial"/>
          <w:sz w:val="21"/>
          <w:szCs w:val="21"/>
          <w:u w:val="single" w:color="auto"/>
          <w:color w:val="auto"/>
        </w:rPr>
        <w:t>Section 11.10(b)(ii)</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jc w:val="both"/>
        <w:ind w:firstLine="745"/>
        <w:spacing w:after="0" w:line="297" w:lineRule="auto"/>
        <w:tabs>
          <w:tab w:leader="none" w:pos="1181" w:val="left"/>
        </w:tabs>
        <w:numPr>
          <w:ilvl w:val="0"/>
          <w:numId w:val="116"/>
        </w:numPr>
        <w:rPr>
          <w:rFonts w:ascii="Arial" w:cs="Arial" w:eastAsia="Arial" w:hAnsi="Arial"/>
          <w:sz w:val="19"/>
          <w:szCs w:val="19"/>
          <w:color w:val="auto"/>
        </w:rPr>
      </w:pPr>
      <w:r>
        <w:rPr>
          <w:rFonts w:ascii="Arial" w:cs="Arial" w:eastAsia="Arial" w:hAnsi="Arial"/>
          <w:sz w:val="19"/>
          <w:szCs w:val="19"/>
          <w:color w:val="auto"/>
        </w:rPr>
        <w:t>Each Lender hereby authorizes the Administrative Agent to set off, net and apply any and all amounts at any time owing to such Lender under any Loan Document, or otherwise payable or distributable by the Administrative Agent to such Lender under any Loan Document with respect to any payment of principal, interest, fees or other</w:t>
      </w:r>
    </w:p>
    <w:p>
      <w:pPr>
        <w:spacing w:after="0" w:line="133" w:lineRule="exact"/>
        <w:rPr>
          <w:rFonts w:ascii="Arial" w:cs="Arial" w:eastAsia="Arial" w:hAnsi="Arial"/>
          <w:sz w:val="19"/>
          <w:szCs w:val="19"/>
          <w:color w:val="auto"/>
        </w:rPr>
      </w:pPr>
    </w:p>
    <w:p>
      <w:pPr>
        <w:ind w:left="4760" w:hanging="130"/>
        <w:spacing w:after="0"/>
        <w:tabs>
          <w:tab w:leader="none" w:pos="476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405765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1" w:right="339" w:bottom="1440" w:gutter="0" w:footer="0" w:header="0"/>
        </w:sectPr>
      </w:pPr>
    </w:p>
    <w:bookmarkStart w:id="123" w:name="page124"/>
    <w:bookmarkEnd w:id="123"/>
    <w:p>
      <w:pPr>
        <w:ind w:right="20"/>
        <w:spacing w:after="0" w:line="250" w:lineRule="auto"/>
        <w:rPr>
          <w:sz w:val="20"/>
          <w:szCs w:val="20"/>
          <w:color w:val="auto"/>
        </w:rPr>
      </w:pPr>
      <w:r>
        <w:rPr>
          <w:rFonts w:ascii="Arial" w:cs="Arial" w:eastAsia="Arial" w:hAnsi="Arial"/>
          <w:sz w:val="22"/>
          <w:szCs w:val="22"/>
          <w:color w:val="auto"/>
        </w:rPr>
        <w:t>amounts, against any amount that the Administrative Agent has demanded to be returned under immediately preceding clause (a).</w:t>
      </w:r>
    </w:p>
    <w:p>
      <w:pPr>
        <w:spacing w:after="0" w:line="175" w:lineRule="exact"/>
        <w:rPr>
          <w:sz w:val="20"/>
          <w:szCs w:val="20"/>
          <w:color w:val="auto"/>
        </w:rPr>
      </w:pPr>
    </w:p>
    <w:p>
      <w:pPr>
        <w:ind w:left="1180" w:hanging="435"/>
        <w:spacing w:after="0"/>
        <w:tabs>
          <w:tab w:leader="none" w:pos="118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745"/>
        <w:spacing w:after="0" w:line="271" w:lineRule="auto"/>
        <w:tabs>
          <w:tab w:leader="none" w:pos="1181"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Secured Party, to the rights and interests of such Lender or Secured Party, as the case may be) under the Loan Documents with respect to such amount and (y) an Erroneous Payment shall not pay, prepay, repay, discharge or otherwise satisfy any Obligations owed by the Borrower or any Guarantor;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Section 11.10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the avoidance of doubt, immediately preceding clauses (x) and (y) shall not apply to the extent any Erroneous Payment is, and solely with respect to the amount of such Erroneous Payment that is, comprised of funds received by the Administrative Agent from the Borrower or any Guarantor for the purpose of making such Erroneous Payment.</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745"/>
        <w:spacing w:after="0" w:line="236" w:lineRule="auto"/>
        <w:tabs>
          <w:tab w:leader="none" w:pos="1181"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87" w:lineRule="exact"/>
        <w:rPr>
          <w:rFonts w:ascii="Arial" w:cs="Arial" w:eastAsia="Arial" w:hAnsi="Arial"/>
          <w:sz w:val="22"/>
          <w:szCs w:val="22"/>
          <w:color w:val="auto"/>
        </w:rPr>
      </w:pPr>
    </w:p>
    <w:p>
      <w:pPr>
        <w:jc w:val="both"/>
        <w:ind w:firstLine="745"/>
        <w:spacing w:after="0" w:line="238" w:lineRule="auto"/>
        <w:tabs>
          <w:tab w:leader="none" w:pos="1181"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Each party’s obligations, agreements and waivers under this </w:t>
      </w:r>
      <w:r>
        <w:rPr>
          <w:rFonts w:ascii="Arial" w:cs="Arial" w:eastAsia="Arial" w:hAnsi="Arial"/>
          <w:sz w:val="22"/>
          <w:szCs w:val="22"/>
          <w:u w:val="single" w:color="auto"/>
          <w:color w:val="auto"/>
        </w:rPr>
        <w:t>Section 11.10</w:t>
      </w:r>
      <w:r>
        <w:rPr>
          <w:rFonts w:ascii="Arial" w:cs="Arial" w:eastAsia="Arial" w:hAnsi="Arial"/>
          <w:sz w:val="22"/>
          <w:szCs w:val="22"/>
          <w:color w:val="auto"/>
        </w:rPr>
        <w:t xml:space="preserve">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w:t>
      </w:r>
    </w:p>
    <w:p>
      <w:pPr>
        <w:spacing w:after="0" w:line="200" w:lineRule="exact"/>
        <w:rPr>
          <w:sz w:val="20"/>
          <w:szCs w:val="20"/>
          <w:color w:val="auto"/>
        </w:rPr>
      </w:pPr>
    </w:p>
    <w:p>
      <w:pPr>
        <w:spacing w:after="0" w:line="201"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405765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1" w:right="339" w:bottom="1440" w:gutter="0" w:footer="0" w:header="0"/>
        </w:sectPr>
      </w:pPr>
    </w:p>
    <w:bookmarkStart w:id="124" w:name="page125"/>
    <w:bookmarkEnd w:id="124"/>
    <w:p>
      <w:pPr>
        <w:ind w:firstLine="749"/>
        <w:spacing w:after="0" w:line="250" w:lineRule="auto"/>
        <w:rPr>
          <w:sz w:val="20"/>
          <w:szCs w:val="20"/>
          <w:color w:val="auto"/>
        </w:rPr>
      </w:pPr>
      <w:r>
        <w:rPr>
          <w:rFonts w:ascii="Arial" w:cs="Arial" w:eastAsia="Arial" w:hAnsi="Arial"/>
          <w:sz w:val="22"/>
          <w:szCs w:val="22"/>
          <w:color w:val="auto"/>
        </w:rPr>
        <w:t>IN WITNESS WHEREOF, the parties hereto have caused this Agreement to be executed by their respective officers thereunto duly authorized as of the day and year first above written.</w:t>
      </w:r>
    </w:p>
    <w:p>
      <w:pPr>
        <w:spacing w:after="0" w:line="200" w:lineRule="exact"/>
        <w:rPr>
          <w:sz w:val="20"/>
          <w:szCs w:val="20"/>
          <w:color w:val="auto"/>
        </w:rPr>
      </w:pPr>
    </w:p>
    <w:p>
      <w:pPr>
        <w:spacing w:after="0" w:line="20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AVITA MEDICAL, INC.,</w:t>
      </w:r>
    </w:p>
    <w:p>
      <w:pPr>
        <w:spacing w:after="0" w:line="8"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as the Borrower</w:t>
      </w:r>
    </w:p>
    <w:p>
      <w:pPr>
        <w:spacing w:after="0" w:line="200" w:lineRule="exact"/>
        <w:rPr>
          <w:sz w:val="20"/>
          <w:szCs w:val="20"/>
          <w:color w:val="auto"/>
        </w:rPr>
      </w:pPr>
    </w:p>
    <w:p>
      <w:pPr>
        <w:spacing w:after="0" w:line="285"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__/s/ James Corbett__</w:t>
      </w:r>
      <w:r>
        <w:rPr>
          <w:rFonts w:ascii="Arial" w:cs="Arial" w:eastAsia="Arial" w:hAnsi="Arial"/>
          <w:sz w:val="22"/>
          <w:szCs w:val="22"/>
          <w:color w:val="auto"/>
        </w:rPr>
        <w:t>______________________</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James Corbett</w:t>
      </w:r>
    </w:p>
    <w:p>
      <w:pPr>
        <w:spacing w:after="0" w:line="1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Title: Chief Executive Officer</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5" w:name="page126"/>
    <w:bookmarkEnd w:id="125"/>
    <w:p>
      <w:pPr>
        <w:ind w:left="3040"/>
        <w:spacing w:after="0"/>
        <w:rPr>
          <w:sz w:val="20"/>
          <w:szCs w:val="20"/>
          <w:color w:val="auto"/>
        </w:rPr>
      </w:pPr>
      <w:r>
        <w:rPr>
          <w:rFonts w:ascii="Arial" w:cs="Arial" w:eastAsia="Arial" w:hAnsi="Arial"/>
          <w:sz w:val="22"/>
          <w:szCs w:val="22"/>
          <w:color w:val="auto"/>
        </w:rPr>
        <w:t>ORCO IV LLC,</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as the Initial Lender</w:t>
      </w:r>
    </w:p>
    <w:p>
      <w:pPr>
        <w:spacing w:after="0" w:line="188"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By: OrbiMed Royalty &amp; Credit Opportunities IV, LP</w:t>
      </w:r>
    </w:p>
    <w:p>
      <w:pPr>
        <w:spacing w:after="0" w:line="206"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By: OrbiMed ROF IV LLC, its general partner</w:t>
      </w:r>
    </w:p>
    <w:p>
      <w:pPr>
        <w:spacing w:after="0" w:line="206" w:lineRule="exact"/>
        <w:rPr>
          <w:sz w:val="20"/>
          <w:szCs w:val="20"/>
          <w:color w:val="auto"/>
        </w:rPr>
      </w:pPr>
    </w:p>
    <w:p>
      <w:pPr>
        <w:jc w:val="right"/>
        <w:ind w:right="939"/>
        <w:spacing w:after="0"/>
        <w:rPr>
          <w:sz w:val="20"/>
          <w:szCs w:val="20"/>
          <w:color w:val="auto"/>
        </w:rPr>
      </w:pPr>
      <w:r>
        <w:rPr>
          <w:rFonts w:ascii="Arial" w:cs="Arial" w:eastAsia="Arial" w:hAnsi="Arial"/>
          <w:sz w:val="22"/>
          <w:szCs w:val="22"/>
          <w:color w:val="auto"/>
        </w:rPr>
        <w:t>By: OrbiMed Advisors LLC, its managing member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40"/>
        <w:spacing w:after="0"/>
        <w:rPr>
          <w:sz w:val="20"/>
          <w:szCs w:val="20"/>
          <w:color w:val="auto"/>
        </w:rPr>
      </w:pPr>
      <w:r>
        <w:rPr>
          <w:rFonts w:ascii="Arial" w:cs="Arial" w:eastAsia="Arial" w:hAnsi="Arial"/>
          <w:sz w:val="21"/>
          <w:szCs w:val="21"/>
          <w:color w:val="auto"/>
        </w:rPr>
        <w:t>By: ___</w:t>
      </w:r>
      <w:r>
        <w:rPr>
          <w:rFonts w:ascii="Arial" w:cs="Arial" w:eastAsia="Arial" w:hAnsi="Arial"/>
          <w:sz w:val="21"/>
          <w:szCs w:val="21"/>
          <w:u w:val="single" w:color="auto"/>
          <w:color w:val="auto"/>
        </w:rPr>
        <w:t>_/s/ Matthew Rizzo_</w:t>
      </w:r>
      <w:r>
        <w:rPr>
          <w:rFonts w:ascii="Arial" w:cs="Arial" w:eastAsia="Arial" w:hAnsi="Arial"/>
          <w:sz w:val="21"/>
          <w:szCs w:val="21"/>
          <w:color w:val="auto"/>
        </w:rPr>
        <w:t>____________________</w:t>
      </w:r>
    </w:p>
    <w:p>
      <w:pPr>
        <w:spacing w:after="0" w:line="6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Matthew Rizzo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ORCO IV LLC,</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 OrbiMed Royalty &amp; Credit Opportunities IV, LP</w:t>
      </w:r>
    </w:p>
    <w:p>
      <w:pPr>
        <w:spacing w:after="0" w:line="206" w:lineRule="exact"/>
        <w:rPr>
          <w:sz w:val="20"/>
          <w:szCs w:val="20"/>
          <w:color w:val="auto"/>
        </w:rPr>
      </w:pPr>
    </w:p>
    <w:p>
      <w:pPr>
        <w:ind w:left="2360"/>
        <w:spacing w:after="0"/>
        <w:rPr>
          <w:sz w:val="20"/>
          <w:szCs w:val="20"/>
          <w:color w:val="auto"/>
        </w:rPr>
      </w:pPr>
      <w:r>
        <w:rPr>
          <w:rFonts w:ascii="Arial" w:cs="Arial" w:eastAsia="Arial" w:hAnsi="Arial"/>
          <w:sz w:val="22"/>
          <w:szCs w:val="22"/>
          <w:color w:val="auto"/>
        </w:rPr>
        <w:t>By: OrbiMed ROF IV LLC, its general partner</w:t>
      </w:r>
    </w:p>
    <w:p>
      <w:pPr>
        <w:spacing w:after="0" w:line="20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By: OrbiMed Advisors LLC, its managing member</w:t>
      </w:r>
    </w:p>
    <w:p>
      <w:pPr>
        <w:spacing w:after="0" w:line="200" w:lineRule="exact"/>
        <w:rPr>
          <w:sz w:val="20"/>
          <w:szCs w:val="20"/>
          <w:color w:val="auto"/>
        </w:rPr>
      </w:pPr>
    </w:p>
    <w:p>
      <w:pPr>
        <w:spacing w:after="0" w:line="303"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By: __</w:t>
      </w:r>
      <w:r>
        <w:rPr>
          <w:rFonts w:ascii="Arial" w:cs="Arial" w:eastAsia="Arial" w:hAnsi="Arial"/>
          <w:sz w:val="22"/>
          <w:szCs w:val="22"/>
          <w:u w:val="single" w:color="auto"/>
          <w:color w:val="auto"/>
        </w:rPr>
        <w:t>/s/ Matthew Rizzo</w:t>
      </w:r>
      <w:r>
        <w:rPr>
          <w:rFonts w:ascii="Arial" w:cs="Arial" w:eastAsia="Arial" w:hAnsi="Arial"/>
          <w:sz w:val="22"/>
          <w:szCs w:val="22"/>
          <w:color w:val="auto"/>
        </w:rPr>
        <w:t>_____________________</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Name: Matthew Rizzo</w:t>
      </w:r>
    </w:p>
    <w:p>
      <w:pPr>
        <w:spacing w:after="0" w:line="21"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Title: Member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75" w:right="1440" w:bottom="1440" w:gutter="0" w:footer="0" w:header="0"/>
        </w:sectPr>
      </w:pPr>
    </w:p>
    <w:bookmarkStart w:id="126" w:name="page127"/>
    <w:bookmarkEnd w:id="126"/>
    <w:p>
      <w:pPr>
        <w:jc w:val="right"/>
        <w:spacing w:after="0"/>
        <w:rPr>
          <w:sz w:val="20"/>
          <w:szCs w:val="20"/>
          <w:color w:val="auto"/>
        </w:rPr>
      </w:pPr>
      <w:r>
        <w:rPr>
          <w:rFonts w:ascii="Arial" w:cs="Arial" w:eastAsia="Arial" w:hAnsi="Arial"/>
          <w:sz w:val="20"/>
          <w:szCs w:val="20"/>
          <w:b w:val="1"/>
          <w:bCs w:val="1"/>
          <w:color w:val="auto"/>
        </w:rPr>
        <w:t>Exhibit 10.2</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PLEDGE AND SECURITY AGREEMENT</w:t>
      </w:r>
    </w:p>
    <w:p>
      <w:pPr>
        <w:spacing w:after="0" w:line="200" w:lineRule="exact"/>
        <w:rPr>
          <w:sz w:val="20"/>
          <w:szCs w:val="20"/>
          <w:color w:val="auto"/>
        </w:rPr>
      </w:pPr>
    </w:p>
    <w:p>
      <w:pPr>
        <w:spacing w:after="0" w:line="231"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This PLEDGE AND SECURITY AGREEMENT, dated as of October 18, 2023 (as amended, supplemented or otherwise modified from time to time, this “</w:t>
      </w:r>
      <w:r>
        <w:rPr>
          <w:rFonts w:ascii="Arial" w:cs="Arial" w:eastAsia="Arial" w:hAnsi="Arial"/>
          <w:sz w:val="22"/>
          <w:szCs w:val="22"/>
          <w:u w:val="single" w:color="auto"/>
          <w:color w:val="auto"/>
        </w:rPr>
        <w:t>Security Agreement</w:t>
      </w:r>
      <w:r>
        <w:rPr>
          <w:rFonts w:ascii="Arial" w:cs="Arial" w:eastAsia="Arial" w:hAnsi="Arial"/>
          <w:sz w:val="22"/>
          <w:szCs w:val="22"/>
          <w:color w:val="auto"/>
        </w:rPr>
        <w:t>”), is made by AVITA MEDICAL,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and the other entities listed on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(together with the Borrower and any other entity that may become party hereto as provided herein, each a “</w:t>
      </w:r>
      <w:r>
        <w:rPr>
          <w:rFonts w:ascii="Arial" w:cs="Arial" w:eastAsia="Arial" w:hAnsi="Arial"/>
          <w:sz w:val="22"/>
          <w:szCs w:val="22"/>
          <w:u w:val="single" w:color="auto"/>
          <w:color w:val="auto"/>
        </w:rPr>
        <w:t>Grantor</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Grantors</w:t>
      </w:r>
      <w:r>
        <w:rPr>
          <w:rFonts w:ascii="Arial" w:cs="Arial" w:eastAsia="Arial" w:hAnsi="Arial"/>
          <w:sz w:val="22"/>
          <w:szCs w:val="22"/>
          <w:color w:val="auto"/>
        </w:rPr>
        <w:t>”), in favor of ORCO IV LLC, a Delaware limited liability company (together with its successors, transferees and assignees,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as Administrative Agent for the Secured Parties (as defined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WHEREAS, pursuant to the Credit Agreement, dated as of October 18, 2023 (as amended,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by and among the Borrower, the Lenders party thereto and the Administrative Agent, the Lenders have extended a Commitment to make Loans to the Borrower;</w:t>
      </w:r>
    </w:p>
    <w:p>
      <w:pPr>
        <w:spacing w:after="0" w:line="186"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WHEREAS, as a condition precedent to the making of the Initial Loan, and as an inducement for the Lenders to make the Loans, in each case under the Credit Agreement, each Grantor is required to execute and deliver this Security Agreement; and</w:t>
      </w:r>
    </w:p>
    <w:p>
      <w:pPr>
        <w:spacing w:after="0" w:line="10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color w:val="auto"/>
        </w:rPr>
        <w:t>WHEREAS, it is required under the terms of the Credit Agreement that the Grantors shall have granted, pledged and assigned the security interests and undertaken the obligations contemplated by this Security Agreement.</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each Grantor agrees, for the benefit of the Secured Parties, as follows: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188"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Certain Terms</w:t>
      </w:r>
      <w:r>
        <w:rPr>
          <w:rFonts w:ascii="Arial" w:cs="Arial" w:eastAsia="Arial" w:hAnsi="Arial"/>
          <w:sz w:val="22"/>
          <w:szCs w:val="22"/>
          <w:color w:val="auto"/>
        </w:rPr>
        <w:t>. The following terms (whether or not underscored) when used in this Security Agreement, including its preamble and recitals, shall have the following meanings (such definitions to be equally applicable to the singular and plural forms thereof):</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Accounts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4.3(b)</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7" w:name="page128"/>
    <w:bookmarkEnd w:id="127"/>
    <w:p>
      <w:pPr>
        <w:jc w:val="both"/>
        <w:ind w:firstLine="749"/>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Computer Hardware and Software Collateral</w:t>
      </w:r>
      <w:r>
        <w:rPr>
          <w:rFonts w:ascii="Arial" w:cs="Arial" w:eastAsia="Arial" w:hAnsi="Arial"/>
          <w:sz w:val="19"/>
          <w:szCs w:val="19"/>
          <w:color w:val="auto"/>
        </w:rPr>
        <w:t xml:space="preserve">” means: (a) all of the Grantors’ computer and other electronic data processing hardware, integrated computer systems, central processing units, memory units, display terminals, printers, features, computer elements, card readers, tape drives, hard and soft disk drives, cables, electrical supply hardware, generators, power equalizers, accessories and all peripheral devices and other related computer hardware, including all operating system software, utilities and application programs in whatsoever form; (b) all software programs (including both source code, object code and all related applications and data files) designed for use on the computers and electronic data processing hardware described in </w:t>
      </w:r>
      <w:r>
        <w:rPr>
          <w:rFonts w:ascii="Arial" w:cs="Arial" w:eastAsia="Arial" w:hAnsi="Arial"/>
          <w:sz w:val="19"/>
          <w:szCs w:val="19"/>
          <w:u w:val="single" w:color="auto"/>
          <w:color w:val="auto"/>
        </w:rPr>
        <w:t>clause</w:t>
      </w:r>
    </w:p>
    <w:p>
      <w:pPr>
        <w:spacing w:after="0" w:line="1" w:lineRule="exact"/>
        <w:rPr>
          <w:sz w:val="20"/>
          <w:szCs w:val="20"/>
          <w:color w:val="auto"/>
        </w:rPr>
      </w:pPr>
    </w:p>
    <w:p>
      <w:pPr>
        <w:jc w:val="both"/>
        <w:ind w:firstLine="8"/>
        <w:spacing w:after="0" w:line="232" w:lineRule="auto"/>
        <w:tabs>
          <w:tab w:leader="none" w:pos="310" w:val="left"/>
        </w:tabs>
        <w:numPr>
          <w:ilvl w:val="0"/>
          <w:numId w:val="118"/>
        </w:numPr>
        <w:rPr>
          <w:rFonts w:ascii="Arial" w:cs="Arial" w:eastAsia="Arial" w:hAnsi="Arial"/>
          <w:sz w:val="22"/>
          <w:szCs w:val="22"/>
          <w:u w:val="single" w:color="auto"/>
          <w:color w:val="auto"/>
        </w:rPr>
      </w:pPr>
      <w:r>
        <w:rPr>
          <w:rFonts w:ascii="Arial" w:cs="Arial" w:eastAsia="Arial" w:hAnsi="Arial"/>
          <w:sz w:val="22"/>
          <w:szCs w:val="22"/>
          <w:color w:val="auto"/>
        </w:rPr>
        <w:t xml:space="preserve">above; (c) all firmware associated therewith; (d) all documentation (including flow charts, logic diagrams, manuals, guides, specifications, training materials, charts and pseudo codes) with respect to such hardware, software and firmware described in the preceding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(c)</w:t>
      </w:r>
      <w:r>
        <w:rPr>
          <w:rFonts w:ascii="Arial" w:cs="Arial" w:eastAsia="Arial" w:hAnsi="Arial"/>
          <w:sz w:val="22"/>
          <w:szCs w:val="22"/>
          <w:color w:val="auto"/>
        </w:rPr>
        <w:t>; and (e) all rights with respect to all of the foregoing, including copyrights, licenses, options, warranties, service contracts, program services, test rights, maintenance rights, support rights, improvement rights, renewal rights and indemnifications and any substitutions, replacements, improvements, error corrections, updates, additions or model conversions of any of the foregoing.</w:t>
      </w:r>
    </w:p>
    <w:p>
      <w:pPr>
        <w:spacing w:after="0" w:line="189"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 Agreement</w:t>
      </w:r>
      <w:r>
        <w:rPr>
          <w:rFonts w:ascii="Arial" w:cs="Arial" w:eastAsia="Arial" w:hAnsi="Arial"/>
          <w:sz w:val="19"/>
          <w:szCs w:val="19"/>
          <w:color w:val="auto"/>
        </w:rPr>
        <w:t>” means an authenticated record in form and substance reasonably satisfactory to the Administrative Agent, that provides for the Administrative Agent to have “control” (as defined in the UCC) over certain Collateral.</w:t>
      </w:r>
    </w:p>
    <w:p>
      <w:pPr>
        <w:spacing w:after="0" w:line="10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 Collateral</w:t>
      </w:r>
      <w:r>
        <w:rPr>
          <w:rFonts w:ascii="Arial" w:cs="Arial" w:eastAsia="Arial" w:hAnsi="Arial"/>
          <w:sz w:val="22"/>
          <w:szCs w:val="22"/>
          <w:color w:val="auto"/>
        </w:rPr>
        <w:t xml:space="preserve">” means all Copyrights, including the copyrights referred to in </w:t>
      </w:r>
      <w:r>
        <w:rPr>
          <w:rFonts w:ascii="Arial" w:cs="Arial" w:eastAsia="Arial" w:hAnsi="Arial"/>
          <w:sz w:val="22"/>
          <w:szCs w:val="22"/>
          <w:u w:val="single" w:color="auto"/>
          <w:color w:val="auto"/>
        </w:rPr>
        <w:t>Item A</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V</w:t>
      </w:r>
      <w:r>
        <w:rPr>
          <w:rFonts w:ascii="Arial" w:cs="Arial" w:eastAsia="Arial" w:hAnsi="Arial"/>
          <w:sz w:val="22"/>
          <w:szCs w:val="22"/>
          <w:color w:val="auto"/>
        </w:rPr>
        <w:t xml:space="preserve">, and registrations and recordings thereof and all applications for registration thereof, whether pending or in preparation, all copyright licenses, including each copyright license referred to in </w:t>
      </w:r>
      <w:r>
        <w:rPr>
          <w:rFonts w:ascii="Arial" w:cs="Arial" w:eastAsia="Arial" w:hAnsi="Arial"/>
          <w:sz w:val="22"/>
          <w:szCs w:val="22"/>
          <w:u w:val="single" w:color="auto"/>
          <w:color w:val="auto"/>
        </w:rPr>
        <w:t>Item B</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V</w:t>
      </w:r>
      <w:r>
        <w:rPr>
          <w:rFonts w:ascii="Arial" w:cs="Arial" w:eastAsia="Arial" w:hAnsi="Arial"/>
          <w:sz w:val="22"/>
          <w:szCs w:val="22"/>
          <w:color w:val="auto"/>
        </w:rPr>
        <w:t>, the right to sue for past, present and future infringements of any of the foregoing, all rights corresponding thereto, all extensions and renewals of any thereof and all Proceeds of the foregoing, including licenses, royalties, income, payments, claims, damages and Proceeds of suit, which are owned or licensed by the Grantors.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Agreement</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first recital</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1"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Distributions</w:t>
      </w:r>
      <w:r>
        <w:rPr>
          <w:rFonts w:ascii="Arial" w:cs="Arial" w:eastAsia="Arial" w:hAnsi="Arial"/>
          <w:sz w:val="21"/>
          <w:szCs w:val="21"/>
          <w:color w:val="auto"/>
        </w:rPr>
        <w:t>” means all dividends paid on Capital Securities, liquidating dividends paid on Capital Securities, shares (or other designations) of Capital Securities resulting from (or in connection with the exercise of) stock splits, reclassifications, warrants, options, non</w:t>
      </w:r>
      <w:r>
        <w:rPr>
          <w:rFonts w:ascii="MS PGothic" w:cs="MS PGothic" w:eastAsia="MS PGothic" w:hAnsi="MS PGothic"/>
          <w:sz w:val="21"/>
          <w:szCs w:val="21"/>
          <w:color w:val="auto"/>
        </w:rPr>
        <w:t>‑</w:t>
      </w:r>
      <w:r>
        <w:rPr>
          <w:rFonts w:ascii="Arial" w:cs="Arial" w:eastAsia="Arial" w:hAnsi="Arial"/>
          <w:sz w:val="21"/>
          <w:szCs w:val="21"/>
          <w:color w:val="auto"/>
        </w:rPr>
        <w:t>cash dividends, mergers, consolidations, and all other distributions (whether similar or dissimilar to the foregoing) on or with respect to any Capital Securities constituting Collateral.</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Property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Financing Statements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3.7(b)</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General Intangibles</w:t>
      </w:r>
      <w:r>
        <w:rPr>
          <w:rFonts w:ascii="Arial" w:cs="Arial" w:eastAsia="Arial" w:hAnsi="Arial"/>
          <w:sz w:val="22"/>
          <w:szCs w:val="22"/>
          <w:color w:val="auto"/>
        </w:rPr>
        <w:t>” means all “general intangibles” and all “payment intangibles,” each as defined in the UCC, and shall include all interest rate or currency protection or hedging arrangements, all tax refunds, all licenses, permits, concessions and authorizations and all Intellectual Property Collateral (in each case, regardless of whether characterized as general intangibles under the UCC).</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Grantor</w:t>
      </w:r>
      <w:r>
        <w:rPr>
          <w:rFonts w:ascii="Arial" w:cs="Arial" w:eastAsia="Arial" w:hAnsi="Arial"/>
          <w:sz w:val="22"/>
          <w:szCs w:val="22"/>
          <w:color w:val="auto"/>
        </w:rPr>
        <w:t>” and “</w:t>
      </w:r>
      <w:r>
        <w:rPr>
          <w:rFonts w:ascii="Arial" w:cs="Arial" w:eastAsia="Arial" w:hAnsi="Arial"/>
          <w:sz w:val="22"/>
          <w:szCs w:val="22"/>
          <w:u w:val="single" w:color="auto"/>
          <w:color w:val="auto"/>
        </w:rPr>
        <w:t>Grantors</w:t>
      </w:r>
      <w:r>
        <w:rPr>
          <w:rFonts w:ascii="Arial" w:cs="Arial" w:eastAsia="Arial" w:hAnsi="Arial"/>
          <w:sz w:val="22"/>
          <w:szCs w:val="22"/>
          <w:color w:val="auto"/>
        </w:rPr>
        <w:t xml:space="preserve">” are defined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8" w:name="page129"/>
    <w:bookmarkEnd w:id="128"/>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 Collateral</w:t>
      </w:r>
      <w:r>
        <w:rPr>
          <w:rFonts w:ascii="Arial" w:cs="Arial" w:eastAsia="Arial" w:hAnsi="Arial"/>
          <w:sz w:val="22"/>
          <w:szCs w:val="22"/>
          <w:color w:val="auto"/>
        </w:rPr>
        <w:t>” means, collectively, the Computer Hardware and Software Collateral, the Copyright Collateral, the Patent Collateral, the Trademark Collateral, the Trade Secrets Collateral, Product Agreements and Regulatory Authorizations.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Intercompany Note</w:t>
      </w:r>
      <w:r>
        <w:rPr>
          <w:rFonts w:ascii="Arial" w:cs="Arial" w:eastAsia="Arial" w:hAnsi="Arial"/>
          <w:sz w:val="21"/>
          <w:szCs w:val="21"/>
          <w:color w:val="auto"/>
        </w:rPr>
        <w:t>” means any promissory note evidencing loans made by any Grantor to any other Grantor.</w:t>
      </w:r>
    </w:p>
    <w:p>
      <w:pPr>
        <w:spacing w:after="0" w:line="21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Property</w:t>
      </w:r>
      <w:r>
        <w:rPr>
          <w:rFonts w:ascii="Arial" w:cs="Arial" w:eastAsia="Arial" w:hAnsi="Arial"/>
          <w:sz w:val="22"/>
          <w:szCs w:val="22"/>
          <w:color w:val="auto"/>
        </w:rPr>
        <w:t>” means, collectively, (a) all “investment property” as such term is defined in Section 9-102(a)(49) of the UCC and (b) whether or not constituting “investment property” as so defined, all Pledged Notes.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 Collateral</w:t>
      </w:r>
      <w:r>
        <w:rPr>
          <w:rFonts w:ascii="Arial" w:cs="Arial" w:eastAsia="Arial" w:hAnsi="Arial"/>
          <w:sz w:val="22"/>
          <w:szCs w:val="22"/>
          <w:color w:val="auto"/>
        </w:rPr>
        <w:t>” means:</w:t>
      </w:r>
    </w:p>
    <w:p>
      <w:pPr>
        <w:spacing w:after="0" w:line="206" w:lineRule="exact"/>
        <w:rPr>
          <w:sz w:val="20"/>
          <w:szCs w:val="20"/>
          <w:color w:val="auto"/>
        </w:rPr>
      </w:pPr>
    </w:p>
    <w:p>
      <w:pPr>
        <w:ind w:left="760" w:firstLine="745"/>
        <w:spacing w:after="0" w:line="250" w:lineRule="auto"/>
        <w:tabs>
          <w:tab w:leader="none" w:pos="2048" w:val="left"/>
        </w:tabs>
        <w:numPr>
          <w:ilvl w:val="0"/>
          <w:numId w:val="119"/>
        </w:numPr>
        <w:rPr>
          <w:rFonts w:ascii="Arial" w:cs="Arial" w:eastAsia="Arial" w:hAnsi="Arial"/>
          <w:sz w:val="22"/>
          <w:szCs w:val="22"/>
          <w:color w:val="auto"/>
        </w:rPr>
      </w:pPr>
      <w:r>
        <w:rPr>
          <w:rFonts w:ascii="Arial" w:cs="Arial" w:eastAsia="Arial" w:hAnsi="Arial"/>
          <w:sz w:val="22"/>
          <w:szCs w:val="22"/>
          <w:color w:val="auto"/>
        </w:rPr>
        <w:t xml:space="preserve">all of the Grantor’s Patents throughout the world, including all patent applications in preparation for filing and each patent and patent application referred to in </w:t>
      </w:r>
      <w:r>
        <w:rPr>
          <w:rFonts w:ascii="Arial" w:cs="Arial" w:eastAsia="Arial" w:hAnsi="Arial"/>
          <w:sz w:val="22"/>
          <w:szCs w:val="22"/>
          <w:u w:val="single" w:color="auto"/>
          <w:color w:val="auto"/>
        </w:rPr>
        <w:t>Item A</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III</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760" w:firstLine="745"/>
        <w:spacing w:after="0" w:line="274" w:lineRule="auto"/>
        <w:tabs>
          <w:tab w:leader="none" w:pos="2048" w:val="left"/>
        </w:tabs>
        <w:numPr>
          <w:ilvl w:val="0"/>
          <w:numId w:val="119"/>
        </w:numPr>
        <w:rPr>
          <w:rFonts w:ascii="Arial" w:cs="Arial" w:eastAsia="Arial" w:hAnsi="Arial"/>
          <w:sz w:val="21"/>
          <w:szCs w:val="21"/>
          <w:color w:val="auto"/>
        </w:rPr>
      </w:pPr>
      <w:r>
        <w:rPr>
          <w:rFonts w:ascii="Arial" w:cs="Arial" w:eastAsia="Arial" w:hAnsi="Arial"/>
          <w:sz w:val="21"/>
          <w:szCs w:val="21"/>
          <w:color w:val="auto"/>
        </w:rPr>
        <w:t xml:space="preserve">all patent licenses, and other agreements providing any Grantor with the right to use any items of the type referred to in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above, including each patent license referred to in </w:t>
      </w:r>
      <w:r>
        <w:rPr>
          <w:rFonts w:ascii="Arial" w:cs="Arial" w:eastAsia="Arial" w:hAnsi="Arial"/>
          <w:sz w:val="21"/>
          <w:szCs w:val="21"/>
          <w:u w:val="single" w:color="auto"/>
          <w:color w:val="auto"/>
        </w:rPr>
        <w:t>Item B</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Schedule III</w:t>
      </w:r>
      <w:r>
        <w:rPr>
          <w:rFonts w:ascii="Arial" w:cs="Arial" w:eastAsia="Arial" w:hAnsi="Arial"/>
          <w:sz w:val="21"/>
          <w:szCs w:val="21"/>
          <w:color w:val="auto"/>
        </w:rPr>
        <w:t>; and</w:t>
      </w:r>
    </w:p>
    <w:p>
      <w:pPr>
        <w:spacing w:after="0" w:line="150" w:lineRule="exact"/>
        <w:rPr>
          <w:rFonts w:ascii="Arial" w:cs="Arial" w:eastAsia="Arial" w:hAnsi="Arial"/>
          <w:sz w:val="21"/>
          <w:szCs w:val="21"/>
          <w:color w:val="auto"/>
        </w:rPr>
      </w:pPr>
    </w:p>
    <w:p>
      <w:pPr>
        <w:jc w:val="both"/>
        <w:ind w:left="760" w:firstLine="745"/>
        <w:spacing w:after="0" w:line="297" w:lineRule="auto"/>
        <w:tabs>
          <w:tab w:leader="none" w:pos="2048" w:val="left"/>
        </w:tabs>
        <w:numPr>
          <w:ilvl w:val="0"/>
          <w:numId w:val="119"/>
        </w:numPr>
        <w:rPr>
          <w:rFonts w:ascii="Arial" w:cs="Arial" w:eastAsia="Arial" w:hAnsi="Arial"/>
          <w:sz w:val="19"/>
          <w:szCs w:val="19"/>
          <w:color w:val="auto"/>
        </w:rPr>
      </w:pPr>
      <w:r>
        <w:rPr>
          <w:rFonts w:ascii="Arial" w:cs="Arial" w:eastAsia="Arial" w:hAnsi="Arial"/>
          <w:sz w:val="19"/>
          <w:szCs w:val="19"/>
          <w:color w:val="auto"/>
        </w:rPr>
        <w:t>all Proceeds of, and rights associated with, the foregoing (including licenses, royalties income, payments, claims, damages and Proceeds of infringement suits) and the right of any Grantor to sue third parties for past, present or future infringements of any Patent or patent application and for breach or enforcement of any patent license.</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means all Liens permitted by Section 8.3 of the Credit Agreement.</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Notes</w:t>
      </w:r>
      <w:r>
        <w:rPr>
          <w:rFonts w:ascii="Arial" w:cs="Arial" w:eastAsia="Arial" w:hAnsi="Arial"/>
          <w:sz w:val="22"/>
          <w:szCs w:val="22"/>
          <w:color w:val="auto"/>
        </w:rPr>
        <w:t xml:space="preserve"> ” means all promissory notes listed on </w:t>
      </w:r>
      <w:r>
        <w:rPr>
          <w:rFonts w:ascii="Arial" w:cs="Arial" w:eastAsia="Arial" w:hAnsi="Arial"/>
          <w:sz w:val="22"/>
          <w:szCs w:val="22"/>
          <w:u w:val="single" w:color="auto"/>
          <w:color w:val="auto"/>
        </w:rPr>
        <w:t>Item J</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(as such schedule may be amended or supplemented from time to time), all Intercompany Notes at any time issued to any Grantor and all other promissory notes issued to or held by any Grantor.</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Parties</w:t>
      </w:r>
      <w:r>
        <w:rPr>
          <w:rFonts w:ascii="Arial" w:cs="Arial" w:eastAsia="Arial" w:hAnsi="Arial"/>
          <w:sz w:val="19"/>
          <w:szCs w:val="19"/>
          <w:color w:val="auto"/>
        </w:rPr>
        <w:t>” means, collectively, the Administrative Agent and the Lenders and “</w:t>
      </w:r>
      <w:r>
        <w:rPr>
          <w:rFonts w:ascii="Arial" w:cs="Arial" w:eastAsia="Arial" w:hAnsi="Arial"/>
          <w:sz w:val="19"/>
          <w:szCs w:val="19"/>
          <w:u w:val="single" w:color="auto"/>
          <w:color w:val="auto"/>
        </w:rPr>
        <w:t>Secured Party</w:t>
      </w:r>
      <w:r>
        <w:rPr>
          <w:rFonts w:ascii="Arial" w:cs="Arial" w:eastAsia="Arial" w:hAnsi="Arial"/>
          <w:sz w:val="19"/>
          <w:szCs w:val="19"/>
          <w:color w:val="auto"/>
        </w:rPr>
        <w:t>” means any one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them.</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6.2(a)</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Agreement</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 Secrets</w:t>
      </w:r>
      <w:r>
        <w:rPr>
          <w:rFonts w:ascii="Arial" w:cs="Arial" w:eastAsia="Arial" w:hAnsi="Arial"/>
          <w:sz w:val="22"/>
          <w:szCs w:val="22"/>
          <w:color w:val="auto"/>
        </w:rPr>
        <w:t>” of a Person means all of such Person’s common law and statutory trade secrets and all other confidential, proprietary or useful information, and all know</w:t>
      </w:r>
      <w:r>
        <w:rPr>
          <w:rFonts w:ascii="MS PGothic" w:cs="MS PGothic" w:eastAsia="MS PGothic" w:hAnsi="MS PGothic"/>
          <w:sz w:val="22"/>
          <w:szCs w:val="22"/>
          <w:color w:val="auto"/>
        </w:rPr>
        <w:t>‑</w:t>
      </w:r>
      <w:r>
        <w:rPr>
          <w:rFonts w:ascii="Arial" w:cs="Arial" w:eastAsia="Arial" w:hAnsi="Arial"/>
          <w:sz w:val="22"/>
          <w:szCs w:val="22"/>
          <w:color w:val="auto"/>
        </w:rPr>
        <w:t>how obtained by or used in or contemplated at any time for use in the business of such Person.</w:t>
      </w:r>
    </w:p>
    <w:p>
      <w:pPr>
        <w:spacing w:after="0" w:line="186" w:lineRule="exact"/>
        <w:rPr>
          <w:sz w:val="20"/>
          <w:szCs w:val="20"/>
          <w:color w:val="auto"/>
        </w:rPr>
      </w:pPr>
    </w:p>
    <w:p>
      <w:pPr>
        <w:jc w:val="both"/>
        <w:ind w:right="20" w:firstLine="74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Trade Secrets Collateral</w:t>
      </w:r>
      <w:r>
        <w:rPr>
          <w:rFonts w:ascii="Arial" w:cs="Arial" w:eastAsia="Arial" w:hAnsi="Arial"/>
          <w:sz w:val="19"/>
          <w:szCs w:val="19"/>
          <w:color w:val="auto"/>
        </w:rPr>
        <w:t xml:space="preserve">” means all of the Grantors’ Trade Secrets, whether or not such Trade Secret has been reduced to a writing or other tangible form, including all documents and things embodying, incorporating or referring in any way to such Trade Secret, all Trade Secret licenses, including each Trade Secret license referred to in </w:t>
      </w:r>
      <w:r>
        <w:rPr>
          <w:rFonts w:ascii="Arial" w:cs="Arial" w:eastAsia="Arial" w:hAnsi="Arial"/>
          <w:sz w:val="19"/>
          <w:szCs w:val="19"/>
          <w:u w:val="single" w:color="auto"/>
          <w:color w:val="auto"/>
        </w:rPr>
        <w:t>Schedule VI</w:t>
      </w:r>
      <w:r>
        <w:rPr>
          <w:rFonts w:ascii="Arial" w:cs="Arial" w:eastAsia="Arial" w:hAnsi="Arial"/>
          <w:sz w:val="19"/>
          <w:szCs w:val="19"/>
          <w:color w:val="auto"/>
        </w:rPr>
        <w:t>, and including the right to</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9" w:name="page130"/>
    <w:bookmarkEnd w:id="129"/>
    <w:p>
      <w:pPr>
        <w:spacing w:after="0" w:line="250" w:lineRule="auto"/>
        <w:rPr>
          <w:sz w:val="20"/>
          <w:szCs w:val="20"/>
          <w:color w:val="auto"/>
        </w:rPr>
      </w:pPr>
      <w:r>
        <w:rPr>
          <w:rFonts w:ascii="Arial" w:cs="Arial" w:eastAsia="Arial" w:hAnsi="Arial"/>
          <w:sz w:val="22"/>
          <w:szCs w:val="22"/>
          <w:color w:val="auto"/>
        </w:rPr>
        <w:t>sue for and to enjoin and to collect damages for the actual or threatened misappropriation of any Trade Secret and for the breach or enforcement of any such Trade Secret license.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 Collateral</w:t>
      </w:r>
      <w:r>
        <w:rPr>
          <w:rFonts w:ascii="Arial" w:cs="Arial" w:eastAsia="Arial" w:hAnsi="Arial"/>
          <w:sz w:val="22"/>
          <w:szCs w:val="22"/>
          <w:color w:val="auto"/>
        </w:rPr>
        <w:t>” means:</w:t>
      </w:r>
    </w:p>
    <w:p>
      <w:pPr>
        <w:spacing w:after="0" w:line="206" w:lineRule="exact"/>
        <w:rPr>
          <w:sz w:val="20"/>
          <w:szCs w:val="20"/>
          <w:color w:val="auto"/>
        </w:rPr>
      </w:pPr>
    </w:p>
    <w:p>
      <w:pPr>
        <w:jc w:val="both"/>
        <w:ind w:left="760" w:firstLine="745"/>
        <w:spacing w:after="0" w:line="234" w:lineRule="auto"/>
        <w:tabs>
          <w:tab w:leader="none" w:pos="1941" w:val="left"/>
        </w:tabs>
        <w:numPr>
          <w:ilvl w:val="0"/>
          <w:numId w:val="120"/>
        </w:numPr>
        <w:rPr>
          <w:rFonts w:ascii="Arial" w:cs="Arial" w:eastAsia="Arial" w:hAnsi="Arial"/>
          <w:sz w:val="22"/>
          <w:szCs w:val="22"/>
          <w:color w:val="auto"/>
        </w:rPr>
      </w:pPr>
      <w:r>
        <w:rPr>
          <w:rFonts w:ascii="Arial" w:cs="Arial" w:eastAsia="Arial" w:hAnsi="Arial"/>
          <w:sz w:val="22"/>
          <w:szCs w:val="22"/>
          <w:color w:val="auto"/>
        </w:rPr>
        <w:t xml:space="preserve">(i) all of the Grantors’ Trademarks and all goodwill of the business associated therewith, now existing or hereafter adopted or acquired including those referred to in </w:t>
      </w:r>
      <w:r>
        <w:rPr>
          <w:rFonts w:ascii="Arial" w:cs="Arial" w:eastAsia="Arial" w:hAnsi="Arial"/>
          <w:sz w:val="22"/>
          <w:szCs w:val="22"/>
          <w:u w:val="single" w:color="auto"/>
          <w:color w:val="auto"/>
        </w:rPr>
        <w:t>Item A</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IV</w:t>
      </w:r>
      <w:r>
        <w:rPr>
          <w:rFonts w:ascii="Arial" w:cs="Arial" w:eastAsia="Arial" w:hAnsi="Arial"/>
          <w:sz w:val="22"/>
          <w:szCs w:val="22"/>
          <w:color w:val="auto"/>
        </w:rPr>
        <w:t>, whether currently in use or not, all registrations and recordings thereof and all applications in connection therewith, whether pending or filed, including registrations, recordings and applications in the United States Patent and Trademark Office or in any office or agency of the United States of America, or any state thereof or any other country or political subdivision thereof or otherwise, and all common law rights relating to the foregoing, and (ii) the right to obtain all reissues, extensions or renewals of the foregoing;</w:t>
      </w:r>
    </w:p>
    <w:p>
      <w:pPr>
        <w:spacing w:after="0" w:line="190" w:lineRule="exact"/>
        <w:rPr>
          <w:rFonts w:ascii="Arial" w:cs="Arial" w:eastAsia="Arial" w:hAnsi="Arial"/>
          <w:sz w:val="22"/>
          <w:szCs w:val="22"/>
          <w:color w:val="auto"/>
        </w:rPr>
      </w:pPr>
    </w:p>
    <w:p>
      <w:pPr>
        <w:ind w:left="760" w:right="20" w:firstLine="745"/>
        <w:spacing w:after="0" w:line="250" w:lineRule="auto"/>
        <w:tabs>
          <w:tab w:leader="none" w:pos="1941" w:val="left"/>
        </w:tabs>
        <w:numPr>
          <w:ilvl w:val="0"/>
          <w:numId w:val="120"/>
        </w:numPr>
        <w:rPr>
          <w:rFonts w:ascii="Arial" w:cs="Arial" w:eastAsia="Arial" w:hAnsi="Arial"/>
          <w:sz w:val="22"/>
          <w:szCs w:val="22"/>
          <w:color w:val="auto"/>
        </w:rPr>
      </w:pPr>
      <w:r>
        <w:rPr>
          <w:rFonts w:ascii="Arial" w:cs="Arial" w:eastAsia="Arial" w:hAnsi="Arial"/>
          <w:sz w:val="22"/>
          <w:szCs w:val="22"/>
          <w:color w:val="auto"/>
        </w:rPr>
        <w:t xml:space="preserve">all Trademark licenses for the grant by or to any Grantors of any right to use any Trademark, including each Trademark license referred to in </w:t>
      </w:r>
      <w:r>
        <w:rPr>
          <w:rFonts w:ascii="Arial" w:cs="Arial" w:eastAsia="Arial" w:hAnsi="Arial"/>
          <w:sz w:val="22"/>
          <w:szCs w:val="22"/>
          <w:u w:val="single" w:color="auto"/>
          <w:color w:val="auto"/>
        </w:rPr>
        <w:t>Item B</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IV</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760" w:right="60" w:firstLine="745"/>
        <w:spacing w:after="0" w:line="250" w:lineRule="auto"/>
        <w:tabs>
          <w:tab w:leader="none" w:pos="1941" w:val="left"/>
        </w:tabs>
        <w:numPr>
          <w:ilvl w:val="0"/>
          <w:numId w:val="120"/>
        </w:numPr>
        <w:rPr>
          <w:rFonts w:ascii="Arial" w:cs="Arial" w:eastAsia="Arial" w:hAnsi="Arial"/>
          <w:sz w:val="22"/>
          <w:szCs w:val="22"/>
          <w:color w:val="auto"/>
        </w:rPr>
      </w:pPr>
      <w:r>
        <w:rPr>
          <w:rFonts w:ascii="Arial" w:cs="Arial" w:eastAsia="Arial" w:hAnsi="Arial"/>
          <w:sz w:val="22"/>
          <w:szCs w:val="22"/>
          <w:color w:val="auto"/>
        </w:rPr>
        <w:t xml:space="preserve">the right to sue third parties for past, present and future infringements of any Trademark Collateral described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and, to the extent applicable, </w:t>
      </w:r>
      <w:r>
        <w:rPr>
          <w:rFonts w:ascii="Arial" w:cs="Arial" w:eastAsia="Arial" w:hAnsi="Arial"/>
          <w:sz w:val="22"/>
          <w:szCs w:val="22"/>
          <w:u w:val="single" w:color="auto"/>
          <w:color w:val="auto"/>
        </w:rPr>
        <w:t>clause (b)</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jc w:val="both"/>
        <w:ind w:left="760" w:firstLine="745"/>
        <w:spacing w:after="0" w:line="252" w:lineRule="auto"/>
        <w:tabs>
          <w:tab w:leader="none" w:pos="1941" w:val="left"/>
        </w:tabs>
        <w:numPr>
          <w:ilvl w:val="0"/>
          <w:numId w:val="120"/>
        </w:numPr>
        <w:rPr>
          <w:rFonts w:ascii="Arial" w:cs="Arial" w:eastAsia="Arial" w:hAnsi="Arial"/>
          <w:sz w:val="21"/>
          <w:szCs w:val="21"/>
          <w:color w:val="auto"/>
        </w:rPr>
      </w:pPr>
      <w:r>
        <w:rPr>
          <w:rFonts w:ascii="Arial" w:cs="Arial" w:eastAsia="Arial" w:hAnsi="Arial"/>
          <w:sz w:val="21"/>
          <w:szCs w:val="21"/>
          <w:color w:val="auto"/>
        </w:rPr>
        <w:t>all Proceeds of, and rights associated with, the foregoing, including any claim by any Grantor against third parties for past, present or future infringement or dilution of any Trademark, Trademark registration or Trademark license, or for any injury to the goodwill associated with the use of any such Trademark or for breach or enforcement of any Trademark license and all rights corresponding thereto throughout the world.</w:t>
      </w:r>
    </w:p>
    <w:p>
      <w:pPr>
        <w:spacing w:after="0" w:line="174" w:lineRule="exact"/>
        <w:rPr>
          <w:sz w:val="20"/>
          <w:szCs w:val="20"/>
          <w:color w:val="auto"/>
        </w:rPr>
      </w:pPr>
    </w:p>
    <w:p>
      <w:pPr>
        <w:jc w:val="both"/>
        <w:ind w:right="20" w:firstLine="749"/>
        <w:spacing w:after="0" w:line="328"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Credit Agreement Definitions</w:t>
      </w:r>
      <w:r>
        <w:rPr>
          <w:rFonts w:ascii="Arial" w:cs="Arial" w:eastAsia="Arial" w:hAnsi="Arial"/>
          <w:sz w:val="19"/>
          <w:szCs w:val="19"/>
          <w:color w:val="auto"/>
        </w:rPr>
        <w:t>. Unless otherwise defined herein or the context otherwise requires, terms used in this Security Agreement, including its preamble and recitals, have the meanings provided in the Credit Agreement.</w:t>
      </w:r>
    </w:p>
    <w:p>
      <w:pPr>
        <w:spacing w:after="0" w:line="10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UCC Definitions</w:t>
      </w:r>
      <w:r>
        <w:rPr>
          <w:rFonts w:ascii="Arial" w:cs="Arial" w:eastAsia="Arial" w:hAnsi="Arial"/>
          <w:sz w:val="22"/>
          <w:szCs w:val="22"/>
          <w:color w:val="auto"/>
        </w:rPr>
        <w:t>. When used herein the terms “Account,” “Certificated Securities,” “Chattel Paper,” “Commercial Tort Claim,” “Commodity Account,” “Commodity Contract,” “Deposit Account,” “Document,” “Electronic Chattel Paper,” “Equipment,” “Goods,” “Instrument,” “Inventory,” “Letter-of-Credit Rights,” “Payment Intangibles,” “Proceeds,” “Promissory Notes,” “Securities Account,” “Security Entitlement,” “Supporting Obligations” and “Uncertificated Securities” have the meaning provided in Article 8 or Article 9, as applicable, of the UCC. “Letters of Credit” has the meaning provided in Section 5-102 of the UCC.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SECURITY INTEREST</w:t>
      </w:r>
    </w:p>
    <w:p>
      <w:pPr>
        <w:spacing w:after="0" w:line="188"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Each Grantor hereby grants to the Administrative Agent, for the benefit of the Secured Parties, a continuing security interest in all of such Grantor’s right, title and interest in and to the following property, whether now or hereafter existing, owned or acquired by such Grantor, and wherever located (collectively, the “</w:t>
      </w:r>
      <w:r>
        <w:rPr>
          <w:rFonts w:ascii="Arial" w:cs="Arial" w:eastAsia="Arial" w:hAnsi="Arial"/>
          <w:sz w:val="19"/>
          <w:szCs w:val="19"/>
          <w:u w:val="single" w:color="auto"/>
          <w:color w:val="auto"/>
        </w:rPr>
        <w:t>Collateral</w:t>
      </w:r>
      <w:r>
        <w:rPr>
          <w:rFonts w:ascii="Arial" w:cs="Arial" w:eastAsia="Arial" w:hAnsi="Arial"/>
          <w:sz w:val="19"/>
          <w:szCs w:val="19"/>
          <w:color w:val="auto"/>
        </w:rPr>
        <w: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0" w:name="page131"/>
    <w:bookmarkEnd w:id="130"/>
    <w:p>
      <w:pPr>
        <w:ind w:left="2040" w:hanging="535"/>
        <w:spacing w:after="0"/>
        <w:tabs>
          <w:tab w:leader="none" w:pos="20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Accounts;</w:t>
      </w:r>
    </w:p>
    <w:p>
      <w:pPr>
        <w:spacing w:after="0" w:line="206" w:lineRule="exact"/>
        <w:rPr>
          <w:rFonts w:ascii="Arial" w:cs="Arial" w:eastAsia="Arial" w:hAnsi="Arial"/>
          <w:sz w:val="22"/>
          <w:szCs w:val="22"/>
          <w:color w:val="auto"/>
        </w:rPr>
      </w:pPr>
    </w:p>
    <w:p>
      <w:pPr>
        <w:ind w:left="2040" w:hanging="535"/>
        <w:spacing w:after="0"/>
        <w:tabs>
          <w:tab w:leader="none" w:pos="20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Chattel Paper;</w:t>
      </w:r>
    </w:p>
    <w:p>
      <w:pPr>
        <w:spacing w:after="0" w:line="206" w:lineRule="exact"/>
        <w:rPr>
          <w:rFonts w:ascii="Arial" w:cs="Arial" w:eastAsia="Arial" w:hAnsi="Arial"/>
          <w:sz w:val="22"/>
          <w:szCs w:val="22"/>
          <w:color w:val="auto"/>
        </w:rPr>
      </w:pPr>
    </w:p>
    <w:p>
      <w:pPr>
        <w:ind w:left="760" w:firstLine="745"/>
        <w:spacing w:after="0" w:line="250" w:lineRule="auto"/>
        <w:tabs>
          <w:tab w:leader="none" w:pos="2048" w:val="left"/>
        </w:tabs>
        <w:numPr>
          <w:ilvl w:val="0"/>
          <w:numId w:val="121"/>
        </w:numPr>
        <w:rPr>
          <w:rFonts w:ascii="Arial" w:cs="Arial" w:eastAsia="Arial" w:hAnsi="Arial"/>
          <w:sz w:val="22"/>
          <w:szCs w:val="22"/>
          <w:color w:val="auto"/>
        </w:rPr>
      </w:pPr>
      <w:r>
        <w:rPr>
          <w:rFonts w:ascii="Arial" w:cs="Arial" w:eastAsia="Arial" w:hAnsi="Arial"/>
          <w:sz w:val="22"/>
          <w:szCs w:val="22"/>
          <w:color w:val="auto"/>
        </w:rPr>
        <w:t xml:space="preserve">Commercial Tort Claims, including those listed on </w:t>
      </w:r>
      <w:r>
        <w:rPr>
          <w:rFonts w:ascii="Arial" w:cs="Arial" w:eastAsia="Arial" w:hAnsi="Arial"/>
          <w:sz w:val="22"/>
          <w:szCs w:val="22"/>
          <w:u w:val="single" w:color="auto"/>
          <w:color w:val="auto"/>
        </w:rPr>
        <w:t>Item I</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(as such schedule may be amended or supplemented from time to time);</w:t>
      </w:r>
    </w:p>
    <w:p>
      <w:pPr>
        <w:spacing w:after="0" w:line="174" w:lineRule="exact"/>
        <w:rPr>
          <w:rFonts w:ascii="Arial" w:cs="Arial" w:eastAsia="Arial" w:hAnsi="Arial"/>
          <w:sz w:val="22"/>
          <w:szCs w:val="22"/>
          <w:color w:val="auto"/>
        </w:rPr>
      </w:pPr>
    </w:p>
    <w:p>
      <w:pPr>
        <w:ind w:left="2040" w:hanging="535"/>
        <w:spacing w:after="0"/>
        <w:tabs>
          <w:tab w:leader="none" w:pos="20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Deposit Accounts;</w:t>
      </w:r>
    </w:p>
    <w:p>
      <w:pPr>
        <w:spacing w:after="0" w:line="206" w:lineRule="exact"/>
        <w:rPr>
          <w:rFonts w:ascii="Arial" w:cs="Arial" w:eastAsia="Arial" w:hAnsi="Arial"/>
          <w:sz w:val="22"/>
          <w:szCs w:val="22"/>
          <w:color w:val="auto"/>
        </w:rPr>
      </w:pPr>
    </w:p>
    <w:p>
      <w:pPr>
        <w:ind w:left="2040" w:hanging="535"/>
        <w:spacing w:after="0"/>
        <w:tabs>
          <w:tab w:leader="none" w:pos="20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Documents;</w:t>
      </w:r>
    </w:p>
    <w:p>
      <w:pPr>
        <w:spacing w:after="0" w:line="206" w:lineRule="exact"/>
        <w:rPr>
          <w:rFonts w:ascii="Arial" w:cs="Arial" w:eastAsia="Arial" w:hAnsi="Arial"/>
          <w:sz w:val="22"/>
          <w:szCs w:val="22"/>
          <w:color w:val="auto"/>
        </w:rPr>
      </w:pPr>
    </w:p>
    <w:p>
      <w:pPr>
        <w:ind w:left="2040" w:hanging="535"/>
        <w:spacing w:after="0"/>
        <w:tabs>
          <w:tab w:leader="none" w:pos="20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General Intangibles;</w:t>
      </w:r>
    </w:p>
    <w:p>
      <w:pPr>
        <w:spacing w:after="0" w:line="206" w:lineRule="exact"/>
        <w:rPr>
          <w:rFonts w:ascii="Arial" w:cs="Arial" w:eastAsia="Arial" w:hAnsi="Arial"/>
          <w:sz w:val="22"/>
          <w:szCs w:val="22"/>
          <w:color w:val="auto"/>
        </w:rPr>
      </w:pPr>
    </w:p>
    <w:p>
      <w:pPr>
        <w:ind w:left="2040" w:hanging="535"/>
        <w:spacing w:after="0"/>
        <w:tabs>
          <w:tab w:leader="none" w:pos="20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Goods (including Goods held on consignment with third parties);</w:t>
      </w:r>
    </w:p>
    <w:p>
      <w:pPr>
        <w:spacing w:after="0" w:line="206" w:lineRule="exact"/>
        <w:rPr>
          <w:rFonts w:ascii="Arial" w:cs="Arial" w:eastAsia="Arial" w:hAnsi="Arial"/>
          <w:sz w:val="22"/>
          <w:szCs w:val="22"/>
          <w:color w:val="auto"/>
        </w:rPr>
      </w:pPr>
    </w:p>
    <w:p>
      <w:pPr>
        <w:ind w:left="2040" w:hanging="535"/>
        <w:spacing w:after="0"/>
        <w:tabs>
          <w:tab w:leader="none" w:pos="20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Instruments;</w:t>
      </w:r>
    </w:p>
    <w:p>
      <w:pPr>
        <w:spacing w:after="0" w:line="206" w:lineRule="exact"/>
        <w:rPr>
          <w:rFonts w:ascii="Arial" w:cs="Arial" w:eastAsia="Arial" w:hAnsi="Arial"/>
          <w:sz w:val="22"/>
          <w:szCs w:val="22"/>
          <w:color w:val="auto"/>
        </w:rPr>
      </w:pPr>
    </w:p>
    <w:p>
      <w:pPr>
        <w:ind w:left="2040" w:hanging="535"/>
        <w:spacing w:after="0"/>
        <w:tabs>
          <w:tab w:leader="none" w:pos="20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Investment Property;</w:t>
      </w:r>
    </w:p>
    <w:p>
      <w:pPr>
        <w:spacing w:after="0" w:line="206" w:lineRule="exact"/>
        <w:rPr>
          <w:rFonts w:ascii="Arial" w:cs="Arial" w:eastAsia="Arial" w:hAnsi="Arial"/>
          <w:sz w:val="22"/>
          <w:szCs w:val="22"/>
          <w:color w:val="auto"/>
        </w:rPr>
      </w:pPr>
    </w:p>
    <w:p>
      <w:pPr>
        <w:ind w:left="2040" w:hanging="535"/>
        <w:spacing w:after="0"/>
        <w:tabs>
          <w:tab w:leader="none" w:pos="20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Letter-of-Credit Rights and Letters of Credit;</w:t>
      </w:r>
    </w:p>
    <w:p>
      <w:pPr>
        <w:spacing w:after="0" w:line="206" w:lineRule="exact"/>
        <w:rPr>
          <w:rFonts w:ascii="Arial" w:cs="Arial" w:eastAsia="Arial" w:hAnsi="Arial"/>
          <w:sz w:val="22"/>
          <w:szCs w:val="22"/>
          <w:color w:val="auto"/>
        </w:rPr>
      </w:pPr>
    </w:p>
    <w:p>
      <w:pPr>
        <w:ind w:left="2040" w:hanging="535"/>
        <w:spacing w:after="0"/>
        <w:tabs>
          <w:tab w:leader="none" w:pos="20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Supporting Obligations;</w:t>
      </w:r>
    </w:p>
    <w:p>
      <w:pPr>
        <w:spacing w:after="0" w:line="206" w:lineRule="exact"/>
        <w:rPr>
          <w:rFonts w:ascii="Arial" w:cs="Arial" w:eastAsia="Arial" w:hAnsi="Arial"/>
          <w:sz w:val="22"/>
          <w:szCs w:val="22"/>
          <w:color w:val="auto"/>
        </w:rPr>
      </w:pPr>
    </w:p>
    <w:p>
      <w:pPr>
        <w:ind w:left="760" w:right="20" w:firstLine="745"/>
        <w:spacing w:after="0" w:line="274" w:lineRule="auto"/>
        <w:tabs>
          <w:tab w:leader="none" w:pos="2048" w:val="left"/>
        </w:tabs>
        <w:numPr>
          <w:ilvl w:val="0"/>
          <w:numId w:val="121"/>
        </w:numPr>
        <w:rPr>
          <w:rFonts w:ascii="Arial" w:cs="Arial" w:eastAsia="Arial" w:hAnsi="Arial"/>
          <w:sz w:val="21"/>
          <w:szCs w:val="21"/>
          <w:color w:val="auto"/>
        </w:rPr>
      </w:pPr>
      <w:r>
        <w:rPr>
          <w:rFonts w:ascii="Arial" w:cs="Arial" w:eastAsia="Arial" w:hAnsi="Arial"/>
          <w:sz w:val="21"/>
          <w:szCs w:val="21"/>
          <w:color w:val="auto"/>
        </w:rPr>
        <w:t xml:space="preserve">all books, records, writings, databases, information and other property relating to, used or useful in connection with, evidencing, embodying, incorporating or referring to, any of the foregoing in this </w:t>
      </w:r>
      <w:r>
        <w:rPr>
          <w:rFonts w:ascii="Arial" w:cs="Arial" w:eastAsia="Arial" w:hAnsi="Arial"/>
          <w:sz w:val="21"/>
          <w:szCs w:val="21"/>
          <w:u w:val="single" w:color="auto"/>
          <w:color w:val="auto"/>
        </w:rPr>
        <w:t>Section 2.1</w:t>
      </w:r>
      <w:r>
        <w:rPr>
          <w:rFonts w:ascii="Arial" w:cs="Arial" w:eastAsia="Arial" w:hAnsi="Arial"/>
          <w:sz w:val="21"/>
          <w:szCs w:val="21"/>
          <w:color w:val="auto"/>
        </w:rPr>
        <w:t>;</w:t>
      </w:r>
    </w:p>
    <w:p>
      <w:pPr>
        <w:spacing w:after="0" w:line="150" w:lineRule="exact"/>
        <w:rPr>
          <w:rFonts w:ascii="Arial" w:cs="Arial" w:eastAsia="Arial" w:hAnsi="Arial"/>
          <w:sz w:val="21"/>
          <w:szCs w:val="21"/>
          <w:color w:val="auto"/>
        </w:rPr>
      </w:pPr>
    </w:p>
    <w:p>
      <w:pPr>
        <w:jc w:val="both"/>
        <w:ind w:left="760" w:firstLine="745"/>
        <w:spacing w:after="0"/>
        <w:tabs>
          <w:tab w:leader="none" w:pos="2048"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all Proceeds of any of the foregoing and, to the extent not otherwise included, (i) all payments under insurance (whether or not the Administrative Agent is the loss payee thereof) in respect of Collateral and (ii) all tort claims; and</w:t>
      </w:r>
    </w:p>
    <w:p>
      <w:pPr>
        <w:spacing w:after="0" w:line="186" w:lineRule="exact"/>
        <w:rPr>
          <w:rFonts w:ascii="Arial" w:cs="Arial" w:eastAsia="Arial" w:hAnsi="Arial"/>
          <w:sz w:val="22"/>
          <w:szCs w:val="22"/>
          <w:color w:val="auto"/>
        </w:rPr>
      </w:pPr>
    </w:p>
    <w:p>
      <w:pPr>
        <w:ind w:left="2040" w:hanging="535"/>
        <w:spacing w:after="0"/>
        <w:tabs>
          <w:tab w:leader="none" w:pos="20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all other property and rights of every kind and description and interests therein.</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Notwithstanding anything to the contrary contained herein or in any other Loan Document, the term “</w:t>
      </w:r>
      <w:r>
        <w:rPr>
          <w:rFonts w:ascii="Arial" w:cs="Arial" w:eastAsia="Arial" w:hAnsi="Arial"/>
          <w:sz w:val="22"/>
          <w:szCs w:val="22"/>
          <w:u w:val="single" w:color="auto"/>
          <w:color w:val="auto"/>
        </w:rPr>
        <w:t>Collateral</w:t>
      </w:r>
      <w:r>
        <w:rPr>
          <w:rFonts w:ascii="Arial" w:cs="Arial" w:eastAsia="Arial" w:hAnsi="Arial"/>
          <w:sz w:val="22"/>
          <w:szCs w:val="22"/>
          <w:color w:val="auto"/>
        </w:rPr>
        <w:t>” (and all relevant defined terms that are used in the definition of Collateral) shall not include the following (collectively, the “</w:t>
      </w:r>
      <w:r>
        <w:rPr>
          <w:rFonts w:ascii="Arial" w:cs="Arial" w:eastAsia="Arial" w:hAnsi="Arial"/>
          <w:sz w:val="22"/>
          <w:szCs w:val="22"/>
          <w:u w:val="single" w:color="auto"/>
          <w:color w:val="auto"/>
        </w:rPr>
        <w:t>Excluded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Property</w:t>
      </w:r>
      <w:r>
        <w:rPr>
          <w:rFonts w:ascii="Arial" w:cs="Arial" w:eastAsia="Arial" w:hAnsi="Arial"/>
          <w:sz w:val="22"/>
          <w:szCs w:val="22"/>
          <w:color w:val="auto"/>
        </w:rPr>
        <w:t>”):</w:t>
      </w:r>
    </w:p>
    <w:p>
      <w:pPr>
        <w:spacing w:after="0" w:line="186" w:lineRule="exact"/>
        <w:rPr>
          <w:sz w:val="20"/>
          <w:szCs w:val="20"/>
          <w:color w:val="auto"/>
        </w:rPr>
      </w:pPr>
    </w:p>
    <w:p>
      <w:pPr>
        <w:jc w:val="both"/>
        <w:ind w:left="1500" w:firstLine="754"/>
        <w:spacing w:after="0" w:line="249" w:lineRule="auto"/>
        <w:tabs>
          <w:tab w:leader="none" w:pos="2548" w:val="left"/>
        </w:tabs>
        <w:numPr>
          <w:ilvl w:val="0"/>
          <w:numId w:val="122"/>
        </w:numPr>
        <w:rPr>
          <w:rFonts w:ascii="Arial" w:cs="Arial" w:eastAsia="Arial" w:hAnsi="Arial"/>
          <w:sz w:val="21"/>
          <w:szCs w:val="21"/>
          <w:color w:val="auto"/>
        </w:rPr>
      </w:pPr>
      <w:r>
        <w:rPr>
          <w:rFonts w:ascii="Arial" w:cs="Arial" w:eastAsia="Arial" w:hAnsi="Arial"/>
          <w:sz w:val="21"/>
          <w:szCs w:val="21"/>
          <w:color w:val="auto"/>
        </w:rPr>
        <w:t>any General Intangibles or other rights or interests, in each case arising under any contracts, instruments, leases, licenses, license agreement or other documents as to which the grant of a security interest would (A) constitute a violation of a valid and enforceable restriction in favor of a third party on such grant, unless and until any required consents shall have been obtained, or (B) give any other party to such contract, instrument, license or other document the right to terminate its obligations thereunder;</w:t>
      </w:r>
    </w:p>
    <w:p>
      <w:pPr>
        <w:spacing w:after="0" w:line="178" w:lineRule="exact"/>
        <w:rPr>
          <w:rFonts w:ascii="Arial" w:cs="Arial" w:eastAsia="Arial" w:hAnsi="Arial"/>
          <w:sz w:val="21"/>
          <w:szCs w:val="21"/>
          <w:color w:val="auto"/>
        </w:rPr>
      </w:pPr>
    </w:p>
    <w:p>
      <w:pPr>
        <w:jc w:val="both"/>
        <w:ind w:left="1500" w:firstLine="754"/>
        <w:spacing w:after="0"/>
        <w:tabs>
          <w:tab w:leader="none" w:pos="254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Trademark applications filed in the United States Patent and Trademark Office on the basis of such Grantor’s “intent to use” such trademark, unless and until acceptable evidence of use of the Trademark has been filed with the United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1" w:name="page132"/>
    <w:bookmarkEnd w:id="131"/>
    <w:p>
      <w:pPr>
        <w:jc w:val="both"/>
        <w:ind w:left="1500"/>
        <w:spacing w:after="0"/>
        <w:rPr>
          <w:sz w:val="20"/>
          <w:szCs w:val="20"/>
          <w:color w:val="auto"/>
        </w:rPr>
      </w:pPr>
      <w:r>
        <w:rPr>
          <w:rFonts w:ascii="Arial" w:cs="Arial" w:eastAsia="Arial" w:hAnsi="Arial"/>
          <w:sz w:val="22"/>
          <w:szCs w:val="22"/>
          <w:color w:val="auto"/>
        </w:rPr>
        <w:t>States Patent and Trademark Office pursuant to Section 1(c) or Section 1(d) of the Lanham Act (15 U.S.C. 1051, et seq.), to the extent that granting a Lien in such Trademark application prior to such filing would adversely affect the enforceability or validity of such Trademark application;</w:t>
      </w:r>
    </w:p>
    <w:p>
      <w:pPr>
        <w:spacing w:after="0" w:line="186" w:lineRule="exact"/>
        <w:rPr>
          <w:sz w:val="20"/>
          <w:szCs w:val="20"/>
          <w:color w:val="auto"/>
        </w:rPr>
      </w:pPr>
    </w:p>
    <w:p>
      <w:pPr>
        <w:jc w:val="both"/>
        <w:ind w:left="1500" w:firstLine="749"/>
        <w:spacing w:after="0" w:line="250" w:lineRule="auto"/>
        <w:rPr>
          <w:sz w:val="20"/>
          <w:szCs w:val="20"/>
          <w:color w:val="auto"/>
        </w:rPr>
      </w:pPr>
      <w:r>
        <w:rPr>
          <w:rFonts w:ascii="Arial" w:cs="Arial" w:eastAsia="Arial" w:hAnsi="Arial"/>
          <w:sz w:val="22"/>
          <w:szCs w:val="22"/>
          <w:color w:val="auto"/>
        </w:rPr>
        <w:t>(iii)any asset, the granting of a security interest in which would be void or illegal under any applicable Law or pursuant thereto would result in, or permit the termination of, such asset; or</w:t>
      </w:r>
    </w:p>
    <w:p>
      <w:pPr>
        <w:spacing w:after="0" w:line="175" w:lineRule="exact"/>
        <w:rPr>
          <w:sz w:val="20"/>
          <w:szCs w:val="20"/>
          <w:color w:val="auto"/>
        </w:rPr>
      </w:pPr>
    </w:p>
    <w:p>
      <w:pPr>
        <w:jc w:val="both"/>
        <w:ind w:left="1500" w:firstLine="749"/>
        <w:spacing w:after="0" w:line="249" w:lineRule="auto"/>
        <w:rPr>
          <w:sz w:val="20"/>
          <w:szCs w:val="20"/>
          <w:color w:val="auto"/>
        </w:rPr>
      </w:pPr>
      <w:r>
        <w:rPr>
          <w:rFonts w:ascii="Arial" w:cs="Arial" w:eastAsia="Arial" w:hAnsi="Arial"/>
          <w:sz w:val="21"/>
          <w:szCs w:val="21"/>
          <w:color w:val="auto"/>
        </w:rPr>
        <w:t>(iv)any asset subject to a Permitted Lien (other than Liens in favor of the Secured Parties) securing obligations permitted under the Credit Agreement to the extent that the grant of other Liens on such asset (A) would result in a breach or violation of, or constitute a default under, the agreement or instrument governing such Permitted Lien, (B) would result in the loss of use of such asset or (C) would permit the holder of such Permitted Lien to terminate the Grantor’s use of such asset;</w:t>
      </w:r>
    </w:p>
    <w:p>
      <w:pPr>
        <w:spacing w:after="0" w:line="178" w:lineRule="exact"/>
        <w:rPr>
          <w:sz w:val="20"/>
          <w:szCs w:val="20"/>
          <w:color w:val="auto"/>
        </w:rPr>
      </w:pPr>
    </w:p>
    <w:p>
      <w:pPr>
        <w:jc w:val="both"/>
        <w:ind w:left="1500" w:firstLine="754"/>
        <w:spacing w:after="0" w:line="252" w:lineRule="auto"/>
        <w:tabs>
          <w:tab w:leader="none" w:pos="2548" w:val="left"/>
        </w:tabs>
        <w:numPr>
          <w:ilvl w:val="0"/>
          <w:numId w:val="123"/>
        </w:numPr>
        <w:rPr>
          <w:rFonts w:ascii="Arial" w:cs="Arial" w:eastAsia="Arial" w:hAnsi="Arial"/>
          <w:sz w:val="21"/>
          <w:szCs w:val="21"/>
          <w:color w:val="auto"/>
        </w:rPr>
      </w:pPr>
      <w:r>
        <w:rPr>
          <w:rFonts w:ascii="Arial" w:cs="Arial" w:eastAsia="Arial" w:hAnsi="Arial"/>
          <w:sz w:val="21"/>
          <w:szCs w:val="21"/>
          <w:color w:val="auto"/>
        </w:rPr>
        <w:t>with respect to any Grantor that is not incorporated in the United States or any political subdivision of the United States, any assets of such Grantor that are located out of the United States (it being understood that any such assets of such Grantor that are located outside of the United States may be pledged to secure the Obligations under the Credit Agreement pursuant to another Loan Document);</w:t>
      </w:r>
    </w:p>
    <w:p>
      <w:pPr>
        <w:spacing w:after="0" w:line="17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(vi)the Excluded Accounts;</w:t>
      </w:r>
    </w:p>
    <w:p>
      <w:pPr>
        <w:spacing w:after="0" w:line="206" w:lineRule="exact"/>
        <w:rPr>
          <w:sz w:val="20"/>
          <w:szCs w:val="20"/>
          <w:color w:val="auto"/>
        </w:rPr>
      </w:pPr>
    </w:p>
    <w:p>
      <w:pPr>
        <w:jc w:val="both"/>
        <w:ind w:left="1500" w:firstLine="749"/>
        <w:spacing w:after="0" w:line="287" w:lineRule="auto"/>
        <w:rPr>
          <w:sz w:val="20"/>
          <w:szCs w:val="20"/>
          <w:color w:val="auto"/>
        </w:rPr>
      </w:pPr>
      <w:r>
        <w:rPr>
          <w:rFonts w:ascii="Arial" w:cs="Arial" w:eastAsia="Arial" w:hAnsi="Arial"/>
          <w:sz w:val="19"/>
          <w:szCs w:val="19"/>
          <w:color w:val="auto"/>
        </w:rPr>
        <w:t>(vii)any trust established pursuant to that certain Deferred Compensation Plan Rabbi Trust Agreement, dated as of April 15, 2022, by and between Avita Medical Americas LLC and Matrix Trust Company and the assets held by any such trust (which shall be limited to common stock of the Borrower), in each case in accordance with the description of such trust as set forth on the Borrower’s Form 10-Q or 10-K; and</w:t>
      </w:r>
    </w:p>
    <w:p>
      <w:pPr>
        <w:spacing w:after="0" w:line="143" w:lineRule="exact"/>
        <w:rPr>
          <w:sz w:val="20"/>
          <w:szCs w:val="20"/>
          <w:color w:val="auto"/>
        </w:rPr>
      </w:pPr>
    </w:p>
    <w:p>
      <w:pPr>
        <w:jc w:val="both"/>
        <w:ind w:left="1500" w:firstLine="749"/>
        <w:spacing w:after="0" w:line="249" w:lineRule="auto"/>
        <w:rPr>
          <w:sz w:val="20"/>
          <w:szCs w:val="20"/>
          <w:color w:val="auto"/>
        </w:rPr>
      </w:pPr>
      <w:r>
        <w:rPr>
          <w:rFonts w:ascii="Arial" w:cs="Arial" w:eastAsia="Arial" w:hAnsi="Arial"/>
          <w:sz w:val="21"/>
          <w:szCs w:val="21"/>
          <w:color w:val="auto"/>
        </w:rPr>
        <w:t>(viii)any particular assets where the Borrower determines in good faith after consulting with its tax or other relevant advisors and subject to the Lenders’ consent (not to be unreasonably withheld, conditioned or delayed) that the burden or cost of creating or perfecting such pledges or security interests in such assets will outweigh the benefits to be obtained by the Secured Parties therefrom, including by taking into account the overall collateral package and the amount of the Loans;</w:t>
      </w:r>
    </w:p>
    <w:p>
      <w:pPr>
        <w:spacing w:after="0" w:line="17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property described in each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above shall only be excluded from the term “</w:t>
      </w:r>
      <w:r>
        <w:rPr>
          <w:rFonts w:ascii="Arial" w:cs="Arial" w:eastAsia="Arial" w:hAnsi="Arial"/>
          <w:sz w:val="19"/>
          <w:szCs w:val="19"/>
          <w:u w:val="single" w:color="auto"/>
          <w:color w:val="auto"/>
        </w:rPr>
        <w:t>Collateral</w:t>
      </w:r>
      <w:r>
        <w:rPr>
          <w:rFonts w:ascii="Arial" w:cs="Arial" w:eastAsia="Arial" w:hAnsi="Arial"/>
          <w:sz w:val="19"/>
          <w:szCs w:val="19"/>
          <w:color w:val="auto"/>
        </w:rPr>
        <w:t xml:space="preserve">” to the extent the conditions stated in such clauses are not rendered ineffective pursuant to Sections 9-406, 9-407, 9-408 or 9-409 of the UCC or any other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property described in each of clauses (i) through</w:t>
      </w:r>
    </w:p>
    <w:p>
      <w:pPr>
        <w:spacing w:after="0" w:line="1" w:lineRule="exact"/>
        <w:rPr>
          <w:sz w:val="20"/>
          <w:szCs w:val="20"/>
          <w:color w:val="auto"/>
        </w:rPr>
      </w:pPr>
    </w:p>
    <w:p>
      <w:pPr>
        <w:ind w:firstLine="8"/>
        <w:spacing w:after="0" w:line="308" w:lineRule="auto"/>
        <w:tabs>
          <w:tab w:leader="none" w:pos="522"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above shall not include any Proceeds, products, substitutions or replacements thereof (unless such Proceeds, products, substitutions or replacements would otherwise constitute property described in any of clauses (i) through (viii) above).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2" w:name="page133"/>
    <w:bookmarkEnd w:id="132"/>
    <w:p>
      <w:pPr>
        <w:jc w:val="both"/>
        <w:ind w:firstLine="749"/>
        <w:spacing w:after="0"/>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Security for Obligations</w:t>
      </w:r>
      <w:r>
        <w:rPr>
          <w:rFonts w:ascii="Arial" w:cs="Arial" w:eastAsia="Arial" w:hAnsi="Arial"/>
          <w:sz w:val="22"/>
          <w:szCs w:val="22"/>
          <w:color w:val="auto"/>
        </w:rPr>
        <w:t>. This Security Agreement and the Collateral in which the Administrative Agent, for the benefit of the Secured Parties, is granted a security interest hereunder by the Grantors secure the payment and performance of all of the Obligations.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Grantors Remain Liable</w:t>
      </w:r>
      <w:r>
        <w:rPr>
          <w:rFonts w:ascii="Arial" w:cs="Arial" w:eastAsia="Arial" w:hAnsi="Arial"/>
          <w:sz w:val="22"/>
          <w:szCs w:val="22"/>
          <w:color w:val="auto"/>
        </w:rPr>
        <w:t>. Anything herein to the contrary notwithstanding:</w:t>
      </w:r>
    </w:p>
    <w:p>
      <w:pPr>
        <w:spacing w:after="0" w:line="206" w:lineRule="exact"/>
        <w:rPr>
          <w:sz w:val="20"/>
          <w:szCs w:val="20"/>
          <w:color w:val="auto"/>
        </w:rPr>
      </w:pPr>
    </w:p>
    <w:p>
      <w:pPr>
        <w:jc w:val="both"/>
        <w:ind w:left="760" w:firstLine="745"/>
        <w:spacing w:after="0"/>
        <w:tabs>
          <w:tab w:leader="none" w:pos="2048"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Grantors will remain liable under the contracts and agreements included in the Collateral to the extent set forth therein, and will perform all of their duties and obligations under such contracts and agreements to the same extent as if this Security Agreement had not been executed;</w:t>
      </w:r>
    </w:p>
    <w:p>
      <w:pPr>
        <w:spacing w:after="0" w:line="186" w:lineRule="exact"/>
        <w:rPr>
          <w:rFonts w:ascii="Arial" w:cs="Arial" w:eastAsia="Arial" w:hAnsi="Arial"/>
          <w:sz w:val="22"/>
          <w:szCs w:val="22"/>
          <w:color w:val="auto"/>
        </w:rPr>
      </w:pPr>
    </w:p>
    <w:p>
      <w:pPr>
        <w:ind w:left="760" w:firstLine="745"/>
        <w:spacing w:after="0" w:line="250" w:lineRule="auto"/>
        <w:tabs>
          <w:tab w:leader="none" w:pos="2048"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exercise by any Secured Party of any of its rights hereunder will not release any Grantor from any of its duties or obligations under any such contracts or agreements included in the Collateral; and</w:t>
      </w:r>
    </w:p>
    <w:p>
      <w:pPr>
        <w:spacing w:after="0" w:line="174" w:lineRule="exact"/>
        <w:rPr>
          <w:rFonts w:ascii="Arial" w:cs="Arial" w:eastAsia="Arial" w:hAnsi="Arial"/>
          <w:sz w:val="22"/>
          <w:szCs w:val="22"/>
          <w:color w:val="auto"/>
        </w:rPr>
      </w:pPr>
    </w:p>
    <w:p>
      <w:pPr>
        <w:jc w:val="both"/>
        <w:ind w:left="760" w:firstLine="745"/>
        <w:spacing w:after="0" w:line="238" w:lineRule="auto"/>
        <w:tabs>
          <w:tab w:leader="none" w:pos="2048"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Secured Parties will not have any obligation or liability under any contracts or agreements included in the Collateral by reason of this Security Agreement, nor will the Secured Parties be obligated to perform any of the obligations or duties of any Grantor thereunder or to take any action to collect or enforce any claim for payment assigned hereunder.</w:t>
      </w:r>
    </w:p>
    <w:p>
      <w:pPr>
        <w:spacing w:after="0" w:line="18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 xml:space="preserve">SECTION 2.4. </w:t>
      </w:r>
      <w:r>
        <w:rPr>
          <w:rFonts w:ascii="Arial" w:cs="Arial" w:eastAsia="Arial" w:hAnsi="Arial"/>
          <w:sz w:val="21"/>
          <w:szCs w:val="21"/>
          <w:u w:val="single" w:color="auto"/>
          <w:color w:val="auto"/>
        </w:rPr>
        <w:t>Distributions on Capital Securities; Payments on Pledged Notes</w:t>
      </w:r>
      <w:r>
        <w:rPr>
          <w:rFonts w:ascii="Arial" w:cs="Arial" w:eastAsia="Arial" w:hAnsi="Arial"/>
          <w:sz w:val="21"/>
          <w:szCs w:val="21"/>
          <w:color w:val="auto"/>
        </w:rPr>
        <w:t xml:space="preserve">. In the event that any (a) Distribution with respect to any Capital Securities or (b) payment with respect to any Pledged Notes, in each case pledged hereunder, is permitted to be paid (in accordance with Section 8.6 of the Credit Agreement), such Distribution or payment may be paid directly to the applicable Grantor. If any Distribution or payment is made in contravention of Section 8.6 of the Credit Agreement, such Grantor shall hold the same segregated and in trust for the Administrative Agent (for the benefit of the Secured Parties) until paid to the Administrative Agent in accordance with </w:t>
      </w:r>
      <w:r>
        <w:rPr>
          <w:rFonts w:ascii="Arial" w:cs="Arial" w:eastAsia="Arial" w:hAnsi="Arial"/>
          <w:sz w:val="21"/>
          <w:szCs w:val="21"/>
          <w:u w:val="single" w:color="auto"/>
          <w:color w:val="auto"/>
        </w:rPr>
        <w:t>Section 4.1.5</w:t>
      </w:r>
      <w:r>
        <w:rPr>
          <w:rFonts w:ascii="Arial" w:cs="Arial" w:eastAsia="Arial" w:hAnsi="Arial"/>
          <w:sz w:val="21"/>
          <w:szCs w:val="21"/>
          <w:color w:val="auto"/>
        </w:rPr>
        <w:t>.</w:t>
      </w:r>
    </w:p>
    <w:p>
      <w:pPr>
        <w:spacing w:after="0" w:line="177"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u w:val="single" w:color="auto"/>
          <w:color w:val="auto"/>
        </w:rPr>
        <w:t>Security Interest Absolute, Etc.</w:t>
      </w:r>
      <w:r>
        <w:rPr>
          <w:rFonts w:ascii="Arial" w:cs="Arial" w:eastAsia="Arial" w:hAnsi="Arial"/>
          <w:sz w:val="22"/>
          <w:szCs w:val="22"/>
          <w:color w:val="auto"/>
        </w:rPr>
        <w:t xml:space="preserve"> This Security Agreement shall in all respects be a continuing, absolute, unconditional and irrevocable grant of security interest, and shall remain in full force and effect until the Termination Date. All rights of the Secured Parties and the security interests granted to the Administrative Agent (for the benefit of the Secured Parties) hereunder, and all obligations of the Grantors hereunder, shall, to the fullest extent permitted by applicable Law, in each case, be absolute, unconditional and irrevocable irrespective of:</w:t>
      </w:r>
    </w:p>
    <w:p>
      <w:pPr>
        <w:spacing w:after="0" w:line="187" w:lineRule="exact"/>
        <w:rPr>
          <w:sz w:val="20"/>
          <w:szCs w:val="20"/>
          <w:color w:val="auto"/>
        </w:rPr>
      </w:pPr>
    </w:p>
    <w:p>
      <w:pPr>
        <w:ind w:left="2040" w:hanging="535"/>
        <w:spacing w:after="0"/>
        <w:tabs>
          <w:tab w:leader="none" w:pos="204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any lack of validity, legality or enforceability of any Loan Document (other than this Security</w:t>
      </w:r>
    </w:p>
    <w:p>
      <w:pPr>
        <w:spacing w:after="0" w:line="8"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Agreement);</w:t>
      </w:r>
    </w:p>
    <w:p>
      <w:pPr>
        <w:spacing w:after="0" w:line="188" w:lineRule="exact"/>
        <w:rPr>
          <w:rFonts w:ascii="Arial" w:cs="Arial" w:eastAsia="Arial" w:hAnsi="Arial"/>
          <w:sz w:val="22"/>
          <w:szCs w:val="22"/>
          <w:color w:val="auto"/>
        </w:rPr>
      </w:pPr>
    </w:p>
    <w:p>
      <w:pPr>
        <w:jc w:val="both"/>
        <w:ind w:left="760" w:firstLine="745"/>
        <w:spacing w:after="0" w:line="238" w:lineRule="auto"/>
        <w:tabs>
          <w:tab w:leader="none" w:pos="2048"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failure of any Secured Party (i) to assert any claim or demand or to enforce any right or remedy against the Borrower or any of the Subsidiaries or any other Person (including any other Grantor) under the provisions of any Loan Document or otherwise, or (ii) to exercise any right or remedy against any other guarantor (including any other Grantor) of, or Collateral securing, any Obligations;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3" w:name="page134"/>
    <w:bookmarkEnd w:id="133"/>
    <w:p>
      <w:pPr>
        <w:ind w:left="760" w:right="20" w:firstLine="745"/>
        <w:spacing w:after="0" w:line="250" w:lineRule="auto"/>
        <w:tabs>
          <w:tab w:leader="none" w:pos="2048"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any change in the time, manner or place of payment of, or in any other term of, all or any part of the Obligations, or any other extension, compromise or renewal of any Obligations;</w:t>
      </w:r>
    </w:p>
    <w:p>
      <w:pPr>
        <w:spacing w:after="0" w:line="174" w:lineRule="exact"/>
        <w:rPr>
          <w:rFonts w:ascii="Arial" w:cs="Arial" w:eastAsia="Arial" w:hAnsi="Arial"/>
          <w:sz w:val="22"/>
          <w:szCs w:val="22"/>
          <w:color w:val="auto"/>
        </w:rPr>
      </w:pPr>
    </w:p>
    <w:p>
      <w:pPr>
        <w:jc w:val="both"/>
        <w:ind w:left="760" w:firstLine="745"/>
        <w:spacing w:after="0" w:line="249" w:lineRule="auto"/>
        <w:tabs>
          <w:tab w:leader="none" w:pos="2048" w:val="left"/>
        </w:tabs>
        <w:numPr>
          <w:ilvl w:val="0"/>
          <w:numId w:val="127"/>
        </w:numPr>
        <w:rPr>
          <w:rFonts w:ascii="Arial" w:cs="Arial" w:eastAsia="Arial" w:hAnsi="Arial"/>
          <w:sz w:val="21"/>
          <w:szCs w:val="21"/>
          <w:color w:val="auto"/>
        </w:rPr>
      </w:pPr>
      <w:r>
        <w:rPr>
          <w:rFonts w:ascii="Arial" w:cs="Arial" w:eastAsia="Arial" w:hAnsi="Arial"/>
          <w:sz w:val="21"/>
          <w:szCs w:val="21"/>
          <w:color w:val="auto"/>
        </w:rPr>
        <w:t>any reduction, limitation, impairment or termination of any Obligations for any reason, including any claim of waiver, release, surrender, alteration or compromise, and shall not be subject to (and each Grantor hereby waives, until payment of all Obligations, any right to or claim of) any defense or setoff, counterclaim, recoupment or termination whatsoever by reason of the invalidity, illegality, nongenuineness, irregularity, compromise, unenforceability of, or any other event or occurrence affecting, any Obligations or otherwise;</w:t>
      </w:r>
    </w:p>
    <w:p>
      <w:pPr>
        <w:spacing w:after="0" w:line="178" w:lineRule="exact"/>
        <w:rPr>
          <w:rFonts w:ascii="Arial" w:cs="Arial" w:eastAsia="Arial" w:hAnsi="Arial"/>
          <w:sz w:val="21"/>
          <w:szCs w:val="21"/>
          <w:color w:val="auto"/>
        </w:rPr>
      </w:pPr>
    </w:p>
    <w:p>
      <w:pPr>
        <w:ind w:left="760" w:firstLine="745"/>
        <w:spacing w:after="0" w:line="250" w:lineRule="auto"/>
        <w:tabs>
          <w:tab w:leader="none" w:pos="2048"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any amendment to, rescission, waiver, or other modification of, or any consent to or departure from, any of the terms of any Loan Document;</w:t>
      </w:r>
    </w:p>
    <w:p>
      <w:pPr>
        <w:spacing w:after="0" w:line="174" w:lineRule="exact"/>
        <w:rPr>
          <w:rFonts w:ascii="Arial" w:cs="Arial" w:eastAsia="Arial" w:hAnsi="Arial"/>
          <w:sz w:val="22"/>
          <w:szCs w:val="22"/>
          <w:color w:val="auto"/>
        </w:rPr>
      </w:pPr>
    </w:p>
    <w:p>
      <w:pPr>
        <w:jc w:val="both"/>
        <w:ind w:left="760" w:firstLine="745"/>
        <w:spacing w:after="0" w:line="238" w:lineRule="auto"/>
        <w:tabs>
          <w:tab w:leader="none" w:pos="2048"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any addition, exchange or release of any Collateral or of any Person that is (or will become) a Grantor (including the Grantors hereunder), or any surrender or non-perfection of any Collateral, or any amendment to or waiver or release or addition to, or consent to or departure from, any other guaranty held by the Administrative Agent, for the benefit of the Secured Parties, securing any of the Obligations; or</w:t>
      </w:r>
    </w:p>
    <w:p>
      <w:pPr>
        <w:spacing w:after="0" w:line="184" w:lineRule="exact"/>
        <w:rPr>
          <w:rFonts w:ascii="Arial" w:cs="Arial" w:eastAsia="Arial" w:hAnsi="Arial"/>
          <w:sz w:val="22"/>
          <w:szCs w:val="22"/>
          <w:color w:val="auto"/>
        </w:rPr>
      </w:pPr>
    </w:p>
    <w:p>
      <w:pPr>
        <w:ind w:left="760" w:firstLine="745"/>
        <w:spacing w:after="0" w:line="250" w:lineRule="auto"/>
        <w:tabs>
          <w:tab w:leader="none" w:pos="2048"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any other circumstance which might otherwise constitute a defense available to, or a legal or equitable discharge of the Borrower or any of the Subsidiaries, any surety or any guarantor.</w:t>
      </w:r>
    </w:p>
    <w:p>
      <w:pPr>
        <w:spacing w:after="0" w:line="17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 xml:space="preserve">SECTION 2.6. </w:t>
      </w:r>
      <w:r>
        <w:rPr>
          <w:rFonts w:ascii="Arial" w:cs="Arial" w:eastAsia="Arial" w:hAnsi="Arial"/>
          <w:sz w:val="19"/>
          <w:szCs w:val="19"/>
          <w:u w:val="single" w:color="auto"/>
          <w:color w:val="auto"/>
        </w:rPr>
        <w:t>Postponement of Subrogation</w:t>
      </w:r>
      <w:r>
        <w:rPr>
          <w:rFonts w:ascii="Arial" w:cs="Arial" w:eastAsia="Arial" w:hAnsi="Arial"/>
          <w:sz w:val="19"/>
          <w:szCs w:val="19"/>
          <w:color w:val="auto"/>
        </w:rPr>
        <w:t xml:space="preserve">. Each Grantor agrees that it will not exercise any rights against another Grantor which it may acquire by way of rights of subrogation under any Loan Document to which it is a party until following the Termination Date. No Grantor shall seek or be entitled to seek any contribution or reimbursement from the Borrower or any of the Subsidiaries, in respect of any payment made by such Grantor under any Loan Document or otherwise, until following the Termination Date. Any amount paid to any Grantor on account of any such subrogation rights prior to the Termination Date shall be held in trust for the benefit of the Secured Parties and shall immediately be paid and turned over to the Administrative Agent, for the benefit of the Secured Parties, in the exact form received by such Grantor (duly endorsed in favor of the Administrative Agent, if required), to be credited and applied against the Obligations, whether matured or unmatured,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6.1(b)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Grantor has made payment to the Administrative Agent of all or any part of the Obligations and the Termination Date has occurred, then at such Grantor’s request, the Administrative Agent will, at the expense of such Grantor, execute and deliver to such Grantor appropriate documents (without recourse and without representation or warranty) necessary to evidence the transfer by subrogation to such Grantor of an interest in the Obligations resulting from such payment. In furtherance of the foregoing, at all times prior to the Termination Date, such Grantor shall refrain from taking any action or commencing any proceeding against the Borrower or any of the Subsidiaries (or their successors or assigns, whether in connection with a bankruptcy proceeding or otherwise) to recover any amounts in respect of payments made under this Security Agreement to the Administrative Agent or any other Secured Party.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22"/>
          <w:szCs w:val="22"/>
          <w:color w:val="auto"/>
        </w:rPr>
        <w:t>ARTICLE 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w:t>
      </w:r>
    </w:p>
    <w:p>
      <w:pPr>
        <w:spacing w:after="0" w:line="188"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In order to induce the Secured Parties to enter into the Credit Agreement and make the Loans thereunder, the Grantors represent and warrant to the Secured Parties as set forth below.</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As to Capital Securities of the Subsidiaries, Investment Property</w:t>
      </w:r>
      <w:r>
        <w:rPr>
          <w:rFonts w:ascii="Arial" w:cs="Arial" w:eastAsia="Arial" w:hAnsi="Arial"/>
          <w:sz w:val="22"/>
          <w:szCs w:val="22"/>
          <w:color w:val="auto"/>
        </w:rPr>
        <w:t>.</w:t>
      </w:r>
    </w:p>
    <w:p>
      <w:pPr>
        <w:spacing w:after="0" w:line="206" w:lineRule="exact"/>
        <w:rPr>
          <w:sz w:val="20"/>
          <w:szCs w:val="20"/>
          <w:color w:val="auto"/>
        </w:rPr>
      </w:pPr>
    </w:p>
    <w:p>
      <w:pPr>
        <w:ind w:left="2040" w:hanging="535"/>
        <w:spacing w:after="0"/>
        <w:tabs>
          <w:tab w:leader="none" w:pos="204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With respect to any Subsidiary of any Grantor that is:</w:t>
      </w:r>
    </w:p>
    <w:p>
      <w:pPr>
        <w:spacing w:after="0" w:line="206" w:lineRule="exact"/>
        <w:rPr>
          <w:rFonts w:ascii="Arial" w:cs="Arial" w:eastAsia="Arial" w:hAnsi="Arial"/>
          <w:sz w:val="22"/>
          <w:szCs w:val="22"/>
          <w:color w:val="auto"/>
        </w:rPr>
      </w:pPr>
    </w:p>
    <w:p>
      <w:pPr>
        <w:jc w:val="both"/>
        <w:ind w:left="1500" w:firstLine="754"/>
        <w:spacing w:after="0" w:line="253" w:lineRule="exact"/>
        <w:tabs>
          <w:tab w:leader="none" w:pos="2548" w:val="left"/>
        </w:tabs>
        <w:numPr>
          <w:ilvl w:val="1"/>
          <w:numId w:val="128"/>
        </w:numPr>
        <w:rPr>
          <w:rFonts w:ascii="Arial" w:cs="Arial" w:eastAsia="Arial" w:hAnsi="Arial"/>
          <w:sz w:val="22"/>
          <w:szCs w:val="22"/>
          <w:color w:val="auto"/>
        </w:rPr>
      </w:pPr>
      <w:r>
        <w:rPr>
          <w:rFonts w:ascii="Arial" w:cs="Arial" w:eastAsia="Arial" w:hAnsi="Arial"/>
          <w:sz w:val="22"/>
          <w:szCs w:val="22"/>
          <w:color w:val="auto"/>
        </w:rPr>
        <w:t>a corporation, business trust, joint stock company or similar Person, all Capital Securities issued by such Subsidiary are duly authorized and validly issued, fully paid and non</w:t>
      </w:r>
      <w:r>
        <w:rPr>
          <w:rFonts w:ascii="MS PGothic" w:cs="MS PGothic" w:eastAsia="MS PGothic" w:hAnsi="MS PGothic"/>
          <w:sz w:val="22"/>
          <w:szCs w:val="22"/>
          <w:color w:val="auto"/>
        </w:rPr>
        <w:t>‑</w:t>
      </w:r>
      <w:r>
        <w:rPr>
          <w:rFonts w:ascii="Arial" w:cs="Arial" w:eastAsia="Arial" w:hAnsi="Arial"/>
          <w:sz w:val="22"/>
          <w:szCs w:val="22"/>
          <w:color w:val="auto"/>
        </w:rPr>
        <w:t>assessable, and represented by a certificate or certificates; and</w:t>
      </w:r>
    </w:p>
    <w:p>
      <w:pPr>
        <w:spacing w:after="0" w:line="186" w:lineRule="exact"/>
        <w:rPr>
          <w:rFonts w:ascii="Arial" w:cs="Arial" w:eastAsia="Arial" w:hAnsi="Arial"/>
          <w:sz w:val="22"/>
          <w:szCs w:val="22"/>
          <w:color w:val="auto"/>
        </w:rPr>
      </w:pPr>
    </w:p>
    <w:p>
      <w:pPr>
        <w:jc w:val="both"/>
        <w:ind w:left="1500" w:firstLine="754"/>
        <w:spacing w:after="0" w:line="271" w:lineRule="auto"/>
        <w:tabs>
          <w:tab w:leader="none" w:pos="2548" w:val="left"/>
        </w:tabs>
        <w:numPr>
          <w:ilvl w:val="1"/>
          <w:numId w:val="128"/>
        </w:numPr>
        <w:rPr>
          <w:rFonts w:ascii="Arial" w:cs="Arial" w:eastAsia="Arial" w:hAnsi="Arial"/>
          <w:sz w:val="19"/>
          <w:szCs w:val="19"/>
          <w:color w:val="auto"/>
        </w:rPr>
      </w:pPr>
      <w:r>
        <w:rPr>
          <w:rFonts w:ascii="Arial" w:cs="Arial" w:eastAsia="Arial" w:hAnsi="Arial"/>
          <w:sz w:val="19"/>
          <w:szCs w:val="19"/>
          <w:color w:val="auto"/>
        </w:rPr>
        <w:t xml:space="preserve">a partnership or limited liability company, no Capital Securities issued by such Subsidiary (A) is dealt in or traded on securities exchanges or in securities markets, (B) expressly provides that such Capital Securities is a security governed by Article 8 of the UCC or (C) is held in a Securities Account, except, with respect to this </w:t>
      </w:r>
      <w:r>
        <w:rPr>
          <w:rFonts w:ascii="Arial" w:cs="Arial" w:eastAsia="Arial" w:hAnsi="Arial"/>
          <w:sz w:val="19"/>
          <w:szCs w:val="19"/>
          <w:u w:val="single" w:color="auto"/>
          <w:color w:val="auto"/>
        </w:rPr>
        <w:t>clause (a)(ii)</w:t>
      </w:r>
      <w:r>
        <w:rPr>
          <w:rFonts w:ascii="Arial" w:cs="Arial" w:eastAsia="Arial" w:hAnsi="Arial"/>
          <w:sz w:val="19"/>
          <w:szCs w:val="19"/>
          <w:color w:val="auto"/>
        </w:rPr>
        <w:t>, Capital Securities (x) for which the Administrative Agent is the registered owner or</w:t>
      </w:r>
    </w:p>
    <w:p>
      <w:pPr>
        <w:spacing w:after="0" w:line="3" w:lineRule="exact"/>
        <w:rPr>
          <w:rFonts w:ascii="Arial" w:cs="Arial" w:eastAsia="Arial" w:hAnsi="Arial"/>
          <w:sz w:val="19"/>
          <w:szCs w:val="19"/>
          <w:color w:val="auto"/>
        </w:rPr>
      </w:pPr>
    </w:p>
    <w:p>
      <w:pPr>
        <w:jc w:val="both"/>
        <w:ind w:left="1500" w:firstLine="5"/>
        <w:spacing w:after="0" w:line="245" w:lineRule="auto"/>
        <w:tabs>
          <w:tab w:leader="none" w:pos="1873" w:val="left"/>
        </w:tabs>
        <w:numPr>
          <w:ilvl w:val="0"/>
          <w:numId w:val="129"/>
        </w:numPr>
        <w:rPr>
          <w:rFonts w:ascii="Arial" w:cs="Arial" w:eastAsia="Arial" w:hAnsi="Arial"/>
          <w:sz w:val="21"/>
          <w:szCs w:val="21"/>
          <w:color w:val="auto"/>
        </w:rPr>
      </w:pPr>
      <w:r>
        <w:rPr>
          <w:rFonts w:ascii="Arial" w:cs="Arial" w:eastAsia="Arial" w:hAnsi="Arial"/>
          <w:sz w:val="21"/>
          <w:szCs w:val="21"/>
          <w:color w:val="auto"/>
        </w:rPr>
        <w:t>with respect to which the issuer has agreed in an authenticated record with such Grantor and the Administrative Agent to comply with any instructions of the Administrative Agent without the consent of such Grantor. Each Subsidiary party hereto that is an issuer of any Capital Securities pledged hereunder described in clause (y) above agrees that it will comply with the instructions with respect to such Capital Securities originated by Administrative Agent without the consent of any other Grantor.</w:t>
      </w:r>
    </w:p>
    <w:p>
      <w:pPr>
        <w:spacing w:after="0" w:line="180" w:lineRule="exact"/>
        <w:rPr>
          <w:rFonts w:ascii="Arial" w:cs="Arial" w:eastAsia="Arial" w:hAnsi="Arial"/>
          <w:sz w:val="21"/>
          <w:szCs w:val="21"/>
          <w:color w:val="auto"/>
        </w:rPr>
      </w:pPr>
    </w:p>
    <w:p>
      <w:pPr>
        <w:jc w:val="both"/>
        <w:ind w:left="760" w:firstLine="745"/>
        <w:spacing w:after="0" w:line="252" w:lineRule="auto"/>
        <w:tabs>
          <w:tab w:leader="none" w:pos="2048" w:val="left"/>
        </w:tabs>
        <w:numPr>
          <w:ilvl w:val="0"/>
          <w:numId w:val="130"/>
        </w:numPr>
        <w:rPr>
          <w:rFonts w:ascii="Arial" w:cs="Arial" w:eastAsia="Arial" w:hAnsi="Arial"/>
          <w:sz w:val="21"/>
          <w:szCs w:val="21"/>
          <w:color w:val="auto"/>
        </w:rPr>
      </w:pPr>
      <w:r>
        <w:rPr>
          <w:rFonts w:ascii="Arial" w:cs="Arial" w:eastAsia="Arial" w:hAnsi="Arial"/>
          <w:sz w:val="21"/>
          <w:szCs w:val="21"/>
          <w:color w:val="auto"/>
        </w:rPr>
        <w:t>Each Grantor has delivered to the Administrative Agent all Certificated Securities constituting Collateral held by such Grantor in a Subsidiary on the Closing Date (or the date such Grantor becomes a party to this Security Agreement, as applicable) to the Administrative Agent, together with duly executed undated blank stock powers, or other equivalent instruments of transfer acceptable to the Administrative Agent.</w:t>
      </w:r>
    </w:p>
    <w:p>
      <w:pPr>
        <w:spacing w:after="0" w:line="173" w:lineRule="exact"/>
        <w:rPr>
          <w:rFonts w:ascii="Arial" w:cs="Arial" w:eastAsia="Arial" w:hAnsi="Arial"/>
          <w:sz w:val="21"/>
          <w:szCs w:val="21"/>
          <w:color w:val="auto"/>
        </w:rPr>
      </w:pPr>
    </w:p>
    <w:p>
      <w:pPr>
        <w:jc w:val="both"/>
        <w:ind w:left="760" w:firstLine="745"/>
        <w:spacing w:after="0" w:line="274" w:lineRule="auto"/>
        <w:tabs>
          <w:tab w:leader="none" w:pos="2048" w:val="left"/>
        </w:tabs>
        <w:numPr>
          <w:ilvl w:val="0"/>
          <w:numId w:val="130"/>
        </w:numPr>
        <w:rPr>
          <w:rFonts w:ascii="Arial" w:cs="Arial" w:eastAsia="Arial" w:hAnsi="Arial"/>
          <w:sz w:val="19"/>
          <w:szCs w:val="19"/>
          <w:color w:val="auto"/>
        </w:rPr>
      </w:pPr>
      <w:r>
        <w:rPr>
          <w:rFonts w:ascii="Arial" w:cs="Arial" w:eastAsia="Arial" w:hAnsi="Arial"/>
          <w:sz w:val="19"/>
          <w:szCs w:val="19"/>
          <w:color w:val="auto"/>
        </w:rPr>
        <w:t>With respect to Uncertificated Securities constituting Collateral owned by any Grantor in a Subsidiary on the Closing Date (or the date such Grantor becomes a party to this Security Agreement, as applicable), such Grantor has caused the issuer thereof either to (i) register the Administrative Agent as the registered owner of such security or (ii) agree in an authenticated record with such Grantor and the Administrative Agent that such issuer will comply with instructions with respect to such security originated by the Administrative Agent without further consent of such Grantor (which instructions the Administrative Agent agrees not to give unless an Event of Default is continuing). Each Subsidiary party hereto that is an issuer of any Uncertificated Securities pledged hereunder above agrees that it will comply with the instructions with respect to such Uncertificated Securities originated by Administrative Agent without the consent of any other Grantor (which instructions Administrative Agent hereby agrees not to give unless an Event of Default has occurred and is continuing).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35" w:name="page136"/>
    <w:bookmarkEnd w:id="135"/>
    <w:p>
      <w:pPr>
        <w:jc w:val="both"/>
        <w:ind w:left="760" w:firstLine="745"/>
        <w:spacing w:after="0" w:line="238" w:lineRule="auto"/>
        <w:tabs>
          <w:tab w:leader="none" w:pos="2048"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The percentage of the issued and outstanding Capital Securities of each Subsidiary pledged on the Closing Date (or the date such Grantor becomes a party to this Security Agreement, as applicable) by each Grantor hereunder is as set forth on </w:t>
      </w:r>
      <w:r>
        <w:rPr>
          <w:rFonts w:ascii="Arial" w:cs="Arial" w:eastAsia="Arial" w:hAnsi="Arial"/>
          <w:sz w:val="22"/>
          <w:szCs w:val="22"/>
          <w:u w:val="single" w:color="auto"/>
          <w:color w:val="auto"/>
        </w:rPr>
        <w:t>Schedule I</w:t>
      </w:r>
      <w:r>
        <w:rPr>
          <w:rFonts w:ascii="Arial" w:cs="Arial" w:eastAsia="Arial" w:hAnsi="Arial"/>
          <w:sz w:val="22"/>
          <w:szCs w:val="22"/>
          <w:color w:val="auto"/>
        </w:rPr>
        <w:t>. All shares of such Capital Securities have been duly and validly issued and are fully paid and nonassessable.</w:t>
      </w:r>
    </w:p>
    <w:p>
      <w:pPr>
        <w:spacing w:after="0" w:line="184" w:lineRule="exact"/>
        <w:rPr>
          <w:rFonts w:ascii="Arial" w:cs="Arial" w:eastAsia="Arial" w:hAnsi="Arial"/>
          <w:sz w:val="22"/>
          <w:szCs w:val="22"/>
          <w:color w:val="auto"/>
        </w:rPr>
      </w:pPr>
    </w:p>
    <w:p>
      <w:pPr>
        <w:jc w:val="both"/>
        <w:ind w:left="760" w:firstLine="745"/>
        <w:spacing w:after="0" w:line="236" w:lineRule="auto"/>
        <w:tabs>
          <w:tab w:leader="none" w:pos="2048" w:val="left"/>
        </w:tabs>
        <w:numPr>
          <w:ilvl w:val="0"/>
          <w:numId w:val="131"/>
        </w:numPr>
        <w:rPr>
          <w:rFonts w:ascii="Arial" w:cs="Arial" w:eastAsia="Arial" w:hAnsi="Arial"/>
          <w:sz w:val="22"/>
          <w:szCs w:val="22"/>
          <w:color w:val="auto"/>
        </w:rPr>
      </w:pPr>
      <w:r>
        <w:rPr>
          <w:rFonts w:ascii="Arial" w:cs="Arial" w:eastAsia="Arial" w:hAnsi="Arial"/>
          <w:sz w:val="22"/>
          <w:szCs w:val="22"/>
          <w:color w:val="auto"/>
        </w:rPr>
        <w:t>Each of the Intercompany Notes constitutes the legal, valid and binding obligation of the obligor with respect thereto, enforceable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w:t>
      </w:r>
    </w:p>
    <w:p>
      <w:pPr>
        <w:spacing w:after="0" w:line="187"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Grantor Name, Location, Etc</w:t>
      </w:r>
      <w:r>
        <w:rPr>
          <w:rFonts w:ascii="Arial" w:cs="Arial" w:eastAsia="Arial" w:hAnsi="Arial"/>
          <w:sz w:val="22"/>
          <w:szCs w:val="22"/>
          <w:color w:val="auto"/>
        </w:rPr>
        <w:t>. In each case as of the date hereof (or on the date such Grantor becomes a party this Security Agreement as applicable):</w:t>
      </w:r>
    </w:p>
    <w:p>
      <w:pPr>
        <w:spacing w:after="0" w:line="175" w:lineRule="exact"/>
        <w:rPr>
          <w:sz w:val="20"/>
          <w:szCs w:val="20"/>
          <w:color w:val="auto"/>
        </w:rPr>
      </w:pPr>
    </w:p>
    <w:p>
      <w:pPr>
        <w:jc w:val="both"/>
        <w:ind w:left="760" w:firstLine="745"/>
        <w:spacing w:after="0" w:line="253" w:lineRule="exact"/>
        <w:tabs>
          <w:tab w:leader="none" w:pos="2048"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 The jurisdiction in which each Grantor is located for purposes of Sections 9</w:t>
      </w:r>
      <w:r>
        <w:rPr>
          <w:rFonts w:ascii="MS PGothic" w:cs="MS PGothic" w:eastAsia="MS PGothic" w:hAnsi="MS PGothic"/>
          <w:sz w:val="22"/>
          <w:szCs w:val="22"/>
          <w:color w:val="auto"/>
        </w:rPr>
        <w:t>‑</w:t>
      </w:r>
      <w:r>
        <w:rPr>
          <w:rFonts w:ascii="Arial" w:cs="Arial" w:eastAsia="Arial" w:hAnsi="Arial"/>
          <w:sz w:val="22"/>
          <w:szCs w:val="22"/>
          <w:color w:val="auto"/>
        </w:rPr>
        <w:t>301 and 9</w:t>
      </w:r>
      <w:r>
        <w:rPr>
          <w:rFonts w:ascii="MS PGothic" w:cs="MS PGothic" w:eastAsia="MS PGothic" w:hAnsi="MS PGothic"/>
          <w:sz w:val="22"/>
          <w:szCs w:val="22"/>
          <w:color w:val="auto"/>
        </w:rPr>
        <w:t>‑</w:t>
      </w:r>
      <w:r>
        <w:rPr>
          <w:rFonts w:ascii="Arial" w:cs="Arial" w:eastAsia="Arial" w:hAnsi="Arial"/>
          <w:sz w:val="22"/>
          <w:szCs w:val="22"/>
          <w:color w:val="auto"/>
        </w:rPr>
        <w:t xml:space="preserve">307 of the UCC and (ii) the address of each Grantor’s executive office and principal place of business is set forth in </w:t>
      </w:r>
      <w:r>
        <w:rPr>
          <w:rFonts w:ascii="Arial" w:cs="Arial" w:eastAsia="Arial" w:hAnsi="Arial"/>
          <w:sz w:val="22"/>
          <w:szCs w:val="22"/>
          <w:u w:val="single" w:color="auto"/>
          <w:color w:val="auto"/>
        </w:rPr>
        <w:t>Item A</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II</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2040" w:hanging="535"/>
        <w:spacing w:after="0"/>
        <w:tabs>
          <w:tab w:leader="none" w:pos="204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The Grantors do not have any trade names other than those set forth in </w:t>
      </w:r>
      <w:r>
        <w:rPr>
          <w:rFonts w:ascii="Arial" w:cs="Arial" w:eastAsia="Arial" w:hAnsi="Arial"/>
          <w:sz w:val="22"/>
          <w:szCs w:val="22"/>
          <w:u w:val="single" w:color="auto"/>
          <w:color w:val="auto"/>
        </w:rPr>
        <w:t>Item C</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II</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760" w:firstLine="745"/>
        <w:spacing w:after="0" w:line="238" w:lineRule="auto"/>
        <w:tabs>
          <w:tab w:leader="none" w:pos="2048"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During the twelve months preceding the date hereof (or preceding the date such Grantor becomes a party to this Security Agreement, as applicable), no Grantor has been known by any legal name different from the one set forth on the signature page hereto, nor has such Grantor been the subject of any merger or other corporate reorganization, except as set forth in </w:t>
      </w:r>
      <w:r>
        <w:rPr>
          <w:rFonts w:ascii="Arial" w:cs="Arial" w:eastAsia="Arial" w:hAnsi="Arial"/>
          <w:sz w:val="22"/>
          <w:szCs w:val="22"/>
          <w:u w:val="single" w:color="auto"/>
          <w:color w:val="auto"/>
        </w:rPr>
        <w:t>Item D</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II</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left="760" w:firstLine="745"/>
        <w:spacing w:after="0" w:line="238" w:lineRule="auto"/>
        <w:tabs>
          <w:tab w:leader="none" w:pos="2048"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Each Grantor’s federal taxpayer identification number (or foreign equivalent) is (and, during the twelve months preceding the date hereof (or preceding the date such Grantor becomes a party to this Security Agreement, as applicable), such Grantor has not had a federal taxpayer identification number (or equivalent) different from that) set forth in </w:t>
      </w:r>
      <w:r>
        <w:rPr>
          <w:rFonts w:ascii="Arial" w:cs="Arial" w:eastAsia="Arial" w:hAnsi="Arial"/>
          <w:sz w:val="22"/>
          <w:szCs w:val="22"/>
          <w:u w:val="single" w:color="auto"/>
          <w:color w:val="auto"/>
        </w:rPr>
        <w:t>Item E</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II</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left="2040" w:hanging="535"/>
        <w:spacing w:after="0"/>
        <w:tabs>
          <w:tab w:leader="none" w:pos="204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No Grantor is a party to any federal, state or local government contract except as set forth in </w:t>
      </w:r>
      <w:r>
        <w:rPr>
          <w:rFonts w:ascii="Arial" w:cs="Arial" w:eastAsia="Arial" w:hAnsi="Arial"/>
          <w:sz w:val="19"/>
          <w:szCs w:val="19"/>
          <w:u w:val="single" w:color="auto"/>
          <w:color w:val="auto"/>
        </w:rPr>
        <w:t>Item F</w:t>
      </w:r>
      <w:r>
        <w:rPr>
          <w:rFonts w:ascii="Arial" w:cs="Arial" w:eastAsia="Arial" w:hAnsi="Arial"/>
          <w:sz w:val="19"/>
          <w:szCs w:val="19"/>
          <w:color w:val="auto"/>
        </w:rPr>
        <w:t xml:space="preserve"> of</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u w:val="single" w:color="auto"/>
          <w:color w:val="auto"/>
        </w:rPr>
        <w:t>Schedule II</w:t>
      </w: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ind w:left="760" w:firstLine="745"/>
        <w:spacing w:after="0" w:line="250" w:lineRule="auto"/>
        <w:tabs>
          <w:tab w:leader="none" w:pos="2048"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No Grantor maintains any Deposit Accounts, Securities Accounts or Commodity Accounts with any Person, in each case, except as set forth on </w:t>
      </w:r>
      <w:r>
        <w:rPr>
          <w:rFonts w:ascii="Arial" w:cs="Arial" w:eastAsia="Arial" w:hAnsi="Arial"/>
          <w:sz w:val="22"/>
          <w:szCs w:val="22"/>
          <w:u w:val="single" w:color="auto"/>
          <w:color w:val="auto"/>
        </w:rPr>
        <w:t>Item G</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II</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2040" w:hanging="535"/>
        <w:spacing w:after="0"/>
        <w:tabs>
          <w:tab w:leader="none" w:pos="204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 xml:space="preserve">No Grantor is the beneficiary of any Letters of Credit, except as set forth on </w:t>
      </w:r>
      <w:r>
        <w:rPr>
          <w:rFonts w:ascii="Arial" w:cs="Arial" w:eastAsia="Arial" w:hAnsi="Arial"/>
          <w:sz w:val="21"/>
          <w:szCs w:val="21"/>
          <w:u w:val="single" w:color="auto"/>
          <w:color w:val="auto"/>
        </w:rPr>
        <w:t>Item H</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Schedule II</w:t>
      </w:r>
      <w:r>
        <w:rPr>
          <w:rFonts w:ascii="Arial" w:cs="Arial" w:eastAsia="Arial" w:hAnsi="Arial"/>
          <w:sz w:val="21"/>
          <w:szCs w:val="21"/>
          <w:color w:val="auto"/>
        </w:rPr>
        <w:t>.</w:t>
      </w:r>
    </w:p>
    <w:p>
      <w:pPr>
        <w:spacing w:after="0" w:line="217" w:lineRule="exact"/>
        <w:rPr>
          <w:rFonts w:ascii="Arial" w:cs="Arial" w:eastAsia="Arial" w:hAnsi="Arial"/>
          <w:sz w:val="21"/>
          <w:szCs w:val="21"/>
          <w:color w:val="auto"/>
        </w:rPr>
      </w:pPr>
    </w:p>
    <w:p>
      <w:pPr>
        <w:ind w:left="2040" w:hanging="535"/>
        <w:spacing w:after="0"/>
        <w:tabs>
          <w:tab w:leader="none" w:pos="204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No Grantor has Commercial Tort Claims except as set forth on </w:t>
      </w:r>
      <w:r>
        <w:rPr>
          <w:rFonts w:ascii="Arial" w:cs="Arial" w:eastAsia="Arial" w:hAnsi="Arial"/>
          <w:sz w:val="22"/>
          <w:szCs w:val="22"/>
          <w:u w:val="single" w:color="auto"/>
          <w:color w:val="auto"/>
        </w:rPr>
        <w:t>Item I</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II</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6" w:name="page137"/>
    <w:bookmarkEnd w:id="136"/>
    <w:p>
      <w:pPr>
        <w:jc w:val="both"/>
        <w:ind w:left="760" w:firstLine="745"/>
        <w:spacing w:after="0"/>
        <w:tabs>
          <w:tab w:leader="none" w:pos="2048"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name set forth on the signature page attached hereto (or the signature page of the supplement hereto by which such Grantor has become a party to this Security Agreement, as applicable) is the true and correct legal name (as defined in the UCC) of each Grantor.</w:t>
      </w:r>
    </w:p>
    <w:p>
      <w:pPr>
        <w:spacing w:after="0" w:line="186"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u w:val="single" w:color="auto"/>
          <w:color w:val="auto"/>
        </w:rPr>
        <w:t>Ownership, No Liens, Etc.</w:t>
      </w:r>
      <w:r>
        <w:rPr>
          <w:rFonts w:ascii="Arial" w:cs="Arial" w:eastAsia="Arial" w:hAnsi="Arial"/>
          <w:sz w:val="22"/>
          <w:szCs w:val="22"/>
          <w:color w:val="auto"/>
        </w:rPr>
        <w:t xml:space="preserve"> Each Grantor owns its Collateral free and clear of any Lien, except for (a) any security interest created by this Security Agreement and (b) Permitted Liens. No effective UCC financing statement or other filing similar in effect covering all or any part of the Collateral is on file in any recording office, except those filed in favor of the Administrative Agent relating to this Security Agreement, Permitted Liens or as to which a duly authorized termination statement relating to such UCC financing statement or other instrument has been delivered to the Administrative Agent on the Closing Date.</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u w:val="single" w:color="auto"/>
          <w:color w:val="auto"/>
        </w:rPr>
        <w:t>Possession of Inventory, Control, Etc.</w:t>
      </w:r>
    </w:p>
    <w:p>
      <w:pPr>
        <w:spacing w:after="0" w:line="206" w:lineRule="exact"/>
        <w:rPr>
          <w:sz w:val="20"/>
          <w:szCs w:val="20"/>
          <w:color w:val="auto"/>
        </w:rPr>
      </w:pPr>
    </w:p>
    <w:p>
      <w:pPr>
        <w:jc w:val="both"/>
        <w:ind w:left="760" w:firstLine="745"/>
        <w:spacing w:after="0" w:line="268" w:lineRule="auto"/>
        <w:tabs>
          <w:tab w:leader="none" w:pos="2048" w:val="left"/>
        </w:tabs>
        <w:numPr>
          <w:ilvl w:val="1"/>
          <w:numId w:val="134"/>
        </w:numPr>
        <w:rPr>
          <w:rFonts w:ascii="Arial" w:cs="Arial" w:eastAsia="Arial" w:hAnsi="Arial"/>
          <w:sz w:val="19"/>
          <w:szCs w:val="19"/>
          <w:color w:val="auto"/>
        </w:rPr>
      </w:pPr>
      <w:r>
        <w:rPr>
          <w:rFonts w:ascii="Arial" w:cs="Arial" w:eastAsia="Arial" w:hAnsi="Arial"/>
          <w:sz w:val="19"/>
          <w:szCs w:val="19"/>
          <w:color w:val="auto"/>
        </w:rPr>
        <w:t xml:space="preserve">Each Grantor has, and agrees that it will maintain, exclusive possession of its Documents, Instruments, Promissory Notes, Goods, Equipment and Inventory, other than (i) Equipment and Inventory that is in transit in the ordinary course of business, (ii) Equipment and Inventory that in the ordinary course of business is in the possession or control of a warehouseman, bailee agent or other Person (other than a Person controlled by or under common control with such Grantor), it being understood that the Grantor shall, at the request of the Administrative Agent, undertake reasonable efforts to obtain authenticated a record signed by such Person acknowledging that it holds possession of such Collateral for the Administrative Agent’s benefit and waives any Lien held by it against such Collateral, (iii) Inventory that is in the possession of a consignee in the ordinary course of business and (iv) Instruments or Promissory Notes that have been delivered to the Administrative Agent pursuant to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In the case of Equipment or Inventory described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above, no lessor or warehouseman of any premises or warehouse upon or in which such Equipment or Inventory is located has (w) issued any warehouse receipt or other receipt in the nature of a warehouse receipt in respect of any such Equipment or Inventory, (x) issued any Document for any such Equipment or Inventory,</w:t>
      </w:r>
    </w:p>
    <w:p>
      <w:pPr>
        <w:spacing w:after="0" w:line="6" w:lineRule="exact"/>
        <w:rPr>
          <w:rFonts w:ascii="Arial" w:cs="Arial" w:eastAsia="Arial" w:hAnsi="Arial"/>
          <w:sz w:val="19"/>
          <w:szCs w:val="19"/>
          <w:color w:val="auto"/>
        </w:rPr>
      </w:pPr>
    </w:p>
    <w:p>
      <w:pPr>
        <w:jc w:val="both"/>
        <w:ind w:left="760" w:hanging="3"/>
        <w:spacing w:after="0" w:line="234" w:lineRule="auto"/>
        <w:tabs>
          <w:tab w:leader="none" w:pos="1069" w:val="left"/>
        </w:tabs>
        <w:numPr>
          <w:ilvl w:val="0"/>
          <w:numId w:val="135"/>
        </w:numPr>
        <w:rPr>
          <w:rFonts w:ascii="Arial" w:cs="Arial" w:eastAsia="Arial" w:hAnsi="Arial"/>
          <w:sz w:val="22"/>
          <w:szCs w:val="22"/>
          <w:color w:val="auto"/>
        </w:rPr>
      </w:pPr>
      <w:r>
        <w:rPr>
          <w:rFonts w:ascii="Arial" w:cs="Arial" w:eastAsia="Arial" w:hAnsi="Arial"/>
          <w:sz w:val="22"/>
          <w:szCs w:val="22"/>
          <w:color w:val="auto"/>
        </w:rPr>
        <w:t>received notification of the Administrative Agent’s interest (other than the security interest granted hereunder) in any such Equipment or Inventory or (z) any Lien on any such Equipment or Inventory, except for Permitted Liens under Section 8.3(e) of the Credit Agreement.</w:t>
      </w:r>
    </w:p>
    <w:p>
      <w:pPr>
        <w:spacing w:after="0" w:line="187" w:lineRule="exact"/>
        <w:rPr>
          <w:rFonts w:ascii="Arial" w:cs="Arial" w:eastAsia="Arial" w:hAnsi="Arial"/>
          <w:sz w:val="22"/>
          <w:szCs w:val="22"/>
          <w:color w:val="auto"/>
        </w:rPr>
      </w:pPr>
    </w:p>
    <w:p>
      <w:pPr>
        <w:jc w:val="both"/>
        <w:ind w:left="760" w:firstLine="745"/>
        <w:spacing w:after="0" w:line="238" w:lineRule="auto"/>
        <w:tabs>
          <w:tab w:leader="none" w:pos="2048" w:val="left"/>
        </w:tabs>
        <w:numPr>
          <w:ilvl w:val="1"/>
          <w:numId w:val="135"/>
        </w:numPr>
        <w:rPr>
          <w:rFonts w:ascii="Arial" w:cs="Arial" w:eastAsia="Arial" w:hAnsi="Arial"/>
          <w:sz w:val="22"/>
          <w:szCs w:val="22"/>
          <w:color w:val="auto"/>
        </w:rPr>
      </w:pPr>
      <w:r>
        <w:rPr>
          <w:rFonts w:ascii="Arial" w:cs="Arial" w:eastAsia="Arial" w:hAnsi="Arial"/>
          <w:sz w:val="22"/>
          <w:szCs w:val="22"/>
          <w:color w:val="auto"/>
        </w:rPr>
        <w:t>Each Grantor is the sole entitlement holder of its Deposit Accounts and no other Person (other than the Administrative Agent pursuant to this Security Agreement or any other Person with respect to Permitted Liens) has control or possession of, or any other interest in, any of its Deposit Accounts or any other securities or property credited thereto, other than the Excluded Accounts.</w:t>
      </w:r>
    </w:p>
    <w:p>
      <w:pPr>
        <w:spacing w:after="0" w:line="185"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u w:val="single" w:color="auto"/>
          <w:color w:val="auto"/>
        </w:rPr>
        <w:t>Negotiable Documents, Instruments and Chattel Paper</w:t>
      </w:r>
      <w:r>
        <w:rPr>
          <w:rFonts w:ascii="Arial" w:cs="Arial" w:eastAsia="Arial" w:hAnsi="Arial"/>
          <w:sz w:val="19"/>
          <w:szCs w:val="19"/>
          <w:color w:val="auto"/>
        </w:rPr>
        <w:t>. Each Grantor has delivered to the Administrative Agent possession of all originals of all Documents, Instruments, Promissory Notes, and tangible Chattel Paper (other than any Document, Instrument, Promissory Note or tangible Chattel Paper not exceeding $100,000 in principal amount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7" w:name="page138"/>
    <w:bookmarkEnd w:id="137"/>
    <w:p>
      <w:pPr>
        <w:spacing w:after="0" w:line="250" w:lineRule="auto"/>
        <w:rPr>
          <w:sz w:val="20"/>
          <w:szCs w:val="20"/>
          <w:color w:val="auto"/>
        </w:rPr>
      </w:pPr>
      <w:r>
        <w:rPr>
          <w:rFonts w:ascii="Arial" w:cs="Arial" w:eastAsia="Arial" w:hAnsi="Arial"/>
          <w:sz w:val="22"/>
          <w:szCs w:val="22"/>
          <w:color w:val="auto"/>
        </w:rPr>
        <w:t>individually or in the aggregate) owned or held by such Grantor on the Closing Date (or the date such Grantor becomes a party to this Security Agreement, as applicable).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SECTION 3.6. </w:t>
      </w:r>
      <w:r>
        <w:rPr>
          <w:rFonts w:ascii="Arial" w:cs="Arial" w:eastAsia="Arial" w:hAnsi="Arial"/>
          <w:sz w:val="19"/>
          <w:szCs w:val="19"/>
          <w:u w:val="single" w:color="auto"/>
          <w:color w:val="auto"/>
        </w:rPr>
        <w:t>Intellectual Property Collateral</w:t>
      </w:r>
      <w:r>
        <w:rPr>
          <w:rFonts w:ascii="Arial" w:cs="Arial" w:eastAsia="Arial" w:hAnsi="Arial"/>
          <w:sz w:val="19"/>
          <w:szCs w:val="19"/>
          <w:color w:val="auto"/>
        </w:rPr>
        <w:t xml:space="preserve">. Except as disclosed on </w:t>
      </w:r>
      <w:r>
        <w:rPr>
          <w:rFonts w:ascii="Arial" w:cs="Arial" w:eastAsia="Arial" w:hAnsi="Arial"/>
          <w:sz w:val="19"/>
          <w:szCs w:val="19"/>
          <w:u w:val="single" w:color="auto"/>
          <w:color w:val="auto"/>
        </w:rPr>
        <w:t>Schedules III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VI</w:t>
      </w:r>
      <w:r>
        <w:rPr>
          <w:rFonts w:ascii="Arial" w:cs="Arial" w:eastAsia="Arial" w:hAnsi="Arial"/>
          <w:sz w:val="19"/>
          <w:szCs w:val="19"/>
          <w:color w:val="auto"/>
        </w:rPr>
        <w:t>, with respect to any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Intellectual Property Collateral:</w:t>
      </w:r>
    </w:p>
    <w:p>
      <w:pPr>
        <w:spacing w:after="0" w:line="188" w:lineRule="exact"/>
        <w:rPr>
          <w:sz w:val="20"/>
          <w:szCs w:val="20"/>
          <w:color w:val="auto"/>
        </w:rPr>
      </w:pPr>
    </w:p>
    <w:p>
      <w:pPr>
        <w:jc w:val="both"/>
        <w:ind w:left="760" w:firstLine="745"/>
        <w:spacing w:after="0"/>
        <w:tabs>
          <w:tab w:leader="none" w:pos="2048" w:val="left"/>
        </w:tabs>
        <w:numPr>
          <w:ilvl w:val="0"/>
          <w:numId w:val="136"/>
        </w:numPr>
        <w:rPr>
          <w:rFonts w:ascii="Arial" w:cs="Arial" w:eastAsia="Arial" w:hAnsi="Arial"/>
          <w:sz w:val="22"/>
          <w:szCs w:val="22"/>
          <w:color w:val="auto"/>
        </w:rPr>
      </w:pPr>
      <w:r>
        <w:rPr>
          <w:rFonts w:ascii="Arial" w:cs="Arial" w:eastAsia="Arial" w:hAnsi="Arial"/>
          <w:sz w:val="22"/>
          <w:szCs w:val="22"/>
          <w:color w:val="auto"/>
        </w:rPr>
        <w:t xml:space="preserve">any Intellectual Property Collateral disclosed on </w:t>
      </w:r>
      <w:r>
        <w:rPr>
          <w:rFonts w:ascii="Arial" w:cs="Arial" w:eastAsia="Arial" w:hAnsi="Arial"/>
          <w:sz w:val="22"/>
          <w:szCs w:val="22"/>
          <w:u w:val="single" w:color="auto"/>
          <w:color w:val="auto"/>
        </w:rPr>
        <w:t>Schedules III</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VI</w:t>
      </w:r>
      <w:r>
        <w:rPr>
          <w:rFonts w:ascii="Arial" w:cs="Arial" w:eastAsia="Arial" w:hAnsi="Arial"/>
          <w:sz w:val="22"/>
          <w:szCs w:val="22"/>
          <w:color w:val="auto"/>
        </w:rPr>
        <w:t xml:space="preserve"> owned by any Grantor, is subsisting and unexpired and, to the knowledge of such Grantor, is valid and enforceable and has not been abandoned or adjudged invalid or unenforceable, in whole or in part;</w:t>
      </w:r>
    </w:p>
    <w:p>
      <w:pPr>
        <w:spacing w:after="0" w:line="186" w:lineRule="exact"/>
        <w:rPr>
          <w:rFonts w:ascii="Arial" w:cs="Arial" w:eastAsia="Arial" w:hAnsi="Arial"/>
          <w:sz w:val="22"/>
          <w:szCs w:val="22"/>
          <w:color w:val="auto"/>
        </w:rPr>
      </w:pPr>
    </w:p>
    <w:p>
      <w:pPr>
        <w:jc w:val="both"/>
        <w:ind w:left="760" w:firstLine="745"/>
        <w:spacing w:after="0" w:line="287" w:lineRule="auto"/>
        <w:tabs>
          <w:tab w:leader="none" w:pos="2048" w:val="left"/>
        </w:tabs>
        <w:numPr>
          <w:ilvl w:val="0"/>
          <w:numId w:val="136"/>
        </w:numPr>
        <w:rPr>
          <w:rFonts w:ascii="Arial" w:cs="Arial" w:eastAsia="Arial" w:hAnsi="Arial"/>
          <w:sz w:val="19"/>
          <w:szCs w:val="19"/>
          <w:color w:val="auto"/>
        </w:rPr>
      </w:pPr>
      <w:r>
        <w:rPr>
          <w:rFonts w:ascii="Arial" w:cs="Arial" w:eastAsia="Arial" w:hAnsi="Arial"/>
          <w:sz w:val="19"/>
          <w:szCs w:val="19"/>
          <w:color w:val="auto"/>
        </w:rPr>
        <w:t>such Grantor is the sole and exclusive owner of the entire and unencumbered right, title and interest in and to all Intellectual Property Collateral owned by such Grantor and to the knowledge of such Grantor, no claim has been made that the use of such Intellectual Property Collateral by such Grantor does or may, conflict with, infringe, misappropriate, dilute, misuse or otherwise violate in any material respect, any of the rights of any third party;</w:t>
      </w:r>
    </w:p>
    <w:p>
      <w:pPr>
        <w:spacing w:after="0" w:line="142" w:lineRule="exact"/>
        <w:rPr>
          <w:rFonts w:ascii="Arial" w:cs="Arial" w:eastAsia="Arial" w:hAnsi="Arial"/>
          <w:sz w:val="19"/>
          <w:szCs w:val="19"/>
          <w:color w:val="auto"/>
        </w:rPr>
      </w:pPr>
    </w:p>
    <w:p>
      <w:pPr>
        <w:jc w:val="both"/>
        <w:ind w:left="760" w:firstLine="745"/>
        <w:spacing w:after="0" w:line="277" w:lineRule="auto"/>
        <w:tabs>
          <w:tab w:leader="none" w:pos="2048" w:val="left"/>
        </w:tabs>
        <w:numPr>
          <w:ilvl w:val="0"/>
          <w:numId w:val="136"/>
        </w:numPr>
        <w:rPr>
          <w:rFonts w:ascii="Arial" w:cs="Arial" w:eastAsia="Arial" w:hAnsi="Arial"/>
          <w:sz w:val="19"/>
          <w:szCs w:val="19"/>
          <w:color w:val="auto"/>
        </w:rPr>
      </w:pPr>
      <w:r>
        <w:rPr>
          <w:rFonts w:ascii="Arial" w:cs="Arial" w:eastAsia="Arial" w:hAnsi="Arial"/>
          <w:sz w:val="19"/>
          <w:szCs w:val="19"/>
          <w:color w:val="auto"/>
        </w:rPr>
        <w:t>such Grantor has made all necessary filings and recordations to protect its interest in any Intellectual Property Collateral owned by such Grantor, including but not limited to filings and recordation to the extent such filing or recordation is necessary for the conduct of the business substantially in the manner presently conducted, including recordations of all of its interests in the Patent Collateral and Trademark Collateral in the United States Patent and Trademark Office (or foreign equivalent), and its claims to the Copyright Collateral in the United States Copyright Office (or foreign equivalent), and, to the extent necessary, has used proper statutory notice in connection with its use of any material Patent, Trademark and Copyright in any of the Intellectual Property Collateral;</w:t>
      </w:r>
    </w:p>
    <w:p>
      <w:pPr>
        <w:spacing w:after="0" w:line="151" w:lineRule="exact"/>
        <w:rPr>
          <w:rFonts w:ascii="Arial" w:cs="Arial" w:eastAsia="Arial" w:hAnsi="Arial"/>
          <w:sz w:val="19"/>
          <w:szCs w:val="19"/>
          <w:color w:val="auto"/>
        </w:rPr>
      </w:pPr>
    </w:p>
    <w:p>
      <w:pPr>
        <w:jc w:val="both"/>
        <w:ind w:left="760" w:firstLine="745"/>
        <w:spacing w:after="0" w:line="245" w:lineRule="auto"/>
        <w:tabs>
          <w:tab w:leader="none" w:pos="2048" w:val="left"/>
        </w:tabs>
        <w:numPr>
          <w:ilvl w:val="0"/>
          <w:numId w:val="136"/>
        </w:numPr>
        <w:rPr>
          <w:rFonts w:ascii="Arial" w:cs="Arial" w:eastAsia="Arial" w:hAnsi="Arial"/>
          <w:sz w:val="21"/>
          <w:szCs w:val="21"/>
          <w:color w:val="auto"/>
        </w:rPr>
      </w:pPr>
      <w:r>
        <w:rPr>
          <w:rFonts w:ascii="Arial" w:cs="Arial" w:eastAsia="Arial" w:hAnsi="Arial"/>
          <w:sz w:val="21"/>
          <w:szCs w:val="21"/>
          <w:color w:val="auto"/>
        </w:rPr>
        <w:t>with respect Trade Secrets owned by any Grantor, such Grantor has taken all reasonable steps to safeguard its Trade Secrets and to its knowledge (A) none of the Trade Secrets of such Grantor has been used, divulged, disclosed or appropriated for the benefit of any other Person other than such Grantor; (B) to such Grantor’s knowledge, no employee, independent contractor or agent of such Grantor has misappropriated any Trade Secrets of any other Person in the course of performance of his or her duties as an employee, independent contractor or agent of such Grantor; and (C) no employee, independent contractor or agent of such Grantor is in default or breach of any material term of any employment agreement, non-disclosure agreement, assignment of inventions agreement or similar agreement or contract relating in any material way to the protection, ownership, development, use or transfer of such Grantor’s Intellectual Property Collateral;</w:t>
      </w:r>
    </w:p>
    <w:p>
      <w:pPr>
        <w:spacing w:after="0" w:line="184" w:lineRule="exact"/>
        <w:rPr>
          <w:rFonts w:ascii="Arial" w:cs="Arial" w:eastAsia="Arial" w:hAnsi="Arial"/>
          <w:sz w:val="21"/>
          <w:szCs w:val="21"/>
          <w:color w:val="auto"/>
        </w:rPr>
      </w:pPr>
    </w:p>
    <w:p>
      <w:pPr>
        <w:ind w:left="2040" w:hanging="535"/>
        <w:spacing w:after="0"/>
        <w:tabs>
          <w:tab w:leader="none" w:pos="204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to such Grantor’s knowledge, no third party is infringing upon any Intellectual Property owned or used by</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such Grantor;</w:t>
      </w:r>
    </w:p>
    <w:p>
      <w:pPr>
        <w:spacing w:after="0" w:line="188" w:lineRule="exact"/>
        <w:rPr>
          <w:rFonts w:ascii="Arial" w:cs="Arial" w:eastAsia="Arial" w:hAnsi="Arial"/>
          <w:sz w:val="19"/>
          <w:szCs w:val="19"/>
          <w:color w:val="auto"/>
        </w:rPr>
      </w:pPr>
    </w:p>
    <w:p>
      <w:pPr>
        <w:jc w:val="both"/>
        <w:ind w:left="760" w:firstLine="745"/>
        <w:spacing w:after="0"/>
        <w:tabs>
          <w:tab w:leader="none" w:pos="2048" w:val="left"/>
        </w:tabs>
        <w:numPr>
          <w:ilvl w:val="0"/>
          <w:numId w:val="136"/>
        </w:numPr>
        <w:rPr>
          <w:rFonts w:ascii="Arial" w:cs="Arial" w:eastAsia="Arial" w:hAnsi="Arial"/>
          <w:sz w:val="22"/>
          <w:szCs w:val="22"/>
          <w:color w:val="auto"/>
        </w:rPr>
      </w:pPr>
      <w:r>
        <w:rPr>
          <w:rFonts w:ascii="Arial" w:cs="Arial" w:eastAsia="Arial" w:hAnsi="Arial"/>
          <w:sz w:val="22"/>
          <w:szCs w:val="22"/>
          <w:color w:val="auto"/>
        </w:rPr>
        <w:t>no settlement or consents, covenants not to sue, nonassertion assurances, or releases have been entered into by such Grantor or to which such Grantor is bound that adversely affects its rights to own or use any Intellectual Property;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8" w:name="page139"/>
    <w:bookmarkEnd w:id="138"/>
    <w:p>
      <w:pPr>
        <w:jc w:val="both"/>
        <w:ind w:firstLine="745"/>
        <w:spacing w:after="0" w:line="297" w:lineRule="auto"/>
        <w:tabs>
          <w:tab w:leader="none" w:pos="1288" w:val="left"/>
        </w:tabs>
        <w:numPr>
          <w:ilvl w:val="0"/>
          <w:numId w:val="137"/>
        </w:numPr>
        <w:rPr>
          <w:rFonts w:ascii="Arial" w:cs="Arial" w:eastAsia="Arial" w:hAnsi="Arial"/>
          <w:sz w:val="19"/>
          <w:szCs w:val="19"/>
          <w:color w:val="auto"/>
        </w:rPr>
      </w:pPr>
      <w:r>
        <w:rPr>
          <w:rFonts w:ascii="Arial" w:cs="Arial" w:eastAsia="Arial" w:hAnsi="Arial"/>
          <w:sz w:val="19"/>
          <w:szCs w:val="19"/>
          <w:color w:val="auto"/>
        </w:rPr>
        <w:t>such Grantor has not made a previous assignment, sale, transfer or agreement constituting a present or future assignment, sale or transfer of any Intellectual Property Collateral for purposes of granting a security interest or as Collateral that has not been terminated or released except as permitted under the Credit Agreement;</w:t>
      </w:r>
    </w:p>
    <w:p>
      <w:pPr>
        <w:spacing w:after="0" w:line="133" w:lineRule="exact"/>
        <w:rPr>
          <w:rFonts w:ascii="Arial" w:cs="Arial" w:eastAsia="Arial" w:hAnsi="Arial"/>
          <w:sz w:val="19"/>
          <w:szCs w:val="19"/>
          <w:color w:val="auto"/>
        </w:rPr>
      </w:pPr>
    </w:p>
    <w:p>
      <w:pPr>
        <w:jc w:val="both"/>
        <w:ind w:firstLine="745"/>
        <w:spacing w:after="0" w:line="287" w:lineRule="auto"/>
        <w:tabs>
          <w:tab w:leader="none" w:pos="1288" w:val="left"/>
        </w:tabs>
        <w:numPr>
          <w:ilvl w:val="0"/>
          <w:numId w:val="137"/>
        </w:numPr>
        <w:rPr>
          <w:rFonts w:ascii="Arial" w:cs="Arial" w:eastAsia="Arial" w:hAnsi="Arial"/>
          <w:sz w:val="19"/>
          <w:szCs w:val="19"/>
          <w:color w:val="auto"/>
        </w:rPr>
      </w:pPr>
      <w:r>
        <w:rPr>
          <w:rFonts w:ascii="Arial" w:cs="Arial" w:eastAsia="Arial" w:hAnsi="Arial"/>
          <w:sz w:val="19"/>
          <w:szCs w:val="19"/>
          <w:color w:val="auto"/>
        </w:rPr>
        <w:t xml:space="preserve">such Grantor has executed and delivered to the Administrative Agent Intellectual Property Collateral security agreements for all material United States Copyrights, Patents and Trademarks owned by such Grantor, including all United States Copyrights, Patents and Trademarks on </w:t>
      </w:r>
      <w:r>
        <w:rPr>
          <w:rFonts w:ascii="Arial" w:cs="Arial" w:eastAsia="Arial" w:hAnsi="Arial"/>
          <w:sz w:val="19"/>
          <w:szCs w:val="19"/>
          <w:u w:val="single" w:color="auto"/>
          <w:color w:val="auto"/>
        </w:rPr>
        <w:t>Schedule III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(as such schedules may be amended or supplemented from time to time by notice by such Grantor to the Administrative Agent);</w:t>
      </w:r>
    </w:p>
    <w:p>
      <w:pPr>
        <w:spacing w:after="0" w:line="142" w:lineRule="exact"/>
        <w:rPr>
          <w:rFonts w:ascii="Arial" w:cs="Arial" w:eastAsia="Arial" w:hAnsi="Arial"/>
          <w:sz w:val="19"/>
          <w:szCs w:val="19"/>
          <w:color w:val="auto"/>
        </w:rPr>
      </w:pPr>
    </w:p>
    <w:p>
      <w:pPr>
        <w:jc w:val="both"/>
        <w:ind w:firstLine="745"/>
        <w:spacing w:after="0" w:line="238" w:lineRule="auto"/>
        <w:tabs>
          <w:tab w:leader="none" w:pos="1288" w:val="left"/>
        </w:tabs>
        <w:numPr>
          <w:ilvl w:val="0"/>
          <w:numId w:val="137"/>
        </w:numPr>
        <w:rPr>
          <w:rFonts w:ascii="Arial" w:cs="Arial" w:eastAsia="Arial" w:hAnsi="Arial"/>
          <w:sz w:val="22"/>
          <w:szCs w:val="22"/>
          <w:color w:val="auto"/>
        </w:rPr>
      </w:pPr>
      <w:r>
        <w:rPr>
          <w:rFonts w:ascii="Arial" w:cs="Arial" w:eastAsia="Arial" w:hAnsi="Arial"/>
          <w:sz w:val="22"/>
          <w:szCs w:val="22"/>
          <w:color w:val="auto"/>
        </w:rPr>
        <w:t>such Grantor uses commercially reasonable standards of quality in the manufacture, distribution and sale of all products sold and in the provision of all services rendered under or in connection with all Trademarks and has taken all commercially reasonable action necessary to ensure that all licensees of the Trademarks owned by such Grantor use such adequate standards of quality;</w:t>
      </w:r>
    </w:p>
    <w:p>
      <w:pPr>
        <w:spacing w:after="0" w:line="184" w:lineRule="exact"/>
        <w:rPr>
          <w:rFonts w:ascii="Arial" w:cs="Arial" w:eastAsia="Arial" w:hAnsi="Arial"/>
          <w:sz w:val="22"/>
          <w:szCs w:val="22"/>
          <w:color w:val="auto"/>
        </w:rPr>
      </w:pPr>
    </w:p>
    <w:p>
      <w:pPr>
        <w:ind w:firstLine="745"/>
        <w:spacing w:after="0" w:line="328" w:lineRule="auto"/>
        <w:tabs>
          <w:tab w:leader="none" w:pos="1288"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consummation of the transactions contemplated by the Credit Agreement and this Security Agreement will not result in the termination or material impairment of any of the Intellectual Property Collateral; and</w:t>
      </w:r>
    </w:p>
    <w:p>
      <w:pPr>
        <w:spacing w:after="0" w:line="104" w:lineRule="exact"/>
        <w:rPr>
          <w:rFonts w:ascii="Arial" w:cs="Arial" w:eastAsia="Arial" w:hAnsi="Arial"/>
          <w:sz w:val="19"/>
          <w:szCs w:val="19"/>
          <w:color w:val="auto"/>
        </w:rPr>
      </w:pPr>
    </w:p>
    <w:p>
      <w:pPr>
        <w:jc w:val="both"/>
        <w:ind w:firstLine="745"/>
        <w:spacing w:after="0" w:line="251" w:lineRule="exact"/>
        <w:tabs>
          <w:tab w:leader="none" w:pos="1288"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to such Grantor’s knowledge, such Grantor owns or is entitled to use by license, lease or other agreement, all Patents, Trademarks, Trade Secrets, Copyrights, mask works, licenses, technology, know</w:t>
      </w:r>
      <w:r>
        <w:rPr>
          <w:rFonts w:ascii="MS PGothic" w:cs="MS PGothic" w:eastAsia="MS PGothic" w:hAnsi="MS PGothic"/>
          <w:sz w:val="22"/>
          <w:szCs w:val="22"/>
          <w:color w:val="auto"/>
        </w:rPr>
        <w:t>‑</w:t>
      </w:r>
      <w:r>
        <w:rPr>
          <w:rFonts w:ascii="Arial" w:cs="Arial" w:eastAsia="Arial" w:hAnsi="Arial"/>
          <w:sz w:val="22"/>
          <w:szCs w:val="22"/>
          <w:color w:val="auto"/>
        </w:rPr>
        <w:t>how, processes and rights with respect to any of the foregoing as necessary to conduct the business and operations of such Grantor substantially in the manner presently conducted.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3.7. </w:t>
      </w:r>
      <w:r>
        <w:rPr>
          <w:rFonts w:ascii="Arial" w:cs="Arial" w:eastAsia="Arial" w:hAnsi="Arial"/>
          <w:sz w:val="22"/>
          <w:szCs w:val="22"/>
          <w:u w:val="single" w:color="auto"/>
          <w:color w:val="auto"/>
        </w:rPr>
        <w:t>Validity, Etc.</w:t>
      </w:r>
    </w:p>
    <w:p>
      <w:pPr>
        <w:spacing w:after="0" w:line="206" w:lineRule="exact"/>
        <w:rPr>
          <w:sz w:val="20"/>
          <w:szCs w:val="20"/>
          <w:color w:val="auto"/>
        </w:rPr>
      </w:pPr>
    </w:p>
    <w:p>
      <w:pPr>
        <w:ind w:firstLine="745"/>
        <w:spacing w:after="0" w:line="274" w:lineRule="auto"/>
        <w:tabs>
          <w:tab w:leader="none" w:pos="1288"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This Security Agreement creates a valid security interest in the Collateral securing the payment of the Obligations to the extent such security interest may be created pursuant to Article 9 of the UCC.</w:t>
      </w:r>
    </w:p>
    <w:p>
      <w:pPr>
        <w:spacing w:after="0" w:line="150" w:lineRule="exact"/>
        <w:rPr>
          <w:rFonts w:ascii="Arial" w:cs="Arial" w:eastAsia="Arial" w:hAnsi="Arial"/>
          <w:sz w:val="21"/>
          <w:szCs w:val="21"/>
          <w:color w:val="auto"/>
        </w:rPr>
      </w:pPr>
    </w:p>
    <w:p>
      <w:pPr>
        <w:jc w:val="both"/>
        <w:ind w:firstLine="745"/>
        <w:spacing w:after="0" w:line="248" w:lineRule="exact"/>
        <w:tabs>
          <w:tab w:leader="none" w:pos="1288"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As of the Closing Date (or the date such Grantor becomes a party to this Security Agreement, as applicable), each Grantor has filed or caused to be filed all UCC</w:t>
      </w:r>
      <w:r>
        <w:rPr>
          <w:rFonts w:ascii="MS PGothic" w:cs="MS PGothic" w:eastAsia="MS PGothic" w:hAnsi="MS PGothic"/>
          <w:sz w:val="22"/>
          <w:szCs w:val="22"/>
          <w:color w:val="auto"/>
        </w:rPr>
        <w:t>‑</w:t>
      </w:r>
      <w:r>
        <w:rPr>
          <w:rFonts w:ascii="Arial" w:cs="Arial" w:eastAsia="Arial" w:hAnsi="Arial"/>
          <w:sz w:val="22"/>
          <w:szCs w:val="22"/>
          <w:color w:val="auto"/>
        </w:rPr>
        <w:t xml:space="preserve">1 financing statements in the filing office for each Grantor’s jurisdiction of organization listed in </w:t>
      </w:r>
      <w:r>
        <w:rPr>
          <w:rFonts w:ascii="Arial" w:cs="Arial" w:eastAsia="Arial" w:hAnsi="Arial"/>
          <w:sz w:val="22"/>
          <w:szCs w:val="22"/>
          <w:u w:val="single" w:color="auto"/>
          <w:color w:val="auto"/>
        </w:rPr>
        <w:t>Item A</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(collectively, the “</w:t>
      </w:r>
      <w:r>
        <w:rPr>
          <w:rFonts w:ascii="Arial" w:cs="Arial" w:eastAsia="Arial" w:hAnsi="Arial"/>
          <w:sz w:val="22"/>
          <w:szCs w:val="22"/>
          <w:u w:val="single" w:color="auto"/>
          <w:color w:val="auto"/>
        </w:rPr>
        <w:t>Financing Statements</w:t>
      </w:r>
      <w:r>
        <w:rPr>
          <w:rFonts w:ascii="Arial" w:cs="Arial" w:eastAsia="Arial" w:hAnsi="Arial"/>
          <w:sz w:val="22"/>
          <w:szCs w:val="22"/>
          <w:color w:val="auto"/>
        </w:rPr>
        <w:t>”) (or has delivered to the Administrative Agent the Financing Statements suitable for timely and proper filing in such offices) and has taken all other actions necessary for the Administrative Agent to obtain control of the Collateral as provided in Sections 9-104, 9-105, 9-106 and 9-107 of the UCC.</w:t>
      </w:r>
    </w:p>
    <w:p>
      <w:pPr>
        <w:spacing w:after="0" w:line="187" w:lineRule="exact"/>
        <w:rPr>
          <w:rFonts w:ascii="Arial" w:cs="Arial" w:eastAsia="Arial" w:hAnsi="Arial"/>
          <w:sz w:val="22"/>
          <w:szCs w:val="22"/>
          <w:color w:val="auto"/>
        </w:rPr>
      </w:pPr>
    </w:p>
    <w:p>
      <w:pPr>
        <w:jc w:val="both"/>
        <w:ind w:firstLine="745"/>
        <w:spacing w:after="0" w:line="287" w:lineRule="auto"/>
        <w:tabs>
          <w:tab w:leader="none" w:pos="1288" w:val="left"/>
        </w:tabs>
        <w:numPr>
          <w:ilvl w:val="0"/>
          <w:numId w:val="138"/>
        </w:numPr>
        <w:rPr>
          <w:rFonts w:ascii="Arial" w:cs="Arial" w:eastAsia="Arial" w:hAnsi="Arial"/>
          <w:sz w:val="19"/>
          <w:szCs w:val="19"/>
          <w:color w:val="auto"/>
        </w:rPr>
      </w:pPr>
      <w:r>
        <w:rPr>
          <w:rFonts w:ascii="Arial" w:cs="Arial" w:eastAsia="Arial" w:hAnsi="Arial"/>
          <w:sz w:val="19"/>
          <w:szCs w:val="19"/>
          <w:color w:val="auto"/>
        </w:rPr>
        <w:t>Upon the filing of the Financing Statements with the appropriate agencies therefor the security interests created under this Security Agreement shall constitute a perfected security interest in the Collateral described on such Financing Statements in favor of the Administrative Agent to the extent that a security interest therein may be perfected by filing a financing statement pursuant to the relevant UCC, prior to all other Liens, except</w:t>
      </w:r>
    </w:p>
    <w:p>
      <w:pPr>
        <w:spacing w:after="0" w:line="143"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157480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34" w:right="339" w:bottom="1440" w:gutter="0" w:footer="0" w:header="0"/>
        </w:sectPr>
      </w:pPr>
    </w:p>
    <w:bookmarkStart w:id="139" w:name="page140"/>
    <w:bookmarkEnd w:id="139"/>
    <w:p>
      <w:pPr>
        <w:ind w:left="760"/>
        <w:spacing w:after="0" w:line="250" w:lineRule="auto"/>
        <w:rPr>
          <w:sz w:val="20"/>
          <w:szCs w:val="20"/>
          <w:color w:val="auto"/>
        </w:rPr>
      </w:pPr>
      <w:r>
        <w:rPr>
          <w:rFonts w:ascii="Arial" w:cs="Arial" w:eastAsia="Arial" w:hAnsi="Arial"/>
          <w:sz w:val="22"/>
          <w:szCs w:val="22"/>
          <w:color w:val="auto"/>
        </w:rPr>
        <w:t>for Permitted Liens (in which case such security interest shall be second in priority of right only to the Permitted Liens until the obligations secured by such Permitted Liens have been satisfied).</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3.8. </w:t>
      </w:r>
      <w:r>
        <w:rPr>
          <w:rFonts w:ascii="Arial" w:cs="Arial" w:eastAsia="Arial" w:hAnsi="Arial"/>
          <w:sz w:val="22"/>
          <w:szCs w:val="22"/>
          <w:u w:val="single" w:color="auto"/>
          <w:color w:val="auto"/>
        </w:rPr>
        <w:t>Authorization, Approval, Etc.</w:t>
      </w:r>
      <w:r>
        <w:rPr>
          <w:rFonts w:ascii="Arial" w:cs="Arial" w:eastAsia="Arial" w:hAnsi="Arial"/>
          <w:sz w:val="22"/>
          <w:szCs w:val="22"/>
          <w:color w:val="auto"/>
        </w:rPr>
        <w:t xml:space="preserve"> Except as have been obtained or made and are in full force and effect, no authorization, approval or other action by, and no notice to or filing with, any Governmental Authority or any other third party is required either:</w:t>
      </w:r>
    </w:p>
    <w:p>
      <w:pPr>
        <w:spacing w:after="0" w:line="186" w:lineRule="exact"/>
        <w:rPr>
          <w:sz w:val="20"/>
          <w:szCs w:val="20"/>
          <w:color w:val="auto"/>
        </w:rPr>
      </w:pPr>
    </w:p>
    <w:p>
      <w:pPr>
        <w:ind w:left="760" w:firstLine="745"/>
        <w:spacing w:after="0" w:line="250" w:lineRule="auto"/>
        <w:tabs>
          <w:tab w:leader="none" w:pos="2048" w:val="left"/>
        </w:tabs>
        <w:numPr>
          <w:ilvl w:val="0"/>
          <w:numId w:val="139"/>
        </w:numPr>
        <w:rPr>
          <w:rFonts w:ascii="Arial" w:cs="Arial" w:eastAsia="Arial" w:hAnsi="Arial"/>
          <w:sz w:val="22"/>
          <w:szCs w:val="22"/>
          <w:color w:val="auto"/>
        </w:rPr>
      </w:pPr>
      <w:r>
        <w:rPr>
          <w:rFonts w:ascii="Arial" w:cs="Arial" w:eastAsia="Arial" w:hAnsi="Arial"/>
          <w:sz w:val="22"/>
          <w:szCs w:val="22"/>
          <w:color w:val="auto"/>
        </w:rPr>
        <w:t>for the grant by the Grantors of the security interest granted hereby or for the execution, delivery and performance of this Security Agreement by the Grantors;</w:t>
      </w:r>
    </w:p>
    <w:p>
      <w:pPr>
        <w:spacing w:after="0" w:line="174" w:lineRule="exact"/>
        <w:rPr>
          <w:rFonts w:ascii="Arial" w:cs="Arial" w:eastAsia="Arial" w:hAnsi="Arial"/>
          <w:sz w:val="22"/>
          <w:szCs w:val="22"/>
          <w:color w:val="auto"/>
        </w:rPr>
      </w:pPr>
    </w:p>
    <w:p>
      <w:pPr>
        <w:jc w:val="both"/>
        <w:ind w:left="760" w:firstLine="745"/>
        <w:spacing w:after="0" w:line="234" w:lineRule="auto"/>
        <w:tabs>
          <w:tab w:leader="none" w:pos="2048" w:val="left"/>
        </w:tabs>
        <w:numPr>
          <w:ilvl w:val="0"/>
          <w:numId w:val="139"/>
        </w:numPr>
        <w:rPr>
          <w:rFonts w:ascii="Arial" w:cs="Arial" w:eastAsia="Arial" w:hAnsi="Arial"/>
          <w:sz w:val="22"/>
          <w:szCs w:val="22"/>
          <w:color w:val="auto"/>
        </w:rPr>
      </w:pPr>
      <w:r>
        <w:rPr>
          <w:rFonts w:ascii="Arial" w:cs="Arial" w:eastAsia="Arial" w:hAnsi="Arial"/>
          <w:sz w:val="22"/>
          <w:szCs w:val="22"/>
          <w:color w:val="auto"/>
        </w:rPr>
        <w:t>for the perfection or maintenance of the security interests hereunder including the first priority nature of such security interest (except for the filing of Financing Statements, any necessary continuation statements and amendments, in each case, as required by the UCC, the execution of Control Agreements, or, with respect to Intellectual Property Collateral, the recordation of any agreements with the United States Patent and Trademark Office or the United States Copyright Office or, with respect to foreign Intellectual Property Collateral, the taking of appropriate action under applicable foreign Law and, with respect to after-acquired Intellectual Property Collateral, any subsequent filings in such applicable intellectual property offices) or the exercise by the Administrative Agent of its rights and remedies hereunder; or</w:t>
      </w:r>
    </w:p>
    <w:p>
      <w:pPr>
        <w:spacing w:after="0" w:line="186" w:lineRule="exact"/>
        <w:rPr>
          <w:rFonts w:ascii="Arial" w:cs="Arial" w:eastAsia="Arial" w:hAnsi="Arial"/>
          <w:sz w:val="22"/>
          <w:szCs w:val="22"/>
          <w:color w:val="auto"/>
        </w:rPr>
      </w:pPr>
    </w:p>
    <w:p>
      <w:pPr>
        <w:jc w:val="both"/>
        <w:ind w:left="760" w:firstLine="745"/>
        <w:spacing w:after="0" w:line="236" w:lineRule="auto"/>
        <w:tabs>
          <w:tab w:leader="none" w:pos="2048" w:val="left"/>
        </w:tabs>
        <w:numPr>
          <w:ilvl w:val="0"/>
          <w:numId w:val="139"/>
        </w:numPr>
        <w:rPr>
          <w:rFonts w:ascii="Arial" w:cs="Arial" w:eastAsia="Arial" w:hAnsi="Arial"/>
          <w:sz w:val="22"/>
          <w:szCs w:val="22"/>
          <w:color w:val="auto"/>
        </w:rPr>
      </w:pPr>
      <w:r>
        <w:rPr>
          <w:rFonts w:ascii="Arial" w:cs="Arial" w:eastAsia="Arial" w:hAnsi="Arial"/>
          <w:sz w:val="22"/>
          <w:szCs w:val="22"/>
          <w:color w:val="auto"/>
        </w:rPr>
        <w:t>for the exercise by the Administrative Agent of the voting or other rights provided for in this Security Agreement, except (i) with respect to any securities issued by a Subsidiary of the Grantors, as may be required in connection with a disposition of such securities by Laws affecting the offering and sale of securities generally, the remedies in respect of the Collateral pursuant to this Security Agreement and (ii) any “change of control” or similar filings required by state licensing agencies.</w:t>
      </w:r>
    </w:p>
    <w:p>
      <w:pPr>
        <w:spacing w:after="0" w:line="187"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SECTION 3.9. </w:t>
      </w:r>
      <w:r>
        <w:rPr>
          <w:rFonts w:ascii="Arial" w:cs="Arial" w:eastAsia="Arial" w:hAnsi="Arial"/>
          <w:sz w:val="22"/>
          <w:szCs w:val="22"/>
          <w:u w:val="single" w:color="auto"/>
          <w:color w:val="auto"/>
        </w:rPr>
        <w:t>Best Interests</w:t>
      </w:r>
      <w:r>
        <w:rPr>
          <w:rFonts w:ascii="Arial" w:cs="Arial" w:eastAsia="Arial" w:hAnsi="Arial"/>
          <w:sz w:val="22"/>
          <w:szCs w:val="22"/>
          <w:color w:val="auto"/>
        </w:rPr>
        <w:t>. It is in the best interests of each Grantor (other than the Borrower) to execute this Security Agreement inasmuch as such Grantor will, as a result of being an Affiliate of the Borrower, derive substantial direct and indirect benefits from the Loans made to the Borrower by the Lenders pursuant to the Credit Agreement, and each Grantor agrees that the Secured Parties are relying on this representation in agreeing to make such Loans pursuant to the Credit Agreement to the Borrower.</w:t>
      </w:r>
    </w:p>
    <w:p>
      <w:pPr>
        <w:spacing w:after="0" w:line="200" w:lineRule="exact"/>
        <w:rPr>
          <w:sz w:val="20"/>
          <w:szCs w:val="20"/>
          <w:color w:val="auto"/>
        </w:rPr>
      </w:pPr>
    </w:p>
    <w:p>
      <w:pPr>
        <w:spacing w:after="0" w:line="20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COVENANTS</w:t>
      </w:r>
    </w:p>
    <w:p>
      <w:pPr>
        <w:spacing w:after="0" w:line="18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Each Grantor covenants and agrees that, until the Termination Date, such Grantor will perform, comply with and be bound by the obligations set forth below.</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As to Investment Property, Etc</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4.1.1. </w:t>
      </w:r>
      <w:r>
        <w:rPr>
          <w:rFonts w:ascii="Arial" w:cs="Arial" w:eastAsia="Arial" w:hAnsi="Arial"/>
          <w:sz w:val="22"/>
          <w:szCs w:val="22"/>
          <w:u w:val="single" w:color="auto"/>
          <w:color w:val="auto"/>
        </w:rPr>
        <w:t>Capital Securities of Subsidiaries</w:t>
      </w:r>
      <w:r>
        <w:rPr>
          <w:rFonts w:ascii="Arial" w:cs="Arial" w:eastAsia="Arial" w:hAnsi="Arial"/>
          <w:sz w:val="22"/>
          <w:szCs w:val="22"/>
          <w:color w:val="auto"/>
        </w:rPr>
        <w:t>. No Grantor will allow any of its Subsidiaries: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0" w:name="page141"/>
    <w:bookmarkEnd w:id="140"/>
    <w:p>
      <w:pPr>
        <w:ind w:left="760" w:right="20" w:firstLine="745"/>
        <w:spacing w:after="0" w:line="250" w:lineRule="auto"/>
        <w:tabs>
          <w:tab w:leader="none" w:pos="2048" w:val="left"/>
        </w:tabs>
        <w:numPr>
          <w:ilvl w:val="1"/>
          <w:numId w:val="140"/>
        </w:numPr>
        <w:rPr>
          <w:rFonts w:ascii="Arial" w:cs="Arial" w:eastAsia="Arial" w:hAnsi="Arial"/>
          <w:sz w:val="22"/>
          <w:szCs w:val="22"/>
          <w:color w:val="auto"/>
        </w:rPr>
      </w:pPr>
      <w:r>
        <w:rPr>
          <w:rFonts w:ascii="Arial" w:cs="Arial" w:eastAsia="Arial" w:hAnsi="Arial"/>
          <w:sz w:val="22"/>
          <w:szCs w:val="22"/>
          <w:color w:val="auto"/>
        </w:rPr>
        <w:t>that is a corporation, business trust, joint stock company or similar Person, to issue Uncertificated Securities after the date hereof;</w:t>
      </w:r>
    </w:p>
    <w:p>
      <w:pPr>
        <w:spacing w:after="0" w:line="174" w:lineRule="exact"/>
        <w:rPr>
          <w:rFonts w:ascii="Arial" w:cs="Arial" w:eastAsia="Arial" w:hAnsi="Arial"/>
          <w:sz w:val="22"/>
          <w:szCs w:val="22"/>
          <w:color w:val="auto"/>
        </w:rPr>
      </w:pPr>
    </w:p>
    <w:p>
      <w:pPr>
        <w:ind w:left="760" w:firstLine="745"/>
        <w:spacing w:after="0" w:line="239" w:lineRule="auto"/>
        <w:tabs>
          <w:tab w:leader="none" w:pos="2048" w:val="left"/>
        </w:tabs>
        <w:numPr>
          <w:ilvl w:val="1"/>
          <w:numId w:val="140"/>
        </w:numPr>
        <w:rPr>
          <w:rFonts w:ascii="Arial" w:cs="Arial" w:eastAsia="Arial" w:hAnsi="Arial"/>
          <w:sz w:val="22"/>
          <w:szCs w:val="22"/>
          <w:color w:val="auto"/>
        </w:rPr>
      </w:pPr>
      <w:r>
        <w:rPr>
          <w:rFonts w:ascii="Arial" w:cs="Arial" w:eastAsia="Arial" w:hAnsi="Arial"/>
          <w:sz w:val="22"/>
          <w:szCs w:val="22"/>
          <w:color w:val="auto"/>
        </w:rPr>
        <w:t>that is a partnership or limited liability company, to (i) issue Capital Securities that are to be dealt in or traded on securities exchanges or in securities markets,</w:t>
      </w:r>
    </w:p>
    <w:p>
      <w:pPr>
        <w:ind w:left="760" w:right="20" w:hanging="3"/>
        <w:spacing w:after="0" w:line="236" w:lineRule="auto"/>
        <w:tabs>
          <w:tab w:leader="none" w:pos="1103" w:val="left"/>
        </w:tabs>
        <w:numPr>
          <w:ilvl w:val="0"/>
          <w:numId w:val="141"/>
        </w:numPr>
        <w:rPr>
          <w:rFonts w:ascii="Arial" w:cs="Arial" w:eastAsia="Arial" w:hAnsi="Arial"/>
          <w:sz w:val="22"/>
          <w:szCs w:val="22"/>
          <w:color w:val="auto"/>
        </w:rPr>
      </w:pPr>
      <w:r>
        <w:rPr>
          <w:rFonts w:ascii="Arial" w:cs="Arial" w:eastAsia="Arial" w:hAnsi="Arial"/>
          <w:sz w:val="22"/>
          <w:szCs w:val="22"/>
          <w:color w:val="auto"/>
        </w:rPr>
        <w:t>expressly provide in its Organic Documents that its Capital Securities are securities governed by Article 8 of the UCC, or (iii) place such Subsidiary’s Capital Securities in a Securities Account; and</w:t>
      </w:r>
    </w:p>
    <w:p>
      <w:pPr>
        <w:spacing w:after="0" w:line="186" w:lineRule="exact"/>
        <w:rPr>
          <w:rFonts w:ascii="Arial" w:cs="Arial" w:eastAsia="Arial" w:hAnsi="Arial"/>
          <w:sz w:val="22"/>
          <w:szCs w:val="22"/>
          <w:color w:val="auto"/>
        </w:rPr>
      </w:pPr>
    </w:p>
    <w:p>
      <w:pPr>
        <w:jc w:val="both"/>
        <w:ind w:left="760" w:firstLine="745"/>
        <w:spacing w:after="0"/>
        <w:tabs>
          <w:tab w:leader="none" w:pos="2048" w:val="left"/>
        </w:tabs>
        <w:numPr>
          <w:ilvl w:val="1"/>
          <w:numId w:val="141"/>
        </w:numPr>
        <w:rPr>
          <w:rFonts w:ascii="Arial" w:cs="Arial" w:eastAsia="Arial" w:hAnsi="Arial"/>
          <w:sz w:val="22"/>
          <w:szCs w:val="22"/>
          <w:color w:val="auto"/>
        </w:rPr>
      </w:pPr>
      <w:r>
        <w:rPr>
          <w:rFonts w:ascii="Arial" w:cs="Arial" w:eastAsia="Arial" w:hAnsi="Arial"/>
          <w:sz w:val="22"/>
          <w:szCs w:val="22"/>
          <w:color w:val="auto"/>
        </w:rPr>
        <w:t>to issue Capital Securities in addition to or in substitution for the Capital Securities pledged hereunder, except to such Grantor (and such Capital Securities are immediately pledged and delivered to the Administrative Agent pursuant to the terms of this Security Agreement).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4.1.2. </w:t>
      </w:r>
      <w:r>
        <w:rPr>
          <w:rFonts w:ascii="Arial" w:cs="Arial" w:eastAsia="Arial" w:hAnsi="Arial"/>
          <w:sz w:val="22"/>
          <w:szCs w:val="22"/>
          <w:u w:val="single" w:color="auto"/>
          <w:color w:val="auto"/>
        </w:rPr>
        <w:t>Investment Property (other than Certificated Securities)</w:t>
      </w:r>
      <w:r>
        <w:rPr>
          <w:rFonts w:ascii="Arial" w:cs="Arial" w:eastAsia="Arial" w:hAnsi="Arial"/>
          <w:sz w:val="22"/>
          <w:szCs w:val="22"/>
          <w:color w:val="auto"/>
        </w:rPr>
        <w:t>.</w:t>
      </w:r>
    </w:p>
    <w:p>
      <w:pPr>
        <w:spacing w:after="0" w:line="206" w:lineRule="exact"/>
        <w:rPr>
          <w:sz w:val="20"/>
          <w:szCs w:val="20"/>
          <w:color w:val="auto"/>
        </w:rPr>
      </w:pPr>
    </w:p>
    <w:p>
      <w:pPr>
        <w:jc w:val="both"/>
        <w:ind w:left="760" w:firstLine="745"/>
        <w:spacing w:after="0" w:line="235" w:lineRule="auto"/>
        <w:tabs>
          <w:tab w:leader="none" w:pos="1941" w:val="left"/>
        </w:tabs>
        <w:numPr>
          <w:ilvl w:val="0"/>
          <w:numId w:val="142"/>
        </w:numPr>
        <w:rPr>
          <w:rFonts w:ascii="Arial" w:cs="Arial" w:eastAsia="Arial" w:hAnsi="Arial"/>
          <w:sz w:val="22"/>
          <w:szCs w:val="22"/>
          <w:color w:val="auto"/>
        </w:rPr>
      </w:pPr>
      <w:r>
        <w:rPr>
          <w:rFonts w:ascii="Arial" w:cs="Arial" w:eastAsia="Arial" w:hAnsi="Arial"/>
          <w:sz w:val="22"/>
          <w:szCs w:val="22"/>
          <w:color w:val="auto"/>
        </w:rPr>
        <w:t>With respect to any Deposit Accounts, Securities Accounts, Commodity Accounts, Commodity Contracts or Security Entitlements constituting Investment Property owned or held by any Grantor, such Grantor will cause (except for Excluded Accounts), the intermediary maintaining such Investment Property to execute a Control Agreement relating to such Investment Property or other assets pursuant to which such intermediary agrees to comply with the Administrative Agent’s instructions with respect to such Investment Property or other assets without further consent by such Grantor.</w:t>
      </w:r>
    </w:p>
    <w:p>
      <w:pPr>
        <w:spacing w:after="0" w:line="187" w:lineRule="exact"/>
        <w:rPr>
          <w:rFonts w:ascii="Arial" w:cs="Arial" w:eastAsia="Arial" w:hAnsi="Arial"/>
          <w:sz w:val="22"/>
          <w:szCs w:val="22"/>
          <w:color w:val="auto"/>
        </w:rPr>
      </w:pPr>
    </w:p>
    <w:p>
      <w:pPr>
        <w:jc w:val="both"/>
        <w:ind w:left="760" w:firstLine="745"/>
        <w:spacing w:after="0" w:line="235" w:lineRule="auto"/>
        <w:tabs>
          <w:tab w:leader="none" w:pos="1941" w:val="left"/>
        </w:tabs>
        <w:numPr>
          <w:ilvl w:val="0"/>
          <w:numId w:val="142"/>
        </w:numPr>
        <w:rPr>
          <w:rFonts w:ascii="Arial" w:cs="Arial" w:eastAsia="Arial" w:hAnsi="Arial"/>
          <w:sz w:val="22"/>
          <w:szCs w:val="22"/>
          <w:color w:val="auto"/>
        </w:rPr>
      </w:pPr>
      <w:r>
        <w:rPr>
          <w:rFonts w:ascii="Arial" w:cs="Arial" w:eastAsia="Arial" w:hAnsi="Arial"/>
          <w:sz w:val="22"/>
          <w:szCs w:val="22"/>
          <w:color w:val="auto"/>
        </w:rPr>
        <w:t>With respect to any Uncertificated Securities (other than Uncertificated Securities credited to a Securities Account) constituting Investment Property owned or held by any Grantor, such Grantor will cause the issuer of such securities that is not a party hereto to either (i) register the Administrative Agent as the registered owner thereof on the books and records of the issuer or (ii) execute a Control Agreement relating to such Investment Property pursuant to which the issuer agrees to comply with the Administrative Agent’s instructions with respect to such Uncertificated Securities without further consent by such Grantor.</w:t>
      </w:r>
    </w:p>
    <w:p>
      <w:pPr>
        <w:spacing w:after="0" w:line="18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4.1.3. </w:t>
      </w:r>
      <w:r>
        <w:rPr>
          <w:rFonts w:ascii="Arial" w:cs="Arial" w:eastAsia="Arial" w:hAnsi="Arial"/>
          <w:sz w:val="22"/>
          <w:szCs w:val="22"/>
          <w:u w:val="single" w:color="auto"/>
          <w:color w:val="auto"/>
        </w:rPr>
        <w:t>Certificated Securities (Stock Powers)</w:t>
      </w:r>
      <w:r>
        <w:rPr>
          <w:rFonts w:ascii="Arial" w:cs="Arial" w:eastAsia="Arial" w:hAnsi="Arial"/>
          <w:sz w:val="22"/>
          <w:szCs w:val="22"/>
          <w:color w:val="auto"/>
        </w:rPr>
        <w:t>. Each Grantor agrees that all Certificated Securities constituting Collateral, including the Capital Securities delivered by such Grantor pursuant to this Security Agreement, will be accompanied by duly executed undated blank stock powers, or other equivalent instruments of transfer reasonably acceptable to the Administrative Agent.</w:t>
      </w:r>
    </w:p>
    <w:p>
      <w:pPr>
        <w:spacing w:after="0" w:line="185" w:lineRule="exact"/>
        <w:rPr>
          <w:sz w:val="20"/>
          <w:szCs w:val="20"/>
          <w:color w:val="auto"/>
        </w:rPr>
      </w:pPr>
    </w:p>
    <w:p>
      <w:pPr>
        <w:jc w:val="both"/>
        <w:ind w:firstLine="749"/>
        <w:spacing w:after="0" w:line="248" w:lineRule="exact"/>
        <w:rPr>
          <w:sz w:val="20"/>
          <w:szCs w:val="20"/>
          <w:color w:val="auto"/>
        </w:rPr>
      </w:pPr>
      <w:r>
        <w:rPr>
          <w:rFonts w:ascii="Arial" w:cs="Arial" w:eastAsia="Arial" w:hAnsi="Arial"/>
          <w:sz w:val="19"/>
          <w:szCs w:val="19"/>
          <w:color w:val="auto"/>
        </w:rPr>
        <w:t xml:space="preserve">SECTION 4.1.4. </w:t>
      </w:r>
      <w:r>
        <w:rPr>
          <w:rFonts w:ascii="Arial" w:cs="Arial" w:eastAsia="Arial" w:hAnsi="Arial"/>
          <w:sz w:val="19"/>
          <w:szCs w:val="19"/>
          <w:u w:val="single" w:color="auto"/>
          <w:color w:val="auto"/>
        </w:rPr>
        <w:t>Continuous Pledge</w:t>
      </w:r>
      <w:r>
        <w:rPr>
          <w:rFonts w:ascii="Arial" w:cs="Arial" w:eastAsia="Arial" w:hAnsi="Arial"/>
          <w:sz w:val="19"/>
          <w:szCs w:val="19"/>
          <w:color w:val="auto"/>
        </w:rPr>
        <w:t>. Each Grantor will (subject to the terms of the Credit Agreement) (a) deliver to the Administrative Agent all Investment Property and all Payment Intangibles to the extent that such Investment Property or Payment Intangibles are evidenced by a Document, Instrument, Promissory Note or Chattel Paper (other than any Document, Instrument, Promissory Note or Chattel Paper not exceeding $100,000 in the principal amount, individually or in the aggregate), and (b) at all times keep pledged to the Administrative Agent pursuant hereto, on a first</w:t>
      </w:r>
      <w:r>
        <w:rPr>
          <w:rFonts w:ascii="MS PGothic" w:cs="MS PGothic" w:eastAsia="MS PGothic" w:hAnsi="MS PGothic"/>
          <w:sz w:val="19"/>
          <w:szCs w:val="19"/>
          <w:color w:val="auto"/>
        </w:rPr>
        <w:t>‑</w:t>
      </w:r>
      <w:r>
        <w:rPr>
          <w:rFonts w:ascii="Arial" w:cs="Arial" w:eastAsia="Arial" w:hAnsi="Arial"/>
          <w:sz w:val="19"/>
          <w:szCs w:val="19"/>
          <w:color w:val="auto"/>
        </w:rPr>
        <w:t>priority, perfected basis, a security interest therein and in all interest and principal with respect to such Payment Intangibles, and all Proceeds and rights from time to time received by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1" w:name="page142"/>
    <w:bookmarkEnd w:id="141"/>
    <w:p>
      <w:pPr>
        <w:jc w:val="both"/>
        <w:spacing w:after="0" w:line="287" w:lineRule="auto"/>
        <w:rPr>
          <w:sz w:val="20"/>
          <w:szCs w:val="20"/>
          <w:color w:val="auto"/>
        </w:rPr>
      </w:pPr>
      <w:r>
        <w:rPr>
          <w:rFonts w:ascii="Arial" w:cs="Arial" w:eastAsia="Arial" w:hAnsi="Arial"/>
          <w:sz w:val="19"/>
          <w:szCs w:val="19"/>
          <w:color w:val="auto"/>
        </w:rPr>
        <w:t>distributable to such Grantor in respect of any of the foregoing Collateral. Each Grantor agrees that it will, promptly following receipt thereof, deliver to the Administrative Agent possession of all originals of negotiable Documents, Instruments, Promissory Notes and Chattel Paper that it acquires following the Closing Date (other than any Document, Instrument, Promissory Note or Chattel Paper not exceeding $100,000 in the principal amount individually or in the aggregate).</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4.1.5. </w:t>
      </w:r>
      <w:r>
        <w:rPr>
          <w:rFonts w:ascii="Arial" w:cs="Arial" w:eastAsia="Arial" w:hAnsi="Arial"/>
          <w:sz w:val="22"/>
          <w:szCs w:val="22"/>
          <w:u w:val="single" w:color="auto"/>
          <w:color w:val="auto"/>
        </w:rPr>
        <w:t>Voting Rights, Dividends, Etc</w:t>
      </w:r>
      <w:r>
        <w:rPr>
          <w:rFonts w:ascii="Arial" w:cs="Arial" w:eastAsia="Arial" w:hAnsi="Arial"/>
          <w:sz w:val="22"/>
          <w:szCs w:val="22"/>
          <w:color w:val="auto"/>
        </w:rPr>
        <w:t>. Each Grantor agrees:</w:t>
      </w:r>
    </w:p>
    <w:p>
      <w:pPr>
        <w:spacing w:after="0" w:line="206" w:lineRule="exact"/>
        <w:rPr>
          <w:sz w:val="20"/>
          <w:szCs w:val="20"/>
          <w:color w:val="auto"/>
        </w:rPr>
      </w:pPr>
    </w:p>
    <w:p>
      <w:pPr>
        <w:jc w:val="both"/>
        <w:ind w:left="760" w:firstLine="745"/>
        <w:spacing w:after="0" w:line="246" w:lineRule="auto"/>
        <w:tabs>
          <w:tab w:leader="none" w:pos="2048" w:val="left"/>
        </w:tabs>
        <w:numPr>
          <w:ilvl w:val="0"/>
          <w:numId w:val="143"/>
        </w:numPr>
        <w:rPr>
          <w:rFonts w:ascii="Arial" w:cs="Arial" w:eastAsia="Arial" w:hAnsi="Arial"/>
          <w:sz w:val="21"/>
          <w:szCs w:val="21"/>
          <w:color w:val="auto"/>
        </w:rPr>
      </w:pPr>
      <w:r>
        <w:rPr>
          <w:rFonts w:ascii="Arial" w:cs="Arial" w:eastAsia="Arial" w:hAnsi="Arial"/>
          <w:sz w:val="21"/>
          <w:szCs w:val="21"/>
          <w:color w:val="auto"/>
        </w:rPr>
        <w:t>upon receipt of notice of the occurrence and continuance of an Event of Default from the Administrative Agent and upon written request therefor by the Administrative Agent, so long as such Event of Default shall continue, to deliver (properly endorsed where required hereby or requested by the Administrative Agent) to the Administrative Agent all dividends and Distributions with respect to Investment Property; all interest, principal, other cash payments on Payment Intangibles; and all Proceeds of the Collateral, in each case thereafter received by such Grantor, all of which shall be held by the Administrative Agent as additional Collateral, except for payments made in accordance with Section 8.6 of the Credit Agreement; and</w:t>
      </w:r>
    </w:p>
    <w:p>
      <w:pPr>
        <w:spacing w:after="0" w:line="184" w:lineRule="exact"/>
        <w:rPr>
          <w:rFonts w:ascii="Arial" w:cs="Arial" w:eastAsia="Arial" w:hAnsi="Arial"/>
          <w:sz w:val="21"/>
          <w:szCs w:val="21"/>
          <w:color w:val="auto"/>
        </w:rPr>
      </w:pPr>
    </w:p>
    <w:p>
      <w:pPr>
        <w:jc w:val="both"/>
        <w:ind w:left="760" w:firstLine="745"/>
        <w:spacing w:after="0"/>
        <w:tabs>
          <w:tab w:leader="none" w:pos="2048"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immediately upon the occurrence and during the continuance of an Event of Default and so long as the Administrative Agent has notified such Grantor of the Administrative Agent’s intention to exercise its voting power under this </w:t>
      </w:r>
      <w:r>
        <w:rPr>
          <w:rFonts w:ascii="Arial" w:cs="Arial" w:eastAsia="Arial" w:hAnsi="Arial"/>
          <w:sz w:val="22"/>
          <w:szCs w:val="22"/>
          <w:u w:val="single" w:color="auto"/>
          <w:color w:val="auto"/>
        </w:rPr>
        <w:t>clause (b)</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left="1500" w:firstLine="754"/>
        <w:spacing w:after="0"/>
        <w:tabs>
          <w:tab w:leader="none" w:pos="2548" w:val="left"/>
        </w:tabs>
        <w:numPr>
          <w:ilvl w:val="1"/>
          <w:numId w:val="143"/>
        </w:numPr>
        <w:rPr>
          <w:rFonts w:ascii="Arial" w:cs="Arial" w:eastAsia="Arial" w:hAnsi="Arial"/>
          <w:sz w:val="22"/>
          <w:szCs w:val="22"/>
          <w:color w:val="auto"/>
        </w:rPr>
      </w:pPr>
      <w:r>
        <w:rPr>
          <w:rFonts w:ascii="Arial" w:cs="Arial" w:eastAsia="Arial" w:hAnsi="Arial"/>
          <w:sz w:val="22"/>
          <w:szCs w:val="22"/>
          <w:color w:val="auto"/>
        </w:rPr>
        <w:t>with respect to Collateral consisting of general partner interests or limited liability company interests, to promptly modify its Organic Documents to admit the Administrative Agent as a general partner or member, as applicable;</w:t>
      </w:r>
    </w:p>
    <w:p>
      <w:pPr>
        <w:spacing w:after="0" w:line="186" w:lineRule="exact"/>
        <w:rPr>
          <w:rFonts w:ascii="Arial" w:cs="Arial" w:eastAsia="Arial" w:hAnsi="Arial"/>
          <w:sz w:val="22"/>
          <w:szCs w:val="22"/>
          <w:color w:val="auto"/>
        </w:rPr>
      </w:pPr>
    </w:p>
    <w:p>
      <w:pPr>
        <w:jc w:val="both"/>
        <w:ind w:left="1500" w:firstLine="754"/>
        <w:spacing w:after="0" w:line="238" w:lineRule="auto"/>
        <w:tabs>
          <w:tab w:leader="none" w:pos="2548" w:val="left"/>
        </w:tabs>
        <w:numPr>
          <w:ilvl w:val="1"/>
          <w:numId w:val="143"/>
        </w:numPr>
        <w:rPr>
          <w:rFonts w:ascii="Arial" w:cs="Arial" w:eastAsia="Arial" w:hAnsi="Arial"/>
          <w:sz w:val="22"/>
          <w:szCs w:val="22"/>
          <w:color w:val="auto"/>
        </w:rPr>
      </w:pPr>
      <w:r>
        <w:rPr>
          <w:rFonts w:ascii="Arial" w:cs="Arial" w:eastAsia="Arial" w:hAnsi="Arial"/>
          <w:sz w:val="22"/>
          <w:szCs w:val="22"/>
          <w:color w:val="auto"/>
        </w:rPr>
        <w:t>that the Administrative Agent may exercise (to the exclusion of such Grantor) the voting power and all other incidental rights of ownership with respect to any Investment Property constituting Collateral and such Grantor hereby grants the Administrative Agent an irrevocable proxy, exercisable under such circumstances, to vote such Investment Property; and</w:t>
      </w:r>
    </w:p>
    <w:p>
      <w:pPr>
        <w:spacing w:after="0" w:line="185" w:lineRule="exact"/>
        <w:rPr>
          <w:sz w:val="20"/>
          <w:szCs w:val="20"/>
          <w:color w:val="auto"/>
        </w:rPr>
      </w:pPr>
    </w:p>
    <w:p>
      <w:pPr>
        <w:ind w:left="1500" w:right="20" w:firstLine="749"/>
        <w:spacing w:after="0" w:line="250" w:lineRule="auto"/>
        <w:rPr>
          <w:sz w:val="20"/>
          <w:szCs w:val="20"/>
          <w:color w:val="auto"/>
        </w:rPr>
      </w:pPr>
      <w:r>
        <w:rPr>
          <w:rFonts w:ascii="Arial" w:cs="Arial" w:eastAsia="Arial" w:hAnsi="Arial"/>
          <w:sz w:val="22"/>
          <w:szCs w:val="22"/>
          <w:color w:val="auto"/>
        </w:rPr>
        <w:t>(iii)to promptly deliver to the Administrative Agent such additional proxies and other documents as may be necessary to allow the Administrative Agent to exercise such voting power.</w:t>
      </w:r>
    </w:p>
    <w:p>
      <w:pPr>
        <w:spacing w:after="0" w:line="17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All dividends, Distributions, interest, principal, cash payments, Payment Intangibles and Proceeds that may at any time and from time to time be held by such Grantor, but which such Grantor is then obligated to deliver to the Administrative Agent, shall, until delivery to the Administrative Agent, be held by such Grantor separate and apart from its other property in trust for the Administrative Agent. The Administrative Agent agrees that unless an Event of Default shall have occurred and be continuing and the Administrative Agent shall have given the notice referred to in </w:t>
      </w:r>
      <w:r>
        <w:rPr>
          <w:rFonts w:ascii="Arial" w:cs="Arial" w:eastAsia="Arial" w:hAnsi="Arial"/>
          <w:sz w:val="21"/>
          <w:szCs w:val="21"/>
          <w:u w:val="single" w:color="auto"/>
          <w:color w:val="auto"/>
        </w:rPr>
        <w:t>clause (b) above</w:t>
      </w:r>
      <w:r>
        <w:rPr>
          <w:rFonts w:ascii="Arial" w:cs="Arial" w:eastAsia="Arial" w:hAnsi="Arial"/>
          <w:sz w:val="21"/>
          <w:szCs w:val="21"/>
          <w:color w:val="auto"/>
        </w:rPr>
        <w:t xml:space="preserve">, such Grantor will have the exclusive voting power with respect to any Investment Property constituting Collateral and the Administrative Agent will, upon the written request of such Grantor, promptly deliver such proxies and other documents, if any, as shall be reasonably requested by such Grantor which are necessary to allow such Grantor to exercise that voting power;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vote shall be cast, or consent, waiver, or ratification given, or action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2" w:name="page143"/>
    <w:bookmarkEnd w:id="142"/>
    <w:p>
      <w:pPr>
        <w:ind w:right="20"/>
        <w:spacing w:after="0" w:line="250" w:lineRule="auto"/>
        <w:rPr>
          <w:sz w:val="20"/>
          <w:szCs w:val="20"/>
          <w:color w:val="auto"/>
        </w:rPr>
      </w:pPr>
      <w:r>
        <w:rPr>
          <w:rFonts w:ascii="Arial" w:cs="Arial" w:eastAsia="Arial" w:hAnsi="Arial"/>
          <w:sz w:val="22"/>
          <w:szCs w:val="22"/>
          <w:color w:val="auto"/>
        </w:rPr>
        <w:t>taken by such Grantor that would impair any such Collateral or be inconsistent with or violate any provision of any Loan Document.</w:t>
      </w:r>
    </w:p>
    <w:p>
      <w:pPr>
        <w:spacing w:after="0" w:line="17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 xml:space="preserve">SECTION 4.2. </w:t>
      </w:r>
      <w:r>
        <w:rPr>
          <w:rFonts w:ascii="Arial" w:cs="Arial" w:eastAsia="Arial" w:hAnsi="Arial"/>
          <w:sz w:val="22"/>
          <w:szCs w:val="22"/>
          <w:u w:val="single" w:color="auto"/>
          <w:color w:val="auto"/>
        </w:rPr>
        <w:t>Change of Name, Etc</w:t>
      </w:r>
      <w:r>
        <w:rPr>
          <w:rFonts w:ascii="Arial" w:cs="Arial" w:eastAsia="Arial" w:hAnsi="Arial"/>
          <w:sz w:val="22"/>
          <w:szCs w:val="22"/>
          <w:color w:val="auto"/>
        </w:rPr>
        <w:t>. No Grantor will change its name or place of incorporation or organization or federal taxpayer identification number except as otherwise permitted by the Credit Agreement.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4.3. </w:t>
      </w:r>
      <w:r>
        <w:rPr>
          <w:rFonts w:ascii="Arial" w:cs="Arial" w:eastAsia="Arial" w:hAnsi="Arial"/>
          <w:sz w:val="22"/>
          <w:szCs w:val="22"/>
          <w:u w:val="single" w:color="auto"/>
          <w:color w:val="auto"/>
        </w:rPr>
        <w:t>As to Accounts</w:t>
      </w:r>
      <w:r>
        <w:rPr>
          <w:rFonts w:ascii="Arial" w:cs="Arial" w:eastAsia="Arial" w:hAnsi="Arial"/>
          <w:sz w:val="22"/>
          <w:szCs w:val="22"/>
          <w:color w:val="auto"/>
        </w:rPr>
        <w:t>.</w:t>
      </w:r>
    </w:p>
    <w:p>
      <w:pPr>
        <w:spacing w:after="0" w:line="206" w:lineRule="exact"/>
        <w:rPr>
          <w:sz w:val="20"/>
          <w:szCs w:val="20"/>
          <w:color w:val="auto"/>
        </w:rPr>
      </w:pPr>
    </w:p>
    <w:p>
      <w:pPr>
        <w:ind w:left="760" w:firstLine="745"/>
        <w:spacing w:after="0" w:line="250" w:lineRule="auto"/>
        <w:tabs>
          <w:tab w:leader="none" w:pos="2048" w:val="left"/>
        </w:tabs>
        <w:numPr>
          <w:ilvl w:val="0"/>
          <w:numId w:val="144"/>
        </w:numPr>
        <w:rPr>
          <w:rFonts w:ascii="Arial" w:cs="Arial" w:eastAsia="Arial" w:hAnsi="Arial"/>
          <w:sz w:val="22"/>
          <w:szCs w:val="22"/>
          <w:color w:val="auto"/>
        </w:rPr>
      </w:pPr>
      <w:r>
        <w:rPr>
          <w:rFonts w:ascii="Arial" w:cs="Arial" w:eastAsia="Arial" w:hAnsi="Arial"/>
          <w:sz w:val="22"/>
          <w:szCs w:val="22"/>
          <w:color w:val="auto"/>
        </w:rPr>
        <w:t>Each Grantor shall have the right to collect all Accounts so long as no Event of Default shall have occurred and be continuing.</w:t>
      </w:r>
    </w:p>
    <w:p>
      <w:pPr>
        <w:spacing w:after="0" w:line="174" w:lineRule="exact"/>
        <w:rPr>
          <w:rFonts w:ascii="Arial" w:cs="Arial" w:eastAsia="Arial" w:hAnsi="Arial"/>
          <w:sz w:val="22"/>
          <w:szCs w:val="22"/>
          <w:color w:val="auto"/>
        </w:rPr>
      </w:pPr>
    </w:p>
    <w:p>
      <w:pPr>
        <w:jc w:val="both"/>
        <w:ind w:left="760" w:firstLine="745"/>
        <w:spacing w:after="0" w:line="234" w:lineRule="auto"/>
        <w:tabs>
          <w:tab w:leader="none" w:pos="2048" w:val="left"/>
        </w:tabs>
        <w:numPr>
          <w:ilvl w:val="0"/>
          <w:numId w:val="144"/>
        </w:numPr>
        <w:rPr>
          <w:rFonts w:ascii="Arial" w:cs="Arial" w:eastAsia="Arial" w:hAnsi="Arial"/>
          <w:sz w:val="22"/>
          <w:szCs w:val="22"/>
          <w:color w:val="auto"/>
        </w:rPr>
      </w:pPr>
      <w:r>
        <w:rPr>
          <w:rFonts w:ascii="Arial" w:cs="Arial" w:eastAsia="Arial" w:hAnsi="Arial"/>
          <w:sz w:val="22"/>
          <w:szCs w:val="22"/>
          <w:color w:val="auto"/>
        </w:rPr>
        <w:t>Upon (i) the occurrence and continuance of an Event of Default and (ii) the delivery of notice by the Administrative Agent to each Grantor, all Proceeds of Collateral received by such Grantor shall be delivered in kind to the Administrative Agent for deposit in a Deposit Account of such Grantor maintained with the Administrative Agent or that otherwise is a Controlled Account (together with any other Deposit Accounts or Controlled Accounts pursuant to which any portion of the Collateral is deposited with the Administrative Agent, the “</w:t>
      </w:r>
      <w:r>
        <w:rPr>
          <w:rFonts w:ascii="Arial" w:cs="Arial" w:eastAsia="Arial" w:hAnsi="Arial"/>
          <w:sz w:val="22"/>
          <w:szCs w:val="22"/>
          <w:u w:val="single" w:color="auto"/>
          <w:color w:val="auto"/>
        </w:rPr>
        <w:t>Collateral Accounts</w:t>
      </w:r>
      <w:r>
        <w:rPr>
          <w:rFonts w:ascii="Arial" w:cs="Arial" w:eastAsia="Arial" w:hAnsi="Arial"/>
          <w:sz w:val="22"/>
          <w:szCs w:val="22"/>
          <w:color w:val="auto"/>
        </w:rPr>
        <w:t>”), and such Grantor shall not commingle any such Proceeds, and shall hold separate and apart from all other property, all such Proceeds in express trust for the benefit of the Administrative Agent until delivery thereof is made to the Administrative Agent.</w:t>
      </w:r>
    </w:p>
    <w:p>
      <w:pPr>
        <w:spacing w:after="0" w:line="186" w:lineRule="exact"/>
        <w:rPr>
          <w:rFonts w:ascii="Arial" w:cs="Arial" w:eastAsia="Arial" w:hAnsi="Arial"/>
          <w:sz w:val="22"/>
          <w:szCs w:val="22"/>
          <w:color w:val="auto"/>
        </w:rPr>
      </w:pPr>
    </w:p>
    <w:p>
      <w:pPr>
        <w:jc w:val="both"/>
        <w:ind w:left="760" w:firstLine="745"/>
        <w:spacing w:after="0"/>
        <w:tabs>
          <w:tab w:leader="none" w:pos="2048"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Following the delivery of notice pursuant to </w:t>
      </w:r>
      <w:r>
        <w:rPr>
          <w:rFonts w:ascii="Arial" w:cs="Arial" w:eastAsia="Arial" w:hAnsi="Arial"/>
          <w:sz w:val="22"/>
          <w:szCs w:val="22"/>
          <w:u w:val="single" w:color="auto"/>
          <w:color w:val="auto"/>
        </w:rPr>
        <w:t>clause (b)(ii)</w:t>
      </w:r>
      <w:r>
        <w:rPr>
          <w:rFonts w:ascii="Arial" w:cs="Arial" w:eastAsia="Arial" w:hAnsi="Arial"/>
          <w:sz w:val="22"/>
          <w:szCs w:val="22"/>
          <w:color w:val="auto"/>
        </w:rPr>
        <w:t>, the Administrative Agent shall have the right to apply any amount in the Collateral Accounts to the payment of any Obligations which are then due and payable in accordance with Section 4.4(b) of the Credit Agreement.</w:t>
      </w:r>
    </w:p>
    <w:p>
      <w:pPr>
        <w:spacing w:after="0" w:line="186" w:lineRule="exact"/>
        <w:rPr>
          <w:rFonts w:ascii="Arial" w:cs="Arial" w:eastAsia="Arial" w:hAnsi="Arial"/>
          <w:sz w:val="22"/>
          <w:szCs w:val="22"/>
          <w:color w:val="auto"/>
        </w:rPr>
      </w:pPr>
    </w:p>
    <w:p>
      <w:pPr>
        <w:jc w:val="both"/>
        <w:ind w:left="760" w:firstLine="745"/>
        <w:spacing w:after="0" w:line="252" w:lineRule="auto"/>
        <w:tabs>
          <w:tab w:leader="none" w:pos="2048" w:val="left"/>
        </w:tabs>
        <w:numPr>
          <w:ilvl w:val="0"/>
          <w:numId w:val="144"/>
        </w:numPr>
        <w:rPr>
          <w:rFonts w:ascii="Arial" w:cs="Arial" w:eastAsia="Arial" w:hAnsi="Arial"/>
          <w:sz w:val="21"/>
          <w:szCs w:val="21"/>
          <w:color w:val="auto"/>
        </w:rPr>
      </w:pPr>
      <w:r>
        <w:rPr>
          <w:rFonts w:ascii="Arial" w:cs="Arial" w:eastAsia="Arial" w:hAnsi="Arial"/>
          <w:sz w:val="21"/>
          <w:szCs w:val="21"/>
          <w:color w:val="auto"/>
        </w:rPr>
        <w:t xml:space="preserve">With respect to each of the Collateral Accounts, it is hereby confirmed and agreed that (i) deposits in such Collateral Account are subject to a security interest as contemplated hereby, (ii) such Collateral Account shall be under the control of the Administrative Agent and (iii) following the delivery of notice pursuant to </w:t>
      </w:r>
      <w:r>
        <w:rPr>
          <w:rFonts w:ascii="Arial" w:cs="Arial" w:eastAsia="Arial" w:hAnsi="Arial"/>
          <w:sz w:val="21"/>
          <w:szCs w:val="21"/>
          <w:u w:val="single" w:color="auto"/>
          <w:color w:val="auto"/>
        </w:rPr>
        <w:t>clause (b)(ii) above</w:t>
      </w:r>
      <w:r>
        <w:rPr>
          <w:rFonts w:ascii="Arial" w:cs="Arial" w:eastAsia="Arial" w:hAnsi="Arial"/>
          <w:sz w:val="21"/>
          <w:szCs w:val="21"/>
          <w:color w:val="auto"/>
        </w:rPr>
        <w:t>, the Administrative Agent shall have the sole right of withdrawal over such Collateral Account.</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u w:val="single" w:color="auto"/>
          <w:color w:val="auto"/>
        </w:rPr>
        <w:t>As to Grantors’ Use of Collateral</w:t>
      </w:r>
      <w:r>
        <w:rPr>
          <w:rFonts w:ascii="Arial" w:cs="Arial" w:eastAsia="Arial" w:hAnsi="Arial"/>
          <w:sz w:val="22"/>
          <w:szCs w:val="22"/>
          <w:color w:val="auto"/>
        </w:rPr>
        <w:t>.</w:t>
      </w:r>
    </w:p>
    <w:p>
      <w:pPr>
        <w:spacing w:after="0" w:line="206" w:lineRule="exact"/>
        <w:rPr>
          <w:sz w:val="20"/>
          <w:szCs w:val="20"/>
          <w:color w:val="auto"/>
        </w:rPr>
      </w:pPr>
    </w:p>
    <w:p>
      <w:pPr>
        <w:jc w:val="both"/>
        <w:ind w:left="760" w:firstLine="745"/>
        <w:spacing w:after="0" w:line="245" w:lineRule="auto"/>
        <w:tabs>
          <w:tab w:leader="none" w:pos="2048" w:val="left"/>
        </w:tabs>
        <w:numPr>
          <w:ilvl w:val="0"/>
          <w:numId w:val="145"/>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clause (b) below</w:t>
      </w:r>
      <w:r>
        <w:rPr>
          <w:rFonts w:ascii="Arial" w:cs="Arial" w:eastAsia="Arial" w:hAnsi="Arial"/>
          <w:sz w:val="21"/>
          <w:szCs w:val="21"/>
          <w:color w:val="auto"/>
        </w:rPr>
        <w:t>, each Grantor (i) may in the ordinary course of its business, at its own expense, sell, lease or furnish under contracts of service any of the Inventory normally held by such Grantor for such purpose, and use and consume, in the ordinary course of its business, any raw materials, work in process or materials normally held by such Grantor for such purpose, (ii) will, at its own expense, endeavor to collect, as and when due, all amounts due with respect to any of the Collateral, including the taking of such action with respect to such collection as the Administrative Agent may reasonably request following the occurrence and during the continuance of an Event of Default or, in the absence of such request, as such Grantor may deem advisable in accordance with its normal business practices, and (iii) may grant, in the ordinary course of business, to any party obligated on any of the Collateral, any rebate, refund or allowance to which such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3" w:name="page144"/>
    <w:bookmarkEnd w:id="143"/>
    <w:p>
      <w:pPr>
        <w:ind w:left="760"/>
        <w:spacing w:after="0" w:line="250" w:lineRule="auto"/>
        <w:rPr>
          <w:sz w:val="20"/>
          <w:szCs w:val="20"/>
          <w:color w:val="auto"/>
        </w:rPr>
      </w:pPr>
      <w:r>
        <w:rPr>
          <w:rFonts w:ascii="Arial" w:cs="Arial" w:eastAsia="Arial" w:hAnsi="Arial"/>
          <w:sz w:val="22"/>
          <w:szCs w:val="22"/>
          <w:color w:val="auto"/>
        </w:rPr>
        <w:t>party may be lawfully entitled, and may accept, in connection therewith, the return of Goods, the sale or lease of which shall have given rise to such Collateral.</w:t>
      </w:r>
    </w:p>
    <w:p>
      <w:pPr>
        <w:spacing w:after="0" w:line="175" w:lineRule="exact"/>
        <w:rPr>
          <w:sz w:val="20"/>
          <w:szCs w:val="20"/>
          <w:color w:val="auto"/>
        </w:rPr>
      </w:pPr>
    </w:p>
    <w:p>
      <w:pPr>
        <w:jc w:val="both"/>
        <w:ind w:left="760" w:firstLine="745"/>
        <w:spacing w:after="0" w:line="279" w:lineRule="auto"/>
        <w:tabs>
          <w:tab w:leader="none" w:pos="2048"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At any time following the occurrence and during the continuance of an Event of Default, whether before or after the maturity of any of the Obligations, the Administrative Agent may (i) revoke any or all of the rights of each Grantor set forth in </w:t>
      </w:r>
      <w:r>
        <w:rPr>
          <w:rFonts w:ascii="Arial" w:cs="Arial" w:eastAsia="Arial" w:hAnsi="Arial"/>
          <w:sz w:val="19"/>
          <w:szCs w:val="19"/>
          <w:u w:val="single" w:color="auto"/>
          <w:color w:val="auto"/>
        </w:rPr>
        <w:t>clause (a) above</w:t>
      </w:r>
      <w:r>
        <w:rPr>
          <w:rFonts w:ascii="Arial" w:cs="Arial" w:eastAsia="Arial" w:hAnsi="Arial"/>
          <w:sz w:val="19"/>
          <w:szCs w:val="19"/>
          <w:color w:val="auto"/>
        </w:rPr>
        <w:t>, (ii) notify any parties obligated on any of the Collateral to make payment to the Administrative Agent of any amounts due or to become due thereunder and (iii) enforce collection of any of the Collateral by suit or otherwise and surrender, release, or exchange all or any part thereof, or compromise or extend or renew for any period (whether or not longer than the original period) any indebtedness thereunder or evidenced thereby.</w:t>
      </w:r>
    </w:p>
    <w:p>
      <w:pPr>
        <w:spacing w:after="0" w:line="150" w:lineRule="exact"/>
        <w:rPr>
          <w:rFonts w:ascii="Arial" w:cs="Arial" w:eastAsia="Arial" w:hAnsi="Arial"/>
          <w:sz w:val="19"/>
          <w:szCs w:val="19"/>
          <w:color w:val="auto"/>
        </w:rPr>
      </w:pPr>
    </w:p>
    <w:p>
      <w:pPr>
        <w:jc w:val="both"/>
        <w:ind w:left="760" w:firstLine="745"/>
        <w:spacing w:after="0" w:line="257" w:lineRule="auto"/>
        <w:tabs>
          <w:tab w:leader="none" w:pos="2048" w:val="left"/>
        </w:tabs>
        <w:numPr>
          <w:ilvl w:val="0"/>
          <w:numId w:val="146"/>
        </w:numPr>
        <w:rPr>
          <w:rFonts w:ascii="Arial" w:cs="Arial" w:eastAsia="Arial" w:hAnsi="Arial"/>
          <w:sz w:val="21"/>
          <w:szCs w:val="21"/>
          <w:color w:val="auto"/>
        </w:rPr>
      </w:pPr>
      <w:r>
        <w:rPr>
          <w:rFonts w:ascii="Arial" w:cs="Arial" w:eastAsia="Arial" w:hAnsi="Arial"/>
          <w:sz w:val="21"/>
          <w:szCs w:val="21"/>
          <w:color w:val="auto"/>
        </w:rPr>
        <w:t>Upon the request of the Administrative Agent following the occurrence and during the continuance of an Event of Default, each Grantor will, at its own expense, notify any parties obligated on any of the Collateral to make payment to the Administrative Agent of any amounts due or to become due thereunder.</w:t>
      </w:r>
    </w:p>
    <w:p>
      <w:pPr>
        <w:spacing w:after="0" w:line="169" w:lineRule="exact"/>
        <w:rPr>
          <w:rFonts w:ascii="Arial" w:cs="Arial" w:eastAsia="Arial" w:hAnsi="Arial"/>
          <w:sz w:val="21"/>
          <w:szCs w:val="21"/>
          <w:color w:val="auto"/>
        </w:rPr>
      </w:pPr>
    </w:p>
    <w:p>
      <w:pPr>
        <w:jc w:val="both"/>
        <w:ind w:left="760" w:firstLine="745"/>
        <w:spacing w:after="0"/>
        <w:tabs>
          <w:tab w:leader="none" w:pos="2048" w:val="left"/>
        </w:tabs>
        <w:numPr>
          <w:ilvl w:val="0"/>
          <w:numId w:val="146"/>
        </w:numPr>
        <w:rPr>
          <w:rFonts w:ascii="Arial" w:cs="Arial" w:eastAsia="Arial" w:hAnsi="Arial"/>
          <w:sz w:val="22"/>
          <w:szCs w:val="22"/>
          <w:color w:val="auto"/>
        </w:rPr>
      </w:pPr>
      <w:r>
        <w:rPr>
          <w:rFonts w:ascii="Arial" w:cs="Arial" w:eastAsia="Arial" w:hAnsi="Arial"/>
          <w:sz w:val="22"/>
          <w:szCs w:val="22"/>
          <w:color w:val="auto"/>
        </w:rPr>
        <w:t>At any time following the occurrence and during the continuation of an Event of Default, the Administrative Agent may endorse, in the name of such Grantor, any item, howsoever received by the Administrative Agent, representing any payment on or other Proceeds of any of the Collateral.</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4.5. </w:t>
      </w:r>
      <w:r>
        <w:rPr>
          <w:rFonts w:ascii="Arial" w:cs="Arial" w:eastAsia="Arial" w:hAnsi="Arial"/>
          <w:sz w:val="22"/>
          <w:szCs w:val="22"/>
          <w:u w:val="single" w:color="auto"/>
          <w:color w:val="auto"/>
        </w:rPr>
        <w:t>As to Intellectual Property Collateral</w:t>
      </w:r>
      <w:r>
        <w:rPr>
          <w:rFonts w:ascii="Arial" w:cs="Arial" w:eastAsia="Arial" w:hAnsi="Arial"/>
          <w:sz w:val="22"/>
          <w:szCs w:val="22"/>
          <w:color w:val="auto"/>
        </w:rPr>
        <w:t>. Each Grantor covenants and agrees to comply with the following provisions as such provisions relate to any Intellectual Property Collateral owned by such Grantor material to the operations or business of such Grantor:</w:t>
      </w:r>
    </w:p>
    <w:p>
      <w:pPr>
        <w:spacing w:after="0" w:line="186" w:lineRule="exact"/>
        <w:rPr>
          <w:sz w:val="20"/>
          <w:szCs w:val="20"/>
          <w:color w:val="auto"/>
        </w:rPr>
      </w:pPr>
    </w:p>
    <w:p>
      <w:pPr>
        <w:jc w:val="both"/>
        <w:ind w:left="760" w:firstLine="745"/>
        <w:spacing w:after="0" w:line="245" w:lineRule="exact"/>
        <w:tabs>
          <w:tab w:leader="none" w:pos="204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such Grantor will not knowingly (i) do or fail to perform any act whereby any of the Patent Collateral may lapse or become abandoned or dedicated to the public or unenforceable, (ii) permit any of its licensees to (A) fail to continue to use any of the Trademark Collateral in order to maintain all of the Trademark Collateral in full force free from any claim of abandonment for non</w:t>
      </w:r>
      <w:r>
        <w:rPr>
          <w:rFonts w:ascii="MS PGothic" w:cs="MS PGothic" w:eastAsia="MS PGothic" w:hAnsi="MS PGothic"/>
          <w:sz w:val="19"/>
          <w:szCs w:val="19"/>
          <w:color w:val="auto"/>
        </w:rPr>
        <w:t>‑</w:t>
      </w:r>
      <w:r>
        <w:rPr>
          <w:rFonts w:ascii="Arial" w:cs="Arial" w:eastAsia="Arial" w:hAnsi="Arial"/>
          <w:sz w:val="19"/>
          <w:szCs w:val="19"/>
          <w:color w:val="auto"/>
        </w:rPr>
        <w:t xml:space="preserve">use, (B) fail to maintain the quality of products and services offered under all of the Trademark Collateral at a level substantially consistent with the quality of products and services offered under such Trademark as of the date hereof, (C) fail to employ all of the Trademark Collateral registered with any federal or state or foreign authority with an appropriate notice of such registration, (D) adopt or use any other Trademark which is confusingly similar or a colorable imitation of any of the Trademark Collateral, (E) use any of the Trademark Collateral registered with any federal, state or foreign authority except for the uses for which registration or application for registration of all the Trademark Collateral has been made or (F) do or permit any act or knowingly omit to do any act whereby any of the Trademark Collateral may become invalid or unenforceable, or (iii) do or permit any act or knowingly omit to do any act whereby any of the Copyright Collateral or any of the Trade Secrets Collateral may lapse or become invalid or unenforceable or placed in the public domain except upon expiration of the end of an unrenewable term of a registration thereof, unless, in the case of any of the foregoing requirements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such Grantor reasonably and in good faith determines that (x) such Intellectual Property Collateral is of negligible economic value to such Grantor, (y) the loss of such Intellectual Property Collateral would not be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4" w:name="page145"/>
    <w:bookmarkEnd w:id="144"/>
    <w:p>
      <w:pPr>
        <w:jc w:val="both"/>
        <w:spacing w:after="0" w:line="238" w:lineRule="auto"/>
        <w:rPr>
          <w:sz w:val="20"/>
          <w:szCs w:val="20"/>
          <w:color w:val="auto"/>
        </w:rPr>
      </w:pPr>
      <w:r>
        <w:rPr>
          <w:rFonts w:ascii="Arial" w:cs="Arial" w:eastAsia="Arial" w:hAnsi="Arial"/>
          <w:sz w:val="22"/>
          <w:szCs w:val="22"/>
          <w:color w:val="auto"/>
        </w:rPr>
        <w:t>material to such Grantor, or (z) with respect to a pending patent application, Grantor has either filed another patent application to preserve the ability to pursue claims for the subject matter disclosed in such pending patent application, or in the sole discretion of Grantor, has determined that sufficient protection has already been obtained in the patent family and no further applications need to be filed;</w:t>
      </w:r>
    </w:p>
    <w:p>
      <w:pPr>
        <w:spacing w:after="0" w:line="185" w:lineRule="exact"/>
        <w:rPr>
          <w:sz w:val="20"/>
          <w:szCs w:val="20"/>
          <w:color w:val="auto"/>
        </w:rPr>
      </w:pPr>
    </w:p>
    <w:p>
      <w:pPr>
        <w:jc w:val="both"/>
        <w:ind w:firstLine="745"/>
        <w:spacing w:after="0" w:line="244" w:lineRule="auto"/>
        <w:tabs>
          <w:tab w:leader="none" w:pos="1288" w:val="left"/>
        </w:tabs>
        <w:numPr>
          <w:ilvl w:val="0"/>
          <w:numId w:val="148"/>
        </w:numPr>
        <w:rPr>
          <w:rFonts w:ascii="Arial" w:cs="Arial" w:eastAsia="Arial" w:hAnsi="Arial"/>
          <w:sz w:val="21"/>
          <w:szCs w:val="21"/>
          <w:color w:val="auto"/>
        </w:rPr>
      </w:pPr>
      <w:r>
        <w:rPr>
          <w:rFonts w:ascii="Arial" w:cs="Arial" w:eastAsia="Arial" w:hAnsi="Arial"/>
          <w:sz w:val="21"/>
          <w:szCs w:val="21"/>
          <w:color w:val="auto"/>
        </w:rPr>
        <w:t>such Grantor shall promptly notify the Administrative Agent if it knows that any application or registration or any issued Patent relating to any material item of the Intellectual Property Collateral may, in the Grantor’s reasonable commercial judgment, become abandoned or dedicated to the public or placed in the public domain or invalid or unenforceable, or of any adverse determination or development (including the institution of, or any such determination or development in, any proceeding in the United States Patent and Trademark Office, the United States Copyright Office or any foreign counterpart thereof or any court) regarding such Grantor’s ownership of any of the Intellectual Property Collateral, its right to register the same or to keep and maintain and enforce the same, unless, (i) with respect to a pending patent application that may become abandoned or dedicated to the public or placed in the public domain, Grantor has filed another patent application to preserve the ability to pursue claims for the subject matter disclosed in such pending patent application, or (ii) with respect to an issued Patent, such issued Patent is expiring after extending for its full term;</w:t>
      </w:r>
    </w:p>
    <w:p>
      <w:pPr>
        <w:spacing w:after="0" w:line="188" w:lineRule="exact"/>
        <w:rPr>
          <w:rFonts w:ascii="Arial" w:cs="Arial" w:eastAsia="Arial" w:hAnsi="Arial"/>
          <w:sz w:val="21"/>
          <w:szCs w:val="21"/>
          <w:color w:val="auto"/>
        </w:rPr>
      </w:pPr>
    </w:p>
    <w:p>
      <w:pPr>
        <w:ind w:left="1280" w:hanging="535"/>
        <w:spacing w:after="0"/>
        <w:tabs>
          <w:tab w:leader="none" w:pos="128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745"/>
        <w:spacing w:after="0" w:line="274" w:lineRule="auto"/>
        <w:tabs>
          <w:tab w:leader="none" w:pos="1288"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such Grantor will take all reasonable and necessary steps, including in any proceeding before the United States Patent and Trademark Office, the United States Copyright Office or any similar office or agency in any other country or any political subdivision thereof (subject to the terms of the Credit Agreement), to maintain and pursue any material application (and to obtain the relevant registration) filed with respect to, and to maintain any registration of, material Intellectual Property Collateral, including the filing of applications for renewal, affidavits of use, affidavits of incontestability and opposition, interference and cancellation proceedings and the payment of fees and taxes (except to the extent that dedication, abandonment or invalidation is permitted under the foregoing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such Grantor reasonably and in good faith determines that the failure to take any such step would not have a material adverse effect on the interests of the Administrative Agent in such Intellectual Property Collateral); and</w:t>
      </w:r>
    </w:p>
    <w:p>
      <w:pPr>
        <w:spacing w:after="0" w:line="158" w:lineRule="exact"/>
        <w:rPr>
          <w:rFonts w:ascii="Arial" w:cs="Arial" w:eastAsia="Arial" w:hAnsi="Arial"/>
          <w:sz w:val="19"/>
          <w:szCs w:val="19"/>
          <w:color w:val="auto"/>
        </w:rPr>
      </w:pPr>
    </w:p>
    <w:p>
      <w:pPr>
        <w:jc w:val="both"/>
        <w:ind w:firstLine="745"/>
        <w:spacing w:after="0" w:line="245" w:lineRule="auto"/>
        <w:tabs>
          <w:tab w:leader="none" w:pos="1288" w:val="left"/>
        </w:tabs>
        <w:numPr>
          <w:ilvl w:val="0"/>
          <w:numId w:val="148"/>
        </w:numPr>
        <w:rPr>
          <w:rFonts w:ascii="Arial" w:cs="Arial" w:eastAsia="Arial" w:hAnsi="Arial"/>
          <w:sz w:val="21"/>
          <w:szCs w:val="21"/>
          <w:color w:val="auto"/>
        </w:rPr>
      </w:pPr>
      <w:r>
        <w:rPr>
          <w:rFonts w:ascii="Arial" w:cs="Arial" w:eastAsia="Arial" w:hAnsi="Arial"/>
          <w:sz w:val="21"/>
          <w:szCs w:val="21"/>
          <w:color w:val="auto"/>
        </w:rPr>
        <w:t xml:space="preserve">such Grantor will promptly (but no less than quarterly, concurrently with the delivery of any Compliance Certificate in accordance with Section 7.1(d) of the Credit Agreement, insofar as any new Intellectual Property Collateral arises or such Grantor files an application for registration of such Intellectual Property Collateral in such quarter) execute and deliver to the Administrative Agent (as applicable) a Patent Security Agreement, Trademark Security Agreement and/or Copyright Security Agreement, as the case may be, in the forms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hereto, respectively, following its obtaining an interest in, or filing an application for registration of, any Patent, Trademark or Copyright, and shall execute and deliver to the Administrative Agent any other document reasonably required to evidence the Administrative Agent’s interest in any part of such item of Intellectual Property Collateral unless such Grantor shall determine in</w:t>
      </w:r>
    </w:p>
    <w:p>
      <w:pPr>
        <w:spacing w:after="0" w:line="184"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157480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34" w:right="339" w:bottom="1440" w:gutter="0" w:footer="0" w:header="0"/>
        </w:sectPr>
      </w:pPr>
    </w:p>
    <w:bookmarkStart w:id="145" w:name="page146"/>
    <w:bookmarkEnd w:id="145"/>
    <w:p>
      <w:pPr>
        <w:ind w:left="760"/>
        <w:spacing w:after="0" w:line="250" w:lineRule="auto"/>
        <w:rPr>
          <w:sz w:val="20"/>
          <w:szCs w:val="20"/>
          <w:color w:val="auto"/>
        </w:rPr>
      </w:pPr>
      <w:r>
        <w:rPr>
          <w:rFonts w:ascii="Arial" w:cs="Arial" w:eastAsia="Arial" w:hAnsi="Arial"/>
          <w:sz w:val="22"/>
          <w:szCs w:val="22"/>
          <w:color w:val="auto"/>
        </w:rPr>
        <w:t>good faith (with the consent of the Administrative Agent) that any Intellectual Property Collateral is of negligible economic value to such Grantor.</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4.6. </w:t>
      </w:r>
      <w:r>
        <w:rPr>
          <w:rFonts w:ascii="Arial" w:cs="Arial" w:eastAsia="Arial" w:hAnsi="Arial"/>
          <w:sz w:val="22"/>
          <w:szCs w:val="22"/>
          <w:u w:val="single" w:color="auto"/>
          <w:color w:val="auto"/>
        </w:rPr>
        <w:t>As to Letter-of-Credit Rights</w:t>
      </w:r>
      <w:r>
        <w:rPr>
          <w:rFonts w:ascii="Arial" w:cs="Arial" w:eastAsia="Arial" w:hAnsi="Arial"/>
          <w:sz w:val="22"/>
          <w:szCs w:val="22"/>
          <w:color w:val="auto"/>
        </w:rPr>
        <w:t>.</w:t>
      </w:r>
    </w:p>
    <w:p>
      <w:pPr>
        <w:spacing w:after="0" w:line="206" w:lineRule="exact"/>
        <w:rPr>
          <w:sz w:val="20"/>
          <w:szCs w:val="20"/>
          <w:color w:val="auto"/>
        </w:rPr>
      </w:pPr>
    </w:p>
    <w:p>
      <w:pPr>
        <w:jc w:val="both"/>
        <w:ind w:left="760" w:firstLine="745"/>
        <w:spacing w:after="0" w:line="297" w:lineRule="auto"/>
        <w:tabs>
          <w:tab w:leader="none" w:pos="1941" w:val="left"/>
        </w:tabs>
        <w:numPr>
          <w:ilvl w:val="0"/>
          <w:numId w:val="149"/>
        </w:numPr>
        <w:rPr>
          <w:rFonts w:ascii="Arial" w:cs="Arial" w:eastAsia="Arial" w:hAnsi="Arial"/>
          <w:sz w:val="19"/>
          <w:szCs w:val="19"/>
          <w:color w:val="auto"/>
        </w:rPr>
      </w:pPr>
      <w:r>
        <w:rPr>
          <w:rFonts w:ascii="Arial" w:cs="Arial" w:eastAsia="Arial" w:hAnsi="Arial"/>
          <w:sz w:val="19"/>
          <w:szCs w:val="19"/>
          <w:color w:val="auto"/>
        </w:rPr>
        <w:t>Each Grantor, by granting a security interest in its Letter-of-Credit Rights to the Administrative Agent, intends to (and hereby does) collaterally assign to the Administrative Agent its rights (including its contingent rights) to the Proceeds of all Letter-of-Credit Rights of which it is or hereafter becomes a beneficiary or assignee.</w:t>
      </w:r>
    </w:p>
    <w:p>
      <w:pPr>
        <w:spacing w:after="0" w:line="133" w:lineRule="exact"/>
        <w:rPr>
          <w:rFonts w:ascii="Arial" w:cs="Arial" w:eastAsia="Arial" w:hAnsi="Arial"/>
          <w:sz w:val="19"/>
          <w:szCs w:val="19"/>
          <w:color w:val="auto"/>
        </w:rPr>
      </w:pPr>
    </w:p>
    <w:p>
      <w:pPr>
        <w:jc w:val="both"/>
        <w:ind w:left="760" w:firstLine="745"/>
        <w:spacing w:after="0" w:line="248" w:lineRule="auto"/>
        <w:tabs>
          <w:tab w:leader="none" w:pos="1941" w:val="left"/>
        </w:tabs>
        <w:numPr>
          <w:ilvl w:val="0"/>
          <w:numId w:val="149"/>
        </w:numPr>
        <w:rPr>
          <w:rFonts w:ascii="Arial" w:cs="Arial" w:eastAsia="Arial" w:hAnsi="Arial"/>
          <w:sz w:val="21"/>
          <w:szCs w:val="21"/>
          <w:color w:val="auto"/>
        </w:rPr>
      </w:pPr>
      <w:r>
        <w:rPr>
          <w:rFonts w:ascii="Arial" w:cs="Arial" w:eastAsia="Arial" w:hAnsi="Arial"/>
          <w:sz w:val="21"/>
          <w:szCs w:val="21"/>
          <w:color w:val="auto"/>
        </w:rPr>
        <w:t>Upon the occurrence and during the continuance of an Event of Default, such Grantor will, promptly upon request by the Administrative Agent, (i) notify (and such Grantor hereby authorizes the Administrative Agent to notify) the issuer and each nominated Person with respect to each of the Letters of Credit of such Grantor that the Proceeds thereof have been assigned to the Administrative Agent hereunder and any payments due or to become due in respect thereof are to be made directly to the Administrative Agent and (ii) arrange for the Administrative Agent to become the transferee beneficiary of each such Letter of Credit.</w:t>
      </w:r>
    </w:p>
    <w:p>
      <w:pPr>
        <w:spacing w:after="0" w:line="177"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4.7. </w:t>
      </w:r>
      <w:r>
        <w:rPr>
          <w:rFonts w:ascii="Arial" w:cs="Arial" w:eastAsia="Arial" w:hAnsi="Arial"/>
          <w:sz w:val="22"/>
          <w:szCs w:val="22"/>
          <w:u w:val="single" w:color="auto"/>
          <w:color w:val="auto"/>
        </w:rPr>
        <w:t>As to Commercial Tort Claims</w:t>
      </w:r>
      <w:r>
        <w:rPr>
          <w:rFonts w:ascii="Arial" w:cs="Arial" w:eastAsia="Arial" w:hAnsi="Arial"/>
          <w:sz w:val="22"/>
          <w:szCs w:val="22"/>
          <w:color w:val="auto"/>
        </w:rPr>
        <w:t>. Each Grantor covenants and agrees that, until the Termination Date, with respect to any Commercial Tort Claim hereafter, it shall deliver to the Administrative Agent a supplement in form and substance reasonably satisfactory to the Administrative Agent, together with all supplements to schedules thereto, identifying such new Commercial Tort Claim.</w:t>
      </w:r>
    </w:p>
    <w:p>
      <w:pPr>
        <w:spacing w:after="0" w:line="18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 xml:space="preserve">SECTION 4.8. </w:t>
      </w:r>
      <w:r>
        <w:rPr>
          <w:rFonts w:ascii="Arial" w:cs="Arial" w:eastAsia="Arial" w:hAnsi="Arial"/>
          <w:sz w:val="19"/>
          <w:szCs w:val="19"/>
          <w:u w:val="single" w:color="auto"/>
          <w:color w:val="auto"/>
        </w:rPr>
        <w:t>Electronic Chattel Paper and Transferable Records</w:t>
      </w:r>
      <w:r>
        <w:rPr>
          <w:rFonts w:ascii="Arial" w:cs="Arial" w:eastAsia="Arial" w:hAnsi="Arial"/>
          <w:sz w:val="19"/>
          <w:szCs w:val="19"/>
          <w:color w:val="auto"/>
        </w:rPr>
        <w:t>. If any Grantor at any time holds or acquires an interest in any Electronic Chattel Paper or any “transferable record,” as that term is defined in Section 201 of the U.S. Federal Electronic Signatures in Global and National Commerce Act, or in Section 16 of the U.S. Uniform Electronic Transactions Act as in effect in any relevant jurisdiction, with a value in excess of $100,000, such Grantor shall promptly notify the Administrative Agent thereof and, at the request of the Administrative Agent, shall take such action as the Administrative Agent may reasonably request to vest in the Administrative Agent control under Section 9-105 of the UCC of such Electronic Chattel Paper or control under Section 201 of the Federal Electronic Signatures in Global and National Commerce Act or, as the case may be, Section 16 of the Uniform Electronic Transactions Act, as so in effect in such jurisdiction, of such transferable record. The Administrative Agent agrees with such Grantor that the Administrative Agent will arrange, pursuant to procedures satisfactory to the Administrative Agent and so long as such procedures will not result in the Administrative Agent’s loss of control, for the Grantor to make alterations to the Electronic Chattel Paper or transferable record permitted under Section 9-105 of the UCC or, as the case may be, Section 201 of the U.S. Federal Electronic Signatures in Global and National Commerce Act or Section 16 of the U.S. Uniform Electronic Transactions Act for a party in control to allow without loss of control, unless an Event of Default has occurred and is continuing or would occur after taking into account any action by such Grantor with respect to such Electronic Chattel Paper or transferable record.</w:t>
      </w:r>
    </w:p>
    <w:p>
      <w:pPr>
        <w:spacing w:after="0" w:line="200" w:lineRule="exact"/>
        <w:rPr>
          <w:sz w:val="20"/>
          <w:szCs w:val="20"/>
          <w:color w:val="auto"/>
        </w:rPr>
      </w:pPr>
    </w:p>
    <w:p>
      <w:pPr>
        <w:spacing w:after="0" w:line="20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4.9. </w:t>
      </w:r>
      <w:r>
        <w:rPr>
          <w:rFonts w:ascii="Arial" w:cs="Arial" w:eastAsia="Arial" w:hAnsi="Arial"/>
          <w:sz w:val="22"/>
          <w:szCs w:val="22"/>
          <w:u w:val="single" w:color="auto"/>
          <w:color w:val="auto"/>
        </w:rPr>
        <w:t>Landlord Access Agreements</w:t>
      </w:r>
      <w:r>
        <w:rPr>
          <w:rFonts w:ascii="Arial" w:cs="Arial" w:eastAsia="Arial" w:hAnsi="Arial"/>
          <w:sz w:val="22"/>
          <w:szCs w:val="22"/>
          <w:color w:val="auto"/>
        </w:rPr>
        <w:t>. Each Grantor shall furnish to the Administrative Agent landlord access agreements as to locations where any books and records, 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6" w:name="page147"/>
    <w:bookmarkEnd w:id="146"/>
    <w:p>
      <w:pPr>
        <w:jc w:val="both"/>
        <w:spacing w:after="0"/>
        <w:rPr>
          <w:sz w:val="20"/>
          <w:szCs w:val="20"/>
          <w:color w:val="auto"/>
        </w:rPr>
      </w:pPr>
      <w:r>
        <w:rPr>
          <w:rFonts w:ascii="Arial" w:cs="Arial" w:eastAsia="Arial" w:hAnsi="Arial"/>
          <w:sz w:val="22"/>
          <w:szCs w:val="22"/>
          <w:color w:val="auto"/>
        </w:rPr>
        <w:t>more than $250,000 of other Collateral, is stored, in form and substance reasonably satisfactory to the Administrative Agent, from each landlord, bailee or other third party to such Grantor for each such location and/or real property lease entered into by such Grantor after the date hereof.</w:t>
      </w:r>
    </w:p>
    <w:p>
      <w:pPr>
        <w:spacing w:after="0" w:line="186"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 xml:space="preserve">SECTION 4.10. </w:t>
      </w:r>
      <w:r>
        <w:rPr>
          <w:rFonts w:ascii="Arial" w:cs="Arial" w:eastAsia="Arial" w:hAnsi="Arial"/>
          <w:sz w:val="19"/>
          <w:szCs w:val="19"/>
          <w:u w:val="single" w:color="auto"/>
          <w:color w:val="auto"/>
        </w:rPr>
        <w:t>Further Assurances, Etc</w:t>
      </w:r>
      <w:r>
        <w:rPr>
          <w:rFonts w:ascii="Arial" w:cs="Arial" w:eastAsia="Arial" w:hAnsi="Arial"/>
          <w:sz w:val="19"/>
          <w:szCs w:val="19"/>
          <w:color w:val="auto"/>
        </w:rPr>
        <w:t>. Each Grantor agrees that, from time to time at its own expense, it will, subject to the terms of this Security Agreement, promptly execute and deliver all further instruments and documents, and take all further action that may be necessary or that the Administrative Agent may reasonably request, in order to perfect, preserve and protect any security interest granted or purported to be granted hereby or to enable the Administrative Agent to exercise and enforce its rights and remedies hereunder with respect to any Collateral. Without limiting the generality of the foregoing, such Grantor will:</w:t>
      </w:r>
    </w:p>
    <w:p>
      <w:pPr>
        <w:spacing w:after="0" w:line="147" w:lineRule="exact"/>
        <w:rPr>
          <w:sz w:val="20"/>
          <w:szCs w:val="20"/>
          <w:color w:val="auto"/>
        </w:rPr>
      </w:pPr>
    </w:p>
    <w:p>
      <w:pPr>
        <w:jc w:val="both"/>
        <w:ind w:left="760" w:firstLine="745"/>
        <w:spacing w:after="0" w:line="244" w:lineRule="auto"/>
        <w:tabs>
          <w:tab w:leader="none" w:pos="2048" w:val="left"/>
        </w:tabs>
        <w:numPr>
          <w:ilvl w:val="0"/>
          <w:numId w:val="150"/>
        </w:numPr>
        <w:rPr>
          <w:rFonts w:ascii="Arial" w:cs="Arial" w:eastAsia="Arial" w:hAnsi="Arial"/>
          <w:sz w:val="21"/>
          <w:szCs w:val="21"/>
          <w:color w:val="auto"/>
        </w:rPr>
      </w:pPr>
      <w:r>
        <w:rPr>
          <w:rFonts w:ascii="Arial" w:cs="Arial" w:eastAsia="Arial" w:hAnsi="Arial"/>
          <w:sz w:val="21"/>
          <w:szCs w:val="21"/>
          <w:color w:val="auto"/>
        </w:rPr>
        <w:t>from time to time upon the request of the Administrative Agent, promptly deliver to the Administrative Agent such stock powers, instruments and similar documents, reasonably satisfactory in form and substance to the Administrative Agent, with respect to such Collateral as the Administrative Agent may request and will, from time to time upon the request of the Administrative Agent, after the occurrence and during the continuance of any Event of Default, promptly transfer any securities constituting Collateral into the name of any nominee designated by the Administrative Agent; if any Collateral shall be evidenced by an Instrument, negotiable Document, Promissory Note or tangible Chattel Paper, deliver and pledge to the Administrative Agent hereunder such Instrument, negotiable Document, Promissory Note or tangible Chattel Paper (other than any Instruments, negotiable Documents, Promissory Notes or tangible Chattel Paper in principal amount less than $100,000 individually or in the aggregate) duly endorsed and accompanied by duly executed instruments of transfer or assignment, all in form and substance reasonably satisfactory to the Administrative Agent;</w:t>
      </w:r>
    </w:p>
    <w:p>
      <w:pPr>
        <w:spacing w:after="0" w:line="188" w:lineRule="exact"/>
        <w:rPr>
          <w:rFonts w:ascii="Arial" w:cs="Arial" w:eastAsia="Arial" w:hAnsi="Arial"/>
          <w:sz w:val="21"/>
          <w:szCs w:val="21"/>
          <w:color w:val="auto"/>
        </w:rPr>
      </w:pPr>
    </w:p>
    <w:p>
      <w:pPr>
        <w:jc w:val="both"/>
        <w:ind w:left="760" w:firstLine="745"/>
        <w:spacing w:after="0" w:line="279" w:lineRule="auto"/>
        <w:tabs>
          <w:tab w:leader="none" w:pos="2048" w:val="left"/>
        </w:tabs>
        <w:numPr>
          <w:ilvl w:val="0"/>
          <w:numId w:val="150"/>
        </w:numPr>
        <w:rPr>
          <w:rFonts w:ascii="Arial" w:cs="Arial" w:eastAsia="Arial" w:hAnsi="Arial"/>
          <w:sz w:val="19"/>
          <w:szCs w:val="19"/>
          <w:color w:val="auto"/>
        </w:rPr>
      </w:pPr>
      <w:r>
        <w:rPr>
          <w:rFonts w:ascii="Arial" w:cs="Arial" w:eastAsia="Arial" w:hAnsi="Arial"/>
          <w:sz w:val="19"/>
          <w:szCs w:val="19"/>
          <w:color w:val="auto"/>
        </w:rPr>
        <w:t>file (and such Grantor hereby authorizes the Administrative Agent) to file such Financing Statements or continuation statements, or amendments thereto, and such other instruments or notices (including any assignment of claim form under or pursuant to the federal assignment of claims statute, 31 U.S.C. § 3727, any successor or amended version thereof or any regulation promulgated under or pursuant to any version thereof), as may be necessary or that the Administrative Agent may reasonably request in order to perfect and preserve the security interests and other rights granted or purported to be granted to the Administrative Agent hereby;</w:t>
      </w:r>
    </w:p>
    <w:p>
      <w:pPr>
        <w:spacing w:after="0" w:line="150" w:lineRule="exact"/>
        <w:rPr>
          <w:rFonts w:ascii="Arial" w:cs="Arial" w:eastAsia="Arial" w:hAnsi="Arial"/>
          <w:sz w:val="19"/>
          <w:szCs w:val="19"/>
          <w:color w:val="auto"/>
        </w:rPr>
      </w:pPr>
    </w:p>
    <w:p>
      <w:pPr>
        <w:jc w:val="both"/>
        <w:ind w:left="760" w:firstLine="745"/>
        <w:spacing w:after="0" w:line="251" w:lineRule="exact"/>
        <w:tabs>
          <w:tab w:leader="none" w:pos="2048" w:val="left"/>
        </w:tabs>
        <w:numPr>
          <w:ilvl w:val="0"/>
          <w:numId w:val="150"/>
        </w:numPr>
        <w:rPr>
          <w:rFonts w:ascii="Arial" w:cs="Arial" w:eastAsia="Arial" w:hAnsi="Arial"/>
          <w:sz w:val="21"/>
          <w:szCs w:val="21"/>
          <w:color w:val="auto"/>
        </w:rPr>
      </w:pPr>
      <w:r>
        <w:rPr>
          <w:rFonts w:ascii="Arial" w:cs="Arial" w:eastAsia="Arial" w:hAnsi="Arial"/>
          <w:sz w:val="21"/>
          <w:szCs w:val="21"/>
          <w:color w:val="auto"/>
        </w:rPr>
        <w:t>at all times keep pledged to the Administrative Agent pursuant hereto, on a first</w:t>
      </w:r>
      <w:r>
        <w:rPr>
          <w:rFonts w:ascii="MS PGothic" w:cs="MS PGothic" w:eastAsia="MS PGothic" w:hAnsi="MS PGothic"/>
          <w:sz w:val="21"/>
          <w:szCs w:val="21"/>
          <w:color w:val="auto"/>
        </w:rPr>
        <w:t>‑</w:t>
      </w:r>
      <w:r>
        <w:rPr>
          <w:rFonts w:ascii="Arial" w:cs="Arial" w:eastAsia="Arial" w:hAnsi="Arial"/>
          <w:sz w:val="21"/>
          <w:szCs w:val="21"/>
          <w:color w:val="auto"/>
        </w:rPr>
        <w:t>priority, perfected basis, all Investment Property constituting Collateral, all dividends and Distributions with respect thereto, and all interest and principal with respect to Promissory Notes constituting Collateral, and all Proceeds and rights from time to time received by or distributable to such Grantor in respect of any of the foregoing Collateral;</w:t>
      </w:r>
    </w:p>
    <w:p>
      <w:pPr>
        <w:spacing w:after="0" w:line="185" w:lineRule="exact"/>
        <w:rPr>
          <w:rFonts w:ascii="Arial" w:cs="Arial" w:eastAsia="Arial" w:hAnsi="Arial"/>
          <w:sz w:val="21"/>
          <w:szCs w:val="21"/>
          <w:color w:val="auto"/>
        </w:rPr>
      </w:pPr>
    </w:p>
    <w:p>
      <w:pPr>
        <w:jc w:val="both"/>
        <w:ind w:left="760" w:firstLine="745"/>
        <w:spacing w:after="0"/>
        <w:tabs>
          <w:tab w:leader="none" w:pos="2048" w:val="left"/>
        </w:tabs>
        <w:numPr>
          <w:ilvl w:val="0"/>
          <w:numId w:val="150"/>
        </w:numPr>
        <w:rPr>
          <w:rFonts w:ascii="Arial" w:cs="Arial" w:eastAsia="Arial" w:hAnsi="Arial"/>
          <w:sz w:val="22"/>
          <w:szCs w:val="22"/>
          <w:color w:val="auto"/>
        </w:rPr>
      </w:pPr>
      <w:r>
        <w:rPr>
          <w:rFonts w:ascii="Arial" w:cs="Arial" w:eastAsia="Arial" w:hAnsi="Arial"/>
          <w:sz w:val="22"/>
          <w:szCs w:val="22"/>
          <w:color w:val="auto"/>
        </w:rPr>
        <w:t xml:space="preserve">not take or omit to take any action the taking or the omission of which would result in any impairment or alteration of any obligation of the maker of any Payment Intangible or other Instrument constituting Collateral, except as provided in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7" w:name="page148"/>
    <w:bookmarkEnd w:id="147"/>
    <w:p>
      <w:pPr>
        <w:jc w:val="both"/>
        <w:ind w:left="760" w:firstLine="745"/>
        <w:spacing w:after="0"/>
        <w:tabs>
          <w:tab w:leader="none" w:pos="2048" w:val="left"/>
        </w:tabs>
        <w:numPr>
          <w:ilvl w:val="0"/>
          <w:numId w:val="151"/>
        </w:numPr>
        <w:rPr>
          <w:rFonts w:ascii="Arial" w:cs="Arial" w:eastAsia="Arial" w:hAnsi="Arial"/>
          <w:sz w:val="22"/>
          <w:szCs w:val="22"/>
          <w:color w:val="auto"/>
        </w:rPr>
      </w:pPr>
      <w:r>
        <w:rPr>
          <w:rFonts w:ascii="Arial" w:cs="Arial" w:eastAsia="Arial" w:hAnsi="Arial"/>
          <w:sz w:val="22"/>
          <w:szCs w:val="22"/>
          <w:color w:val="auto"/>
        </w:rPr>
        <w:t>not create any tangible Chattel Paper without placing a legend on such tangible Chattel Paper reasonably acceptable to the Administrative Agent indicating that the Administrative Agent has a security interest in such Chattel Paper;</w:t>
      </w:r>
    </w:p>
    <w:p>
      <w:pPr>
        <w:spacing w:after="0" w:line="186" w:lineRule="exact"/>
        <w:rPr>
          <w:rFonts w:ascii="Arial" w:cs="Arial" w:eastAsia="Arial" w:hAnsi="Arial"/>
          <w:sz w:val="22"/>
          <w:szCs w:val="22"/>
          <w:color w:val="auto"/>
        </w:rPr>
      </w:pPr>
    </w:p>
    <w:p>
      <w:pPr>
        <w:jc w:val="both"/>
        <w:ind w:left="760" w:firstLine="745"/>
        <w:spacing w:after="0" w:line="257" w:lineRule="auto"/>
        <w:tabs>
          <w:tab w:leader="none" w:pos="2048" w:val="left"/>
        </w:tabs>
        <w:numPr>
          <w:ilvl w:val="0"/>
          <w:numId w:val="151"/>
        </w:numPr>
        <w:rPr>
          <w:rFonts w:ascii="Arial" w:cs="Arial" w:eastAsia="Arial" w:hAnsi="Arial"/>
          <w:sz w:val="21"/>
          <w:szCs w:val="21"/>
          <w:color w:val="auto"/>
        </w:rPr>
      </w:pPr>
      <w:r>
        <w:rPr>
          <w:rFonts w:ascii="Arial" w:cs="Arial" w:eastAsia="Arial" w:hAnsi="Arial"/>
          <w:sz w:val="21"/>
          <w:szCs w:val="21"/>
          <w:color w:val="auto"/>
        </w:rPr>
        <w:t>furnish to the Administrative Agent, from time to time at the Administrative Agent’s reasonable request, statements and schedules further identifying and describing the Collateral and such other reports in connection with the Collateral as the Administrative Agent may reasonably request, all in reasonable detail; and</w:t>
      </w:r>
    </w:p>
    <w:p>
      <w:pPr>
        <w:spacing w:after="0" w:line="169" w:lineRule="exact"/>
        <w:rPr>
          <w:rFonts w:ascii="Arial" w:cs="Arial" w:eastAsia="Arial" w:hAnsi="Arial"/>
          <w:sz w:val="21"/>
          <w:szCs w:val="21"/>
          <w:color w:val="auto"/>
        </w:rPr>
      </w:pPr>
    </w:p>
    <w:p>
      <w:pPr>
        <w:jc w:val="both"/>
        <w:ind w:left="760" w:firstLine="745"/>
        <w:spacing w:after="0" w:line="238" w:lineRule="auto"/>
        <w:tabs>
          <w:tab w:leader="none" w:pos="2048" w:val="left"/>
        </w:tabs>
        <w:numPr>
          <w:ilvl w:val="0"/>
          <w:numId w:val="151"/>
        </w:numPr>
        <w:rPr>
          <w:rFonts w:ascii="Arial" w:cs="Arial" w:eastAsia="Arial" w:hAnsi="Arial"/>
          <w:sz w:val="22"/>
          <w:szCs w:val="22"/>
          <w:color w:val="auto"/>
        </w:rPr>
      </w:pPr>
      <w:r>
        <w:rPr>
          <w:rFonts w:ascii="Arial" w:cs="Arial" w:eastAsia="Arial" w:hAnsi="Arial"/>
          <w:sz w:val="22"/>
          <w:szCs w:val="22"/>
          <w:color w:val="auto"/>
        </w:rPr>
        <w:t>do all things reasonably requested by the Administrative Agent in accordance with this Security Agreement in order to enable the Administrative Agent to have and maintain control over the Collateral consisting of Investment Property, Deposit Accounts (other than Excluded Accounts), Letter-of-Credit-Rights and Electronic Chattel Paper.</w:t>
      </w:r>
    </w:p>
    <w:p>
      <w:pPr>
        <w:spacing w:after="0" w:line="18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With respect to the foregoing and the grant of the security interest hereunder, each Grantor hereby authorizes the Administrative Agent to file one or more financing or continuation statements, and amendments thereto, relative to all or any part of the Collateral. Each Grantor agrees that a carbon, photographic or other reproduction of this Security Agreement or any UCC financing statement covering the Collateral or any part thereof shall be sufficient as a UCC financing statement where permitted by Law. Each Grantor hereby authorizes the Administrative Agent to file financing statements describing as the collateral covered thereby “all of the debtor’s personal property or assets” or words to that effect, notwithstanding that such wording may be broader in scope than the Collateral described in this Security Agreement. Notwithstanding anything else herein, the Administrative Agent shall not be liable for the preparation, filing or maintenance of any UCC or other applicable financing statements or instruments, all of which shall be duties of the Grantors.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ADMINISTRATIVE AGENT</w:t>
      </w:r>
    </w:p>
    <w:p>
      <w:pPr>
        <w:spacing w:after="0" w:line="188" w:lineRule="exact"/>
        <w:rPr>
          <w:sz w:val="20"/>
          <w:szCs w:val="20"/>
          <w:color w:val="auto"/>
        </w:rPr>
      </w:pPr>
    </w:p>
    <w:p>
      <w:pPr>
        <w:jc w:val="both"/>
        <w:ind w:firstLine="749"/>
        <w:spacing w:after="0" w:line="248" w:lineRule="exact"/>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Administrative Agent Appointed Attorney</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in</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Fact</w:t>
      </w:r>
      <w:r>
        <w:rPr>
          <w:rFonts w:ascii="Arial" w:cs="Arial" w:eastAsia="Arial" w:hAnsi="Arial"/>
          <w:sz w:val="22"/>
          <w:szCs w:val="22"/>
          <w:color w:val="auto"/>
        </w:rPr>
        <w:t>. Each Grantor hereby irrevocably designates and appoints the Administrative Agent, on behalf of the Secured Parties, as its attorney</w:t>
      </w:r>
      <w:r>
        <w:rPr>
          <w:rFonts w:ascii="MS PGothic" w:cs="MS PGothic" w:eastAsia="MS PGothic" w:hAnsi="MS PGothic"/>
          <w:sz w:val="22"/>
          <w:szCs w:val="22"/>
          <w:color w:val="auto"/>
        </w:rPr>
        <w:t>‑</w:t>
      </w:r>
      <w:r>
        <w:rPr>
          <w:rFonts w:ascii="Arial" w:cs="Arial" w:eastAsia="Arial" w:hAnsi="Arial"/>
          <w:sz w:val="22"/>
          <w:szCs w:val="22"/>
          <w:color w:val="auto"/>
        </w:rPr>
        <w:t>in</w:t>
      </w:r>
      <w:r>
        <w:rPr>
          <w:rFonts w:ascii="MS PGothic" w:cs="MS PGothic" w:eastAsia="MS PGothic" w:hAnsi="MS PGothic"/>
          <w:sz w:val="22"/>
          <w:szCs w:val="22"/>
          <w:color w:val="auto"/>
        </w:rPr>
        <w:t>‑</w:t>
      </w:r>
      <w:r>
        <w:rPr>
          <w:rFonts w:ascii="Arial" w:cs="Arial" w:eastAsia="Arial" w:hAnsi="Arial"/>
          <w:sz w:val="22"/>
          <w:szCs w:val="22"/>
          <w:color w:val="auto"/>
        </w:rPr>
        <w:t>fact, with full authority in the place and stead of such Grantor and in the name of such Grantor or otherwise, from time to time in the Administrative Agent’s discretion, following the occurrence and during the continuance of an Event of Default, to take any action and to execute any instrument which the Administrative Agent may deem reasonably necessary or advisable to accomplish the purposes of this Security Agreement, and:</w:t>
      </w:r>
    </w:p>
    <w:p>
      <w:pPr>
        <w:spacing w:after="0" w:line="188" w:lineRule="exact"/>
        <w:rPr>
          <w:sz w:val="20"/>
          <w:szCs w:val="20"/>
          <w:color w:val="auto"/>
        </w:rPr>
      </w:pPr>
    </w:p>
    <w:p>
      <w:pPr>
        <w:ind w:left="760" w:firstLine="745"/>
        <w:spacing w:after="0" w:line="250" w:lineRule="auto"/>
        <w:tabs>
          <w:tab w:leader="none" w:pos="2048"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to demand, collect, settle, compromise and adjust, and give discharges and releases concerning the Collateral, all as the Administrative Agent may deem reasonably appropriate;</w:t>
      </w:r>
    </w:p>
    <w:p>
      <w:pPr>
        <w:spacing w:after="0" w:line="174" w:lineRule="exact"/>
        <w:rPr>
          <w:rFonts w:ascii="Arial" w:cs="Arial" w:eastAsia="Arial" w:hAnsi="Arial"/>
          <w:sz w:val="22"/>
          <w:szCs w:val="22"/>
          <w:color w:val="auto"/>
        </w:rPr>
      </w:pPr>
    </w:p>
    <w:p>
      <w:pPr>
        <w:ind w:left="760" w:firstLine="745"/>
        <w:spacing w:after="0" w:line="250" w:lineRule="auto"/>
        <w:tabs>
          <w:tab w:leader="none" w:pos="2048"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to commence and prosecute any actions at any court for the purposes of collecting any of the Collateral and enforcing any other right in respect thereof;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8" w:name="page149"/>
    <w:bookmarkEnd w:id="148"/>
    <w:p>
      <w:pPr>
        <w:ind w:left="760" w:firstLine="745"/>
        <w:spacing w:after="0" w:line="274" w:lineRule="auto"/>
        <w:tabs>
          <w:tab w:leader="none" w:pos="2048" w:val="left"/>
        </w:tabs>
        <w:numPr>
          <w:ilvl w:val="0"/>
          <w:numId w:val="153"/>
        </w:numPr>
        <w:rPr>
          <w:rFonts w:ascii="Arial" w:cs="Arial" w:eastAsia="Arial" w:hAnsi="Arial"/>
          <w:sz w:val="21"/>
          <w:szCs w:val="21"/>
          <w:color w:val="auto"/>
        </w:rPr>
      </w:pPr>
      <w:r>
        <w:rPr>
          <w:rFonts w:ascii="Arial" w:cs="Arial" w:eastAsia="Arial" w:hAnsi="Arial"/>
          <w:sz w:val="21"/>
          <w:szCs w:val="21"/>
          <w:color w:val="auto"/>
        </w:rPr>
        <w:t>to defend, settle or compromise any action brought in respect of the Collateral and, in connection therewith, give such discharge or release as the Administrative Agent may deem reasonably appropriate;</w:t>
      </w:r>
    </w:p>
    <w:p>
      <w:pPr>
        <w:spacing w:after="0" w:line="150" w:lineRule="exact"/>
        <w:rPr>
          <w:rFonts w:ascii="Arial" w:cs="Arial" w:eastAsia="Arial" w:hAnsi="Arial"/>
          <w:sz w:val="21"/>
          <w:szCs w:val="21"/>
          <w:color w:val="auto"/>
        </w:rPr>
      </w:pPr>
    </w:p>
    <w:p>
      <w:pPr>
        <w:ind w:left="760" w:firstLine="745"/>
        <w:spacing w:after="0" w:line="250" w:lineRule="auto"/>
        <w:tabs>
          <w:tab w:leader="none" w:pos="2048"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to pay or discharge taxes, liens, security interest or other encumbrances levied or placed on or threatened against the Collateral;</w:t>
      </w:r>
    </w:p>
    <w:p>
      <w:pPr>
        <w:spacing w:after="0" w:line="174" w:lineRule="exact"/>
        <w:rPr>
          <w:rFonts w:ascii="Arial" w:cs="Arial" w:eastAsia="Arial" w:hAnsi="Arial"/>
          <w:sz w:val="22"/>
          <w:szCs w:val="22"/>
          <w:color w:val="auto"/>
        </w:rPr>
      </w:pPr>
    </w:p>
    <w:p>
      <w:pPr>
        <w:jc w:val="both"/>
        <w:ind w:left="760" w:firstLine="745"/>
        <w:spacing w:after="0"/>
        <w:tabs>
          <w:tab w:leader="none" w:pos="2048"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to direct any parties liable for any payment in connection with any of the Collateral to make payment of any and all monies due and to become due thereunder directly to the Administrative Agent or as the Administrative Agent shall direct;</w:t>
      </w:r>
    </w:p>
    <w:p>
      <w:pPr>
        <w:spacing w:after="0" w:line="186" w:lineRule="exact"/>
        <w:rPr>
          <w:rFonts w:ascii="Arial" w:cs="Arial" w:eastAsia="Arial" w:hAnsi="Arial"/>
          <w:sz w:val="22"/>
          <w:szCs w:val="22"/>
          <w:color w:val="auto"/>
        </w:rPr>
      </w:pPr>
    </w:p>
    <w:p>
      <w:pPr>
        <w:ind w:left="760" w:firstLine="745"/>
        <w:spacing w:after="0" w:line="250" w:lineRule="auto"/>
        <w:tabs>
          <w:tab w:leader="none" w:pos="2048"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to receive payment of and receipt for any and all monies, claims and other amounts due and to become due at any time in respect of or arising out of any Collateral;</w:t>
      </w:r>
    </w:p>
    <w:p>
      <w:pPr>
        <w:spacing w:after="0" w:line="174" w:lineRule="exact"/>
        <w:rPr>
          <w:rFonts w:ascii="Arial" w:cs="Arial" w:eastAsia="Arial" w:hAnsi="Arial"/>
          <w:sz w:val="22"/>
          <w:szCs w:val="22"/>
          <w:color w:val="auto"/>
        </w:rPr>
      </w:pPr>
    </w:p>
    <w:p>
      <w:pPr>
        <w:ind w:left="760" w:firstLine="745"/>
        <w:spacing w:after="0" w:line="250" w:lineRule="auto"/>
        <w:tabs>
          <w:tab w:leader="none" w:pos="2048"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to sign and endorse, any drafts, assignments, proxies, stock powers, verifications, notices and other documents relating to the Collateral;</w:t>
      </w:r>
    </w:p>
    <w:p>
      <w:pPr>
        <w:spacing w:after="0" w:line="174" w:lineRule="exact"/>
        <w:rPr>
          <w:rFonts w:ascii="Arial" w:cs="Arial" w:eastAsia="Arial" w:hAnsi="Arial"/>
          <w:sz w:val="22"/>
          <w:szCs w:val="22"/>
          <w:color w:val="auto"/>
        </w:rPr>
      </w:pPr>
    </w:p>
    <w:p>
      <w:pPr>
        <w:jc w:val="both"/>
        <w:ind w:left="760" w:firstLine="745"/>
        <w:spacing w:after="0" w:line="287" w:lineRule="auto"/>
        <w:tabs>
          <w:tab w:leader="none" w:pos="2048"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to execute and deliver all assignments, conveyances, statements, financing statements, renewal financing statements, security and pledge agreements, affidavits, notices and other agreements, instruments and documents that the Administrative Agent may deem reasonably appropriate in order to perfect and maintain the security interests and liens granted in this Security Agreement and in order to fully consummate all of the transactions contemplated herein;</w:t>
      </w:r>
    </w:p>
    <w:p>
      <w:pPr>
        <w:spacing w:after="0" w:line="142" w:lineRule="exact"/>
        <w:rPr>
          <w:rFonts w:ascii="Arial" w:cs="Arial" w:eastAsia="Arial" w:hAnsi="Arial"/>
          <w:sz w:val="19"/>
          <w:szCs w:val="19"/>
          <w:color w:val="auto"/>
        </w:rPr>
      </w:pPr>
    </w:p>
    <w:p>
      <w:pPr>
        <w:jc w:val="both"/>
        <w:ind w:left="760" w:firstLine="745"/>
        <w:spacing w:after="0" w:line="238" w:lineRule="auto"/>
        <w:tabs>
          <w:tab w:leader="none" w:pos="2048"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to exchange any of the Collateral or other property upon any merger, consolidation, reorganization, recapitalization or other readjustment of the issuer thereof and, in connection therewith, deposit any of the Collateral with any committee, depository, transfer agent, registrar or other designated agency upon such term as the Administrative Agent may deem reasonably appropriate;</w:t>
      </w:r>
    </w:p>
    <w:p>
      <w:pPr>
        <w:spacing w:after="0" w:line="184" w:lineRule="exact"/>
        <w:rPr>
          <w:rFonts w:ascii="Arial" w:cs="Arial" w:eastAsia="Arial" w:hAnsi="Arial"/>
          <w:sz w:val="22"/>
          <w:szCs w:val="22"/>
          <w:color w:val="auto"/>
        </w:rPr>
      </w:pPr>
    </w:p>
    <w:p>
      <w:pPr>
        <w:jc w:val="both"/>
        <w:ind w:left="760" w:firstLine="745"/>
        <w:spacing w:after="0" w:line="238" w:lineRule="auto"/>
        <w:tabs>
          <w:tab w:leader="none" w:pos="2048"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to vote for a shareholder or member resolution, or to sign an instrument in writing, sanctioning the transfer of any or all of the Collateral into the name of the Administrative Agent (or its designee) or one or more of the Secured Parties or into the name of any transferee to whom the Collateral or any part thereof may be sold pursuant to Article VI hereof; and</w:t>
      </w:r>
    </w:p>
    <w:p>
      <w:pPr>
        <w:spacing w:after="0" w:line="184" w:lineRule="exact"/>
        <w:rPr>
          <w:rFonts w:ascii="Arial" w:cs="Arial" w:eastAsia="Arial" w:hAnsi="Arial"/>
          <w:sz w:val="22"/>
          <w:szCs w:val="22"/>
          <w:color w:val="auto"/>
        </w:rPr>
      </w:pPr>
    </w:p>
    <w:p>
      <w:pPr>
        <w:ind w:left="2040" w:hanging="535"/>
        <w:spacing w:after="0"/>
        <w:tabs>
          <w:tab w:leader="none" w:pos="204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to perform the affirmative obligations of such Grantor hereunder.</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Each Grantor hereby acknowledges, consents and agrees that the power of attorney granted pursuant to this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is irrevocable and coupled with an interest.</w:t>
      </w:r>
    </w:p>
    <w:p>
      <w:pPr>
        <w:spacing w:after="0" w:line="17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Administrative Agent May Perform</w:t>
      </w:r>
      <w:r>
        <w:rPr>
          <w:rFonts w:ascii="Arial" w:cs="Arial" w:eastAsia="Arial" w:hAnsi="Arial"/>
          <w:sz w:val="19"/>
          <w:szCs w:val="19"/>
          <w:color w:val="auto"/>
        </w:rPr>
        <w:t>. If any Grantor fails to perform any agreement contained herein, the Administrative Agent, on behalf of the Secured Parties, may (but shall not be obligated to) itself perform, or cause performance of, such agreement, that the Administrative Agent deems necessary for the maintenance, preservation or protection of any of the Collateral or of its security interest therein to the extent provided for herein, and the expenses of the Administrative Agent incurred in connection therewith shall be payable by such Grantor pursuant to Section 10.3 of the Credit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9" w:name="page150"/>
    <w:bookmarkEnd w:id="149"/>
    <w:p>
      <w:pPr>
        <w:jc w:val="both"/>
        <w:ind w:firstLine="749"/>
        <w:spacing w:after="0" w:line="238" w:lineRule="auto"/>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Administrative Agent Has No Duty</w:t>
      </w:r>
      <w:r>
        <w:rPr>
          <w:rFonts w:ascii="Arial" w:cs="Arial" w:eastAsia="Arial" w:hAnsi="Arial"/>
          <w:sz w:val="22"/>
          <w:szCs w:val="22"/>
          <w:color w:val="auto"/>
        </w:rPr>
        <w:t>. The powers conferred on the Administrative Agent hereunder are solely to protect its interest in the Collateral and shall not impose any duty on it to exercise any such powers. Except for reasonable care of any Collateral in its possession and the accounting for moneys actually received by it hereunder, the Administrative Agent shall have no duty as to any Collateral or responsibility for:</w:t>
      </w:r>
    </w:p>
    <w:p>
      <w:pPr>
        <w:spacing w:after="0" w:line="185" w:lineRule="exact"/>
        <w:rPr>
          <w:sz w:val="20"/>
          <w:szCs w:val="20"/>
          <w:color w:val="auto"/>
        </w:rPr>
      </w:pPr>
    </w:p>
    <w:p>
      <w:pPr>
        <w:jc w:val="both"/>
        <w:ind w:left="760" w:firstLine="745"/>
        <w:spacing w:after="0"/>
        <w:tabs>
          <w:tab w:leader="none" w:pos="2048"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ascertaining or taking action with respect to calls, conversions, exchanges, maturities, tenders or other matters relative to any Investment Property, whether or not the Administrative Agent has or is deemed to have knowledge of such matters; or</w:t>
      </w:r>
    </w:p>
    <w:p>
      <w:pPr>
        <w:spacing w:after="0" w:line="186" w:lineRule="exact"/>
        <w:rPr>
          <w:rFonts w:ascii="Arial" w:cs="Arial" w:eastAsia="Arial" w:hAnsi="Arial"/>
          <w:sz w:val="22"/>
          <w:szCs w:val="22"/>
          <w:color w:val="auto"/>
        </w:rPr>
      </w:pPr>
    </w:p>
    <w:p>
      <w:pPr>
        <w:ind w:left="2040" w:hanging="535"/>
        <w:spacing w:after="0"/>
        <w:tabs>
          <w:tab w:leader="none" w:pos="204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taking any necessary steps to preserve rights against prior parties or any other rights pertaining to any</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Collateral.</w:t>
      </w:r>
    </w:p>
    <w:p>
      <w:pPr>
        <w:spacing w:after="0" w:line="188"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SECTION 5.4. </w:t>
      </w:r>
      <w:r>
        <w:rPr>
          <w:rFonts w:ascii="Arial" w:cs="Arial" w:eastAsia="Arial" w:hAnsi="Arial"/>
          <w:sz w:val="22"/>
          <w:szCs w:val="22"/>
          <w:u w:val="single" w:color="auto"/>
          <w:color w:val="auto"/>
        </w:rPr>
        <w:t>Reasonable Care</w:t>
      </w:r>
      <w:r>
        <w:rPr>
          <w:rFonts w:ascii="Arial" w:cs="Arial" w:eastAsia="Arial" w:hAnsi="Arial"/>
          <w:sz w:val="22"/>
          <w:szCs w:val="22"/>
          <w:color w:val="auto"/>
        </w:rPr>
        <w:t xml:space="preserve">. The Administrative Agent is required to exercise reasonable care in the custody and preservation of any of the Collateral in its possession;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Administrative Agent shall be deemed to have exercised reasonable care in the custody and preservation of any of the Collateral, if it takes such action for that purpose as each Grantor reasonably requests in writing at times other than upon the occurrence and during the continuance of any Event of Default, but failure of the Administrative Agent to comply with any such request at any time shall not in itself be deemed a failure to exercise reasonable care.</w:t>
      </w:r>
    </w:p>
    <w:p>
      <w:pPr>
        <w:spacing w:after="0" w:line="18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5.5. </w:t>
      </w:r>
      <w:r>
        <w:rPr>
          <w:rFonts w:ascii="Arial" w:cs="Arial" w:eastAsia="Arial" w:hAnsi="Arial"/>
          <w:sz w:val="22"/>
          <w:szCs w:val="22"/>
          <w:u w:val="single" w:color="auto"/>
          <w:color w:val="auto"/>
        </w:rPr>
        <w:t>Assignment by the Administrative Agent</w:t>
      </w:r>
      <w:r>
        <w:rPr>
          <w:rFonts w:ascii="Arial" w:cs="Arial" w:eastAsia="Arial" w:hAnsi="Arial"/>
          <w:sz w:val="22"/>
          <w:szCs w:val="22"/>
          <w:color w:val="auto"/>
        </w:rPr>
        <w:t>. The Administrative Agent may from time to time assign its security interest in the Collateral and any portion thereof to a successor Administrative Agent in accordance with the Credit Agreement, and the assignee shall be entitled to all of the rights and remedies of the Administrative Agent under this Security Agreement in relation thereto.</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 xml:space="preserve">SECTION 5.6. The provisions of Article XI of the Credit Agreement, including the rights, privileges, protections, benefits, indemnities and immunities of the Administrative Agent are incorporated herein, </w:t>
      </w:r>
      <w:r>
        <w:rPr>
          <w:rFonts w:ascii="Arial" w:cs="Arial" w:eastAsia="Arial" w:hAnsi="Arial"/>
          <w:sz w:val="21"/>
          <w:szCs w:val="21"/>
          <w:i w:val="1"/>
          <w:iCs w:val="1"/>
          <w:color w:val="auto"/>
        </w:rPr>
        <w:t>mutatis mutandis</w:t>
      </w:r>
      <w:r>
        <w:rPr>
          <w:rFonts w:ascii="Arial" w:cs="Arial" w:eastAsia="Arial" w:hAnsi="Arial"/>
          <w:sz w:val="21"/>
          <w:szCs w:val="21"/>
          <w:color w:val="auto"/>
        </w:rPr>
        <w:t>, as if a part hereof, and shall also apply to the Administrative Agent acting under or in connection with this Security Agreement.</w:t>
      </w:r>
    </w:p>
    <w:p>
      <w:pPr>
        <w:spacing w:after="0" w:line="169"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SECTION 5.7. </w:t>
      </w:r>
      <w:r>
        <w:rPr>
          <w:rFonts w:ascii="Arial" w:cs="Arial" w:eastAsia="Arial" w:hAnsi="Arial"/>
          <w:sz w:val="22"/>
          <w:szCs w:val="22"/>
          <w:u w:val="single" w:color="auto"/>
          <w:color w:val="auto"/>
        </w:rPr>
        <w:t>Release of Collateral</w:t>
      </w:r>
      <w:r>
        <w:rPr>
          <w:rFonts w:ascii="Arial" w:cs="Arial" w:eastAsia="Arial" w:hAnsi="Arial"/>
          <w:sz w:val="22"/>
          <w:szCs w:val="22"/>
          <w:color w:val="auto"/>
        </w:rPr>
        <w:t>. The Administrative Agent, upon the direction of the Lenders, may release any of the Collateral from this Security Agreement or may substitute any of the Collateral for other Collateral without altering, varying or diminishing in any way the force, effect, Lien, pledge or security interest of this Security Agreement as to any Collateral not expressly released or substituted, and this Security Agreement shall continue as a first priority Lien (subject to Permitted Liens) on all Collateral not expressly released or substituted.</w:t>
      </w:r>
    </w:p>
    <w:p>
      <w:pPr>
        <w:spacing w:after="0" w:line="200" w:lineRule="exact"/>
        <w:rPr>
          <w:sz w:val="20"/>
          <w:szCs w:val="20"/>
          <w:color w:val="auto"/>
        </w:rPr>
      </w:pPr>
    </w:p>
    <w:p>
      <w:pPr>
        <w:spacing w:after="0" w:line="20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VI</w:t>
      </w:r>
    </w:p>
    <w:p>
      <w:pPr>
        <w:spacing w:after="0" w:line="8"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REMEDIES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6.1. </w:t>
      </w:r>
      <w:r>
        <w:rPr>
          <w:rFonts w:ascii="Arial" w:cs="Arial" w:eastAsia="Arial" w:hAnsi="Arial"/>
          <w:sz w:val="22"/>
          <w:szCs w:val="22"/>
          <w:u w:val="single" w:color="auto"/>
          <w:color w:val="auto"/>
        </w:rPr>
        <w:t>Certain Remedies</w:t>
      </w:r>
      <w:r>
        <w:rPr>
          <w:rFonts w:ascii="Arial" w:cs="Arial" w:eastAsia="Arial" w:hAnsi="Arial"/>
          <w:sz w:val="22"/>
          <w:szCs w:val="22"/>
          <w:color w:val="auto"/>
        </w:rPr>
        <w:t>. If any Event of Default shall have occurred and be continuing:</w:t>
      </w:r>
    </w:p>
    <w:p>
      <w:pPr>
        <w:spacing w:after="0" w:line="206" w:lineRule="exact"/>
        <w:rPr>
          <w:sz w:val="20"/>
          <w:szCs w:val="20"/>
          <w:color w:val="auto"/>
        </w:rPr>
      </w:pPr>
    </w:p>
    <w:p>
      <w:pPr>
        <w:ind w:left="760" w:right="20" w:firstLine="745"/>
        <w:spacing w:after="0" w:line="250" w:lineRule="auto"/>
        <w:tabs>
          <w:tab w:leader="none" w:pos="2048"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Administrative Agent may exercise in respect of the Collateral, in addition to other rights and remedies provided for herein or otherwise available to it, all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0" w:name="page151"/>
    <w:bookmarkEnd w:id="150"/>
    <w:p>
      <w:pPr>
        <w:spacing w:after="0" w:line="250" w:lineRule="auto"/>
        <w:rPr>
          <w:sz w:val="20"/>
          <w:szCs w:val="20"/>
          <w:color w:val="auto"/>
        </w:rPr>
      </w:pPr>
      <w:r>
        <w:rPr>
          <w:rFonts w:ascii="Arial" w:cs="Arial" w:eastAsia="Arial" w:hAnsi="Arial"/>
          <w:sz w:val="22"/>
          <w:szCs w:val="22"/>
          <w:color w:val="auto"/>
        </w:rPr>
        <w:t>the rights and remedies of the Administrative Agent on default under the UCC and also may, in each case, to the extent permitted under applicable law:</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(i) take possession of any Collateral not already in its possession without demand and without legal</w:t>
      </w:r>
    </w:p>
    <w:p>
      <w:pPr>
        <w:spacing w:after="0" w:line="43" w:lineRule="exact"/>
        <w:rPr>
          <w:sz w:val="20"/>
          <w:szCs w:val="20"/>
          <w:color w:val="auto"/>
        </w:rPr>
      </w:pPr>
    </w:p>
    <w:p>
      <w:pPr>
        <w:ind w:left="740"/>
        <w:spacing w:after="0"/>
        <w:rPr>
          <w:sz w:val="20"/>
          <w:szCs w:val="20"/>
          <w:color w:val="auto"/>
        </w:rPr>
      </w:pPr>
      <w:r>
        <w:rPr>
          <w:rFonts w:ascii="Arial" w:cs="Arial" w:eastAsia="Arial" w:hAnsi="Arial"/>
          <w:sz w:val="22"/>
          <w:szCs w:val="22"/>
          <w:color w:val="auto"/>
        </w:rPr>
        <w:t>process;</w:t>
      </w:r>
    </w:p>
    <w:p>
      <w:pPr>
        <w:spacing w:after="0" w:line="188" w:lineRule="exact"/>
        <w:rPr>
          <w:sz w:val="20"/>
          <w:szCs w:val="20"/>
          <w:color w:val="auto"/>
        </w:rPr>
      </w:pPr>
    </w:p>
    <w:p>
      <w:pPr>
        <w:jc w:val="both"/>
        <w:ind w:left="740" w:firstLine="754"/>
        <w:spacing w:after="0" w:line="252" w:lineRule="auto"/>
        <w:tabs>
          <w:tab w:leader="none" w:pos="1788" w:val="left"/>
        </w:tabs>
        <w:numPr>
          <w:ilvl w:val="0"/>
          <w:numId w:val="156"/>
        </w:numPr>
        <w:rPr>
          <w:rFonts w:ascii="Arial" w:cs="Arial" w:eastAsia="Arial" w:hAnsi="Arial"/>
          <w:sz w:val="21"/>
          <w:szCs w:val="21"/>
          <w:color w:val="auto"/>
        </w:rPr>
      </w:pPr>
      <w:r>
        <w:rPr>
          <w:rFonts w:ascii="Arial" w:cs="Arial" w:eastAsia="Arial" w:hAnsi="Arial"/>
          <w:sz w:val="21"/>
          <w:szCs w:val="21"/>
          <w:color w:val="auto"/>
        </w:rPr>
        <w:t>require each Grantor to, and each Grantor hereby agrees that it will, at its expense and upon request of the Administrative Agent forthwith, assemble all or part of the Collateral as directed by the Administrative Agent and make it available to the Administrative Agent at a place to be designated by the Administrative Agent that is reasonably convenient to both the Administrative Agent and such Grantor;</w:t>
      </w:r>
    </w:p>
    <w:p>
      <w:pPr>
        <w:spacing w:after="0" w:line="174" w:lineRule="exact"/>
        <w:rPr>
          <w:sz w:val="20"/>
          <w:szCs w:val="20"/>
          <w:color w:val="auto"/>
        </w:rPr>
      </w:pPr>
    </w:p>
    <w:p>
      <w:pPr>
        <w:jc w:val="both"/>
        <w:ind w:left="740" w:firstLine="749"/>
        <w:spacing w:after="0" w:line="250" w:lineRule="auto"/>
        <w:rPr>
          <w:sz w:val="20"/>
          <w:szCs w:val="20"/>
          <w:color w:val="auto"/>
        </w:rPr>
      </w:pPr>
      <w:r>
        <w:rPr>
          <w:rFonts w:ascii="Arial" w:cs="Arial" w:eastAsia="Arial" w:hAnsi="Arial"/>
          <w:sz w:val="22"/>
          <w:szCs w:val="22"/>
          <w:color w:val="auto"/>
        </w:rPr>
        <w:t>(iii)enter onto the property where any Collateral is located and take possession thereof without demand and without legal process; and</w:t>
      </w:r>
    </w:p>
    <w:p>
      <w:pPr>
        <w:spacing w:after="0" w:line="175" w:lineRule="exact"/>
        <w:rPr>
          <w:sz w:val="20"/>
          <w:szCs w:val="20"/>
          <w:color w:val="auto"/>
        </w:rPr>
      </w:pPr>
    </w:p>
    <w:p>
      <w:pPr>
        <w:jc w:val="both"/>
        <w:ind w:left="740" w:firstLine="749"/>
        <w:spacing w:after="0" w:line="274" w:lineRule="auto"/>
        <w:rPr>
          <w:sz w:val="20"/>
          <w:szCs w:val="20"/>
          <w:color w:val="auto"/>
        </w:rPr>
      </w:pPr>
      <w:r>
        <w:rPr>
          <w:rFonts w:ascii="Arial" w:cs="Arial" w:eastAsia="Arial" w:hAnsi="Arial"/>
          <w:sz w:val="19"/>
          <w:szCs w:val="19"/>
          <w:color w:val="auto"/>
        </w:rPr>
        <w:t>(iv)without notice except as specified below, lease, license, sell or otherwise dispose of the Collateral or any part thereof in one or more parcels at any public or private sale, at any of the Administrative Agent’s offices or elsewhere, for cash, on credit or for future delivery, and upon such other terms as are commercially reasonable. Each Grantor agrees that, to the extent notice of sale shall be required by Law, at least ten (10) days’ prior notice to such Grantor of the time and place of any public sale or the time after which any private sale is to be made shall constitute reasonable notification. The Administrative Agent shall not be obligated to make any sale of Collateral regardless of notice of sale having been given. The Administrative Agent may adjourn any public or private sale from time to time by announcement at the time and place fixed therefor, and such sale may, without further notice, be made at the time and place to which it was so adjourned.</w:t>
      </w:r>
    </w:p>
    <w:p>
      <w:pPr>
        <w:spacing w:after="0" w:line="158" w:lineRule="exact"/>
        <w:rPr>
          <w:sz w:val="20"/>
          <w:szCs w:val="20"/>
          <w:color w:val="auto"/>
        </w:rPr>
      </w:pPr>
    </w:p>
    <w:p>
      <w:pPr>
        <w:jc w:val="both"/>
        <w:ind w:right="20" w:firstLine="745"/>
        <w:spacing w:after="0"/>
        <w:tabs>
          <w:tab w:leader="none" w:pos="1288" w:val="left"/>
        </w:tabs>
        <w:numPr>
          <w:ilvl w:val="0"/>
          <w:numId w:val="157"/>
        </w:numPr>
        <w:rPr>
          <w:rFonts w:ascii="Arial" w:cs="Arial" w:eastAsia="Arial" w:hAnsi="Arial"/>
          <w:sz w:val="22"/>
          <w:szCs w:val="22"/>
          <w:color w:val="auto"/>
        </w:rPr>
      </w:pPr>
      <w:r>
        <w:rPr>
          <w:rFonts w:ascii="Arial" w:cs="Arial" w:eastAsia="Arial" w:hAnsi="Arial"/>
          <w:sz w:val="22"/>
          <w:szCs w:val="22"/>
          <w:color w:val="auto"/>
        </w:rPr>
        <w:t>All cash Proceeds received by the Administrative Agent in respect of any sale of, collection from, or other realization upon, all or any part of the Collateral shall be applied by the Administrative Agent against all or any part of the Obligations as set forth in Section 4.4(b) of the Credit Agreement.</w:t>
      </w:r>
    </w:p>
    <w:p>
      <w:pPr>
        <w:spacing w:after="0" w:line="186" w:lineRule="exact"/>
        <w:rPr>
          <w:rFonts w:ascii="Arial" w:cs="Arial" w:eastAsia="Arial" w:hAnsi="Arial"/>
          <w:sz w:val="22"/>
          <w:szCs w:val="22"/>
          <w:color w:val="auto"/>
        </w:rPr>
      </w:pPr>
    </w:p>
    <w:p>
      <w:pPr>
        <w:ind w:left="1280" w:hanging="535"/>
        <w:spacing w:after="0"/>
        <w:tabs>
          <w:tab w:leader="none" w:pos="128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Administrative Agent may, in each case, to the extent permitted under applicable law:</w:t>
      </w:r>
    </w:p>
    <w:p>
      <w:pPr>
        <w:spacing w:after="0" w:line="206" w:lineRule="exact"/>
        <w:rPr>
          <w:rFonts w:ascii="Arial" w:cs="Arial" w:eastAsia="Arial" w:hAnsi="Arial"/>
          <w:sz w:val="22"/>
          <w:szCs w:val="22"/>
          <w:color w:val="auto"/>
        </w:rPr>
      </w:pPr>
    </w:p>
    <w:p>
      <w:pPr>
        <w:ind w:left="740" w:firstLine="754"/>
        <w:spacing w:after="0" w:line="250" w:lineRule="auto"/>
        <w:tabs>
          <w:tab w:leader="none" w:pos="1788" w:val="left"/>
        </w:tabs>
        <w:numPr>
          <w:ilvl w:val="1"/>
          <w:numId w:val="157"/>
        </w:numPr>
        <w:rPr>
          <w:rFonts w:ascii="Arial" w:cs="Arial" w:eastAsia="Arial" w:hAnsi="Arial"/>
          <w:sz w:val="22"/>
          <w:szCs w:val="22"/>
          <w:color w:val="auto"/>
        </w:rPr>
      </w:pPr>
      <w:r>
        <w:rPr>
          <w:rFonts w:ascii="Arial" w:cs="Arial" w:eastAsia="Arial" w:hAnsi="Arial"/>
          <w:sz w:val="22"/>
          <w:szCs w:val="22"/>
          <w:color w:val="auto"/>
        </w:rPr>
        <w:t>transfer all or any part of the Collateral into the name of the Administrative Agent or its nominee, with or without disclosing that such Collateral is subject to the Lien hereunder;</w:t>
      </w:r>
    </w:p>
    <w:p>
      <w:pPr>
        <w:spacing w:after="0" w:line="174" w:lineRule="exact"/>
        <w:rPr>
          <w:rFonts w:ascii="Arial" w:cs="Arial" w:eastAsia="Arial" w:hAnsi="Arial"/>
          <w:sz w:val="22"/>
          <w:szCs w:val="22"/>
          <w:color w:val="auto"/>
        </w:rPr>
      </w:pPr>
    </w:p>
    <w:p>
      <w:pPr>
        <w:ind w:left="740" w:right="20" w:firstLine="754"/>
        <w:spacing w:after="0" w:line="250" w:lineRule="auto"/>
        <w:tabs>
          <w:tab w:leader="none" w:pos="1788" w:val="left"/>
        </w:tabs>
        <w:numPr>
          <w:ilvl w:val="1"/>
          <w:numId w:val="157"/>
        </w:numPr>
        <w:rPr>
          <w:rFonts w:ascii="Arial" w:cs="Arial" w:eastAsia="Arial" w:hAnsi="Arial"/>
          <w:sz w:val="22"/>
          <w:szCs w:val="22"/>
          <w:color w:val="auto"/>
        </w:rPr>
      </w:pPr>
      <w:r>
        <w:rPr>
          <w:rFonts w:ascii="Arial" w:cs="Arial" w:eastAsia="Arial" w:hAnsi="Arial"/>
          <w:sz w:val="22"/>
          <w:szCs w:val="22"/>
          <w:color w:val="auto"/>
        </w:rPr>
        <w:t>notify the parties obligated on any of the Collateral to make payment to the Administrative Agent of any amount due or to become due thereunder;</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(iii)withdraw, or cause or direct the withdrawal, of all funds with respect to any Collateral Account;</w:t>
      </w:r>
    </w:p>
    <w:p>
      <w:pPr>
        <w:spacing w:after="0" w:line="241"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157480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34" w:right="339" w:bottom="1440" w:gutter="0" w:footer="0" w:header="0"/>
        </w:sectPr>
      </w:pPr>
    </w:p>
    <w:bookmarkStart w:id="151" w:name="page152"/>
    <w:bookmarkEnd w:id="151"/>
    <w:p>
      <w:pPr>
        <w:jc w:val="both"/>
        <w:ind w:left="1500" w:firstLine="749"/>
        <w:spacing w:after="0"/>
        <w:rPr>
          <w:sz w:val="20"/>
          <w:szCs w:val="20"/>
          <w:color w:val="auto"/>
        </w:rPr>
      </w:pPr>
      <w:r>
        <w:rPr>
          <w:rFonts w:ascii="Arial" w:cs="Arial" w:eastAsia="Arial" w:hAnsi="Arial"/>
          <w:sz w:val="22"/>
          <w:szCs w:val="22"/>
          <w:color w:val="auto"/>
        </w:rPr>
        <w:t>(iv)enforce collection of any of the Collateral by suit or otherwise, and surrender, release or exchange all or any part thereof, or compromise or extend or renew for any period (whether or not longer than the original period) any obligations of any nature of any party with respect thereto;</w:t>
      </w:r>
    </w:p>
    <w:p>
      <w:pPr>
        <w:spacing w:after="0" w:line="186" w:lineRule="exact"/>
        <w:rPr>
          <w:sz w:val="20"/>
          <w:szCs w:val="20"/>
          <w:color w:val="auto"/>
        </w:rPr>
      </w:pPr>
    </w:p>
    <w:p>
      <w:pPr>
        <w:ind w:left="2560" w:hanging="306"/>
        <w:spacing w:after="0"/>
        <w:tabs>
          <w:tab w:leader="none" w:pos="256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endorse any checks, drafts, or other writings in any Grantor’s name to allow collection of the</w:t>
      </w:r>
    </w:p>
    <w:p>
      <w:pPr>
        <w:spacing w:after="0" w:line="19" w:lineRule="exact"/>
        <w:rPr>
          <w:rFonts w:ascii="Arial" w:cs="Arial" w:eastAsia="Arial" w:hAnsi="Arial"/>
          <w:sz w:val="21"/>
          <w:szCs w:val="21"/>
          <w:color w:val="auto"/>
        </w:rPr>
      </w:pPr>
    </w:p>
    <w:p>
      <w:pPr>
        <w:ind w:left="1500"/>
        <w:spacing w:after="0"/>
        <w:rPr>
          <w:rFonts w:ascii="Arial" w:cs="Arial" w:eastAsia="Arial" w:hAnsi="Arial"/>
          <w:sz w:val="21"/>
          <w:szCs w:val="21"/>
          <w:color w:val="auto"/>
        </w:rPr>
      </w:pPr>
      <w:r>
        <w:rPr>
          <w:rFonts w:ascii="Arial" w:cs="Arial" w:eastAsia="Arial" w:hAnsi="Arial"/>
          <w:sz w:val="22"/>
          <w:szCs w:val="22"/>
          <w:color w:val="auto"/>
        </w:rPr>
        <w:t>Collateral;</w:t>
      </w:r>
    </w:p>
    <w:p>
      <w:pPr>
        <w:spacing w:after="0" w:line="188"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(vi)take control of any Proceeds of the Collateral; and</w:t>
      </w:r>
    </w:p>
    <w:p>
      <w:pPr>
        <w:spacing w:after="0" w:line="206" w:lineRule="exact"/>
        <w:rPr>
          <w:sz w:val="20"/>
          <w:szCs w:val="20"/>
          <w:color w:val="auto"/>
        </w:rPr>
      </w:pPr>
    </w:p>
    <w:p>
      <w:pPr>
        <w:ind w:left="1500" w:right="20" w:firstLine="749"/>
        <w:spacing w:after="0" w:line="274" w:lineRule="auto"/>
        <w:rPr>
          <w:sz w:val="20"/>
          <w:szCs w:val="20"/>
          <w:color w:val="auto"/>
        </w:rPr>
      </w:pPr>
      <w:r>
        <w:rPr>
          <w:rFonts w:ascii="Arial" w:cs="Arial" w:eastAsia="Arial" w:hAnsi="Arial"/>
          <w:sz w:val="21"/>
          <w:szCs w:val="21"/>
          <w:color w:val="auto"/>
        </w:rPr>
        <w:t>(vii)execute (in the name, place and stead of any Grantor) endorsements, assignments, stock powers and other instruments of conveyance or transfer with respect to all or any of the Collateral.</w:t>
      </w:r>
    </w:p>
    <w:p>
      <w:pPr>
        <w:spacing w:after="0" w:line="151"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Securities Laws</w:t>
      </w:r>
      <w:r>
        <w:rPr>
          <w:rFonts w:ascii="Arial" w:cs="Arial" w:eastAsia="Arial" w:hAnsi="Arial"/>
          <w:sz w:val="19"/>
          <w:szCs w:val="19"/>
          <w:color w:val="auto"/>
        </w:rPr>
        <w:t xml:space="preserve">. If, after the occurrence and during the continuance of an Event of Default, the Administrative Agent shall determine to exercise its right to sell all or any of the Collateral that are Capital Securities pursuant to </w:t>
      </w:r>
      <w:r>
        <w:rPr>
          <w:rFonts w:ascii="Arial" w:cs="Arial" w:eastAsia="Arial" w:hAnsi="Arial"/>
          <w:sz w:val="19"/>
          <w:szCs w:val="19"/>
          <w:u w:val="single" w:color="auto"/>
          <w:color w:val="auto"/>
        </w:rPr>
        <w:t>Section 6.1(a)(iv)</w:t>
      </w:r>
      <w:r>
        <w:rPr>
          <w:rFonts w:ascii="Arial" w:cs="Arial" w:eastAsia="Arial" w:hAnsi="Arial"/>
          <w:sz w:val="19"/>
          <w:szCs w:val="19"/>
          <w:color w:val="auto"/>
        </w:rPr>
        <w:t>, each Grantor agrees that upon request of the Administrative Agent, such Grantor will, at its own expense:</w:t>
      </w:r>
    </w:p>
    <w:p>
      <w:pPr>
        <w:spacing w:after="0" w:line="134" w:lineRule="exact"/>
        <w:rPr>
          <w:sz w:val="20"/>
          <w:szCs w:val="20"/>
          <w:color w:val="auto"/>
        </w:rPr>
      </w:pPr>
    </w:p>
    <w:p>
      <w:pPr>
        <w:jc w:val="both"/>
        <w:ind w:left="760" w:firstLine="745"/>
        <w:spacing w:after="0" w:line="245" w:lineRule="auto"/>
        <w:tabs>
          <w:tab w:leader="none" w:pos="2048" w:val="left"/>
        </w:tabs>
        <w:numPr>
          <w:ilvl w:val="0"/>
          <w:numId w:val="159"/>
        </w:numPr>
        <w:rPr>
          <w:rFonts w:ascii="Arial" w:cs="Arial" w:eastAsia="Arial" w:hAnsi="Arial"/>
          <w:sz w:val="21"/>
          <w:szCs w:val="21"/>
          <w:color w:val="auto"/>
        </w:rPr>
      </w:pPr>
      <w:r>
        <w:rPr>
          <w:rFonts w:ascii="Arial" w:cs="Arial" w:eastAsia="Arial" w:hAnsi="Arial"/>
          <w:sz w:val="21"/>
          <w:szCs w:val="21"/>
          <w:color w:val="auto"/>
        </w:rPr>
        <w:t>execute and deliver, and cause (or, with respect to any issuer which is not a Subsidiary of such Grantor, use its best efforts to cause) each issuer of the Collateral contemplated to be sold and the directors and officers thereof to execute and deliver, all such instruments and documents, and do or cause to be done all such other acts and things, as may be reasonably necessary or, in the opinion of the Administrative Agent, advisable to register such Collateral under the provisions of the Securities Act of 1933, as from time to time amended, and the rules and regulations of the SEC thereunder (the “</w:t>
      </w:r>
      <w:r>
        <w:rPr>
          <w:rFonts w:ascii="Arial" w:cs="Arial" w:eastAsia="Arial" w:hAnsi="Arial"/>
          <w:sz w:val="21"/>
          <w:szCs w:val="21"/>
          <w:u w:val="single" w:color="auto"/>
          <w:color w:val="auto"/>
        </w:rPr>
        <w:t>Securities Act</w:t>
      </w:r>
      <w:r>
        <w:rPr>
          <w:rFonts w:ascii="Arial" w:cs="Arial" w:eastAsia="Arial" w:hAnsi="Arial"/>
          <w:sz w:val="21"/>
          <w:szCs w:val="21"/>
          <w:color w:val="auto"/>
        </w:rPr>
        <w:t>”), and cause the registration statement relating thereto to become effective and to remain effective for such period as prospectuses are required by Law to be furnished, and to make all amendments and supplements thereto and to the related prospectus which, in the opinion of the Administrative Agent, are reasonably necessary or advisable, all in conformity with the requirements of the Securities Act and the rules and regulations of the SEC applicable thereto;</w:t>
      </w:r>
    </w:p>
    <w:p>
      <w:pPr>
        <w:spacing w:after="0" w:line="180" w:lineRule="exact"/>
        <w:rPr>
          <w:rFonts w:ascii="Arial" w:cs="Arial" w:eastAsia="Arial" w:hAnsi="Arial"/>
          <w:sz w:val="21"/>
          <w:szCs w:val="21"/>
          <w:color w:val="auto"/>
        </w:rPr>
      </w:pPr>
    </w:p>
    <w:p>
      <w:pPr>
        <w:ind w:left="760" w:firstLine="745"/>
        <w:spacing w:after="0" w:line="328" w:lineRule="auto"/>
        <w:tabs>
          <w:tab w:leader="none" w:pos="2048" w:val="left"/>
        </w:tabs>
        <w:numPr>
          <w:ilvl w:val="0"/>
          <w:numId w:val="159"/>
        </w:numPr>
        <w:rPr>
          <w:rFonts w:ascii="Arial" w:cs="Arial" w:eastAsia="Arial" w:hAnsi="Arial"/>
          <w:sz w:val="19"/>
          <w:szCs w:val="19"/>
          <w:color w:val="auto"/>
        </w:rPr>
      </w:pPr>
      <w:r>
        <w:rPr>
          <w:rFonts w:ascii="Arial" w:cs="Arial" w:eastAsia="Arial" w:hAnsi="Arial"/>
          <w:sz w:val="19"/>
          <w:szCs w:val="19"/>
          <w:color w:val="auto"/>
        </w:rPr>
        <w:t>use its best efforts to exempt the Collateral under the state securities or “Blue Sky” laws and to obtain all necessary governmental approvals for the sale of the Collateral, as reasonably requested by the Administrative Agent;</w:t>
      </w:r>
    </w:p>
    <w:p>
      <w:pPr>
        <w:spacing w:after="0" w:line="104" w:lineRule="exact"/>
        <w:rPr>
          <w:rFonts w:ascii="Arial" w:cs="Arial" w:eastAsia="Arial" w:hAnsi="Arial"/>
          <w:sz w:val="19"/>
          <w:szCs w:val="19"/>
          <w:color w:val="auto"/>
        </w:rPr>
      </w:pPr>
    </w:p>
    <w:p>
      <w:pPr>
        <w:jc w:val="both"/>
        <w:ind w:left="760" w:firstLine="745"/>
        <w:spacing w:after="0"/>
        <w:tabs>
          <w:tab w:leader="none" w:pos="2048" w:val="left"/>
        </w:tabs>
        <w:numPr>
          <w:ilvl w:val="0"/>
          <w:numId w:val="159"/>
        </w:numPr>
        <w:rPr>
          <w:rFonts w:ascii="Arial" w:cs="Arial" w:eastAsia="Arial" w:hAnsi="Arial"/>
          <w:sz w:val="22"/>
          <w:szCs w:val="22"/>
          <w:color w:val="auto"/>
        </w:rPr>
      </w:pPr>
      <w:r>
        <w:rPr>
          <w:rFonts w:ascii="Arial" w:cs="Arial" w:eastAsia="Arial" w:hAnsi="Arial"/>
          <w:sz w:val="22"/>
          <w:szCs w:val="22"/>
          <w:color w:val="auto"/>
        </w:rPr>
        <w:t xml:space="preserve">cause (or, with respect to any issuer that is not a Subsidiary of such Grantor, use its best efforts to cause) each such issuer to make available to its security holders, as soon as practicable, an earnings statement that will satisfy the provisions of </w:t>
      </w:r>
      <w:r>
        <w:rPr>
          <w:rFonts w:ascii="Arial" w:cs="Arial" w:eastAsia="Arial" w:hAnsi="Arial"/>
          <w:sz w:val="22"/>
          <w:szCs w:val="22"/>
          <w:u w:val="single" w:color="auto"/>
          <w:color w:val="auto"/>
        </w:rPr>
        <w:t>Section 11(a)</w:t>
      </w:r>
      <w:r>
        <w:rPr>
          <w:rFonts w:ascii="Arial" w:cs="Arial" w:eastAsia="Arial" w:hAnsi="Arial"/>
          <w:sz w:val="22"/>
          <w:szCs w:val="22"/>
          <w:color w:val="auto"/>
        </w:rPr>
        <w:t xml:space="preserve"> of the Securities Act; and</w:t>
      </w:r>
    </w:p>
    <w:p>
      <w:pPr>
        <w:spacing w:after="0" w:line="186" w:lineRule="exact"/>
        <w:rPr>
          <w:rFonts w:ascii="Arial" w:cs="Arial" w:eastAsia="Arial" w:hAnsi="Arial"/>
          <w:sz w:val="22"/>
          <w:szCs w:val="22"/>
          <w:color w:val="auto"/>
        </w:rPr>
      </w:pPr>
    </w:p>
    <w:p>
      <w:pPr>
        <w:ind w:left="760" w:firstLine="745"/>
        <w:spacing w:after="0" w:line="250" w:lineRule="auto"/>
        <w:tabs>
          <w:tab w:leader="none" w:pos="2048" w:val="left"/>
        </w:tabs>
        <w:numPr>
          <w:ilvl w:val="0"/>
          <w:numId w:val="159"/>
        </w:numPr>
        <w:rPr>
          <w:rFonts w:ascii="Arial" w:cs="Arial" w:eastAsia="Arial" w:hAnsi="Arial"/>
          <w:sz w:val="22"/>
          <w:szCs w:val="22"/>
          <w:color w:val="auto"/>
        </w:rPr>
      </w:pPr>
      <w:r>
        <w:rPr>
          <w:rFonts w:ascii="Arial" w:cs="Arial" w:eastAsia="Arial" w:hAnsi="Arial"/>
          <w:sz w:val="22"/>
          <w:szCs w:val="22"/>
          <w:color w:val="auto"/>
        </w:rPr>
        <w:t>do or cause to be done all such other acts and things as may be necessary to make such sale of the Collateral or any part thereof valid and binding and in compliance with applicable law.</w:t>
      </w:r>
    </w:p>
    <w:p>
      <w:pPr>
        <w:spacing w:after="0" w:line="17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 xml:space="preserve">SECTION 6.3. </w:t>
      </w:r>
      <w:r>
        <w:rPr>
          <w:rFonts w:ascii="Arial" w:cs="Arial" w:eastAsia="Arial" w:hAnsi="Arial"/>
          <w:sz w:val="22"/>
          <w:szCs w:val="22"/>
          <w:u w:val="single" w:color="auto"/>
          <w:color w:val="auto"/>
        </w:rPr>
        <w:t>Compliance with Restrictions</w:t>
      </w:r>
      <w:r>
        <w:rPr>
          <w:rFonts w:ascii="Arial" w:cs="Arial" w:eastAsia="Arial" w:hAnsi="Arial"/>
          <w:sz w:val="22"/>
          <w:szCs w:val="22"/>
          <w:color w:val="auto"/>
        </w:rPr>
        <w:t>. Each Grantor agrees that in any sale of any of the Collateral whenever an Event of Default shall have occurred and be continuing,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2" w:name="page153"/>
    <w:bookmarkEnd w:id="152"/>
    <w:p>
      <w:pPr>
        <w:jc w:val="both"/>
        <w:spacing w:after="0" w:line="274" w:lineRule="auto"/>
        <w:rPr>
          <w:sz w:val="20"/>
          <w:szCs w:val="20"/>
          <w:color w:val="auto"/>
        </w:rPr>
      </w:pPr>
      <w:r>
        <w:rPr>
          <w:rFonts w:ascii="Arial" w:cs="Arial" w:eastAsia="Arial" w:hAnsi="Arial"/>
          <w:sz w:val="19"/>
          <w:szCs w:val="19"/>
          <w:color w:val="auto"/>
        </w:rPr>
        <w:t>Administrative Agent is hereby authorized to comply with any limitation or restriction in connection with such sale as it may be advised by counsel is necessary in order to avoid any violation of applicable Law (including compliance with such procedures as may restrict the number of prospective bidders and purchasers, require that such prospective bidders and purchasers have certain qualifications, and restrict such prospective bidders and purchasers to Persons who will represent and agree that they are purchasing for their own account for investment and not with a view to the distribution or resale of such Collateral), or in order to obtain any required approval of the sale or of the purchaser by any Governmental Authority or official, and such Grantor further agrees that such compliance shall not result in such sale being considered or deemed not to have been made in a commercially reasonable manner, nor shall the Administrative Agent be liable nor accountable to such Grantor for any discount allowed by the reason of the fact that such Collateral is sold in compliance with any such limitation or restriction.</w:t>
      </w:r>
    </w:p>
    <w:p>
      <w:pPr>
        <w:spacing w:after="0" w:line="15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 xml:space="preserve">SECTION 6.4. </w:t>
      </w:r>
      <w:r>
        <w:rPr>
          <w:rFonts w:ascii="Arial" w:cs="Arial" w:eastAsia="Arial" w:hAnsi="Arial"/>
          <w:sz w:val="21"/>
          <w:szCs w:val="21"/>
          <w:u w:val="single" w:color="auto"/>
          <w:color w:val="auto"/>
        </w:rPr>
        <w:t>Protection of Collateral</w:t>
      </w:r>
      <w:r>
        <w:rPr>
          <w:rFonts w:ascii="Arial" w:cs="Arial" w:eastAsia="Arial" w:hAnsi="Arial"/>
          <w:sz w:val="21"/>
          <w:szCs w:val="21"/>
          <w:color w:val="auto"/>
        </w:rPr>
        <w:t>. The Administrative Agent may from time to time, at its option, perform any act which any Grantor fails to perform after being requested in writing so to perform (it being understood that no such request need be made after the occurrence and during the continuance of an Event of Default) and the Administrative Agent may from time to time take any other action which the Administrative Agent deems necessary for the maintenance, preservation or protection of any of the Collateral or of its security interest therein.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 PROVISIONS</w:t>
      </w:r>
    </w:p>
    <w:p>
      <w:pPr>
        <w:spacing w:after="0" w:line="188"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7.1. </w:t>
      </w:r>
      <w:r>
        <w:rPr>
          <w:rFonts w:ascii="Arial" w:cs="Arial" w:eastAsia="Arial" w:hAnsi="Arial"/>
          <w:sz w:val="22"/>
          <w:szCs w:val="22"/>
          <w:u w:val="single" w:color="auto"/>
          <w:color w:val="auto"/>
        </w:rPr>
        <w:t>Loan Document</w:t>
      </w:r>
      <w:r>
        <w:rPr>
          <w:rFonts w:ascii="Arial" w:cs="Arial" w:eastAsia="Arial" w:hAnsi="Arial"/>
          <w:sz w:val="22"/>
          <w:szCs w:val="22"/>
          <w:color w:val="auto"/>
        </w:rPr>
        <w:t>. This Security Agreement is a Loan Document executed pursuant to the Credit Agreement and shall (unless otherwise expressly indicated herein) be construed, administered and applied in accordance with the terms and provisions thereof, including Article X thereof.</w:t>
      </w:r>
    </w:p>
    <w:p>
      <w:pPr>
        <w:spacing w:after="0" w:line="18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SECTION 7.2. </w:t>
      </w:r>
      <w:r>
        <w:rPr>
          <w:rFonts w:ascii="Arial" w:cs="Arial" w:eastAsia="Arial" w:hAnsi="Arial"/>
          <w:sz w:val="22"/>
          <w:szCs w:val="22"/>
          <w:u w:val="single" w:color="auto"/>
          <w:color w:val="auto"/>
        </w:rPr>
        <w:t>Binding on Successors, Transferees and Assigns; Assignment</w:t>
      </w:r>
      <w:r>
        <w:rPr>
          <w:rFonts w:ascii="Arial" w:cs="Arial" w:eastAsia="Arial" w:hAnsi="Arial"/>
          <w:sz w:val="22"/>
          <w:szCs w:val="22"/>
          <w:color w:val="auto"/>
        </w:rPr>
        <w:t xml:space="preserve">. This Security Agreement shall remain in full force and effect until the Termination Date has occurred, shall be binding upon the Grantors and their successors, permitted transferees and permitted assigns and shall inure to the benefit of and be enforceable by the Administrative Agent and the Secured Parties;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Grantor may assign or transfer any of its rights or obligations hereunder without the prior consent of the Administrative Agent.</w:t>
      </w:r>
    </w:p>
    <w:p>
      <w:pPr>
        <w:spacing w:after="0" w:line="18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 xml:space="preserve">SECTION 7.3. </w:t>
      </w:r>
      <w:r>
        <w:rPr>
          <w:rFonts w:ascii="Arial" w:cs="Arial" w:eastAsia="Arial" w:hAnsi="Arial"/>
          <w:sz w:val="21"/>
          <w:szCs w:val="21"/>
          <w:u w:val="single" w:color="auto"/>
          <w:color w:val="auto"/>
        </w:rPr>
        <w:t>Amendments, Etc.</w:t>
      </w:r>
      <w:r>
        <w:rPr>
          <w:rFonts w:ascii="Arial" w:cs="Arial" w:eastAsia="Arial" w:hAnsi="Arial"/>
          <w:sz w:val="21"/>
          <w:szCs w:val="21"/>
          <w:color w:val="auto"/>
        </w:rPr>
        <w:t xml:space="preserve"> No amendment or modification to or waiver of any provision of this Security Agreement, nor consent to any departure by any Grantor from its obligations under this Security Agreement, shall in any event be effective unless the same shall be in writing and signed by the Administrative Agent and the Grantors and then such waiver or consent shall be effective only in the specific instance and for the specific purpose for which given.</w:t>
      </w:r>
    </w:p>
    <w:p>
      <w:pPr>
        <w:spacing w:after="0" w:line="174"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provided for hereunder shall be delivered or made as provided in Section 10.2 of the Credit Agreement.</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7.5. </w:t>
      </w:r>
      <w:r>
        <w:rPr>
          <w:rFonts w:ascii="Arial" w:cs="Arial" w:eastAsia="Arial" w:hAnsi="Arial"/>
          <w:sz w:val="22"/>
          <w:szCs w:val="22"/>
          <w:u w:val="single" w:color="auto"/>
          <w:color w:val="auto"/>
        </w:rPr>
        <w:t>Release of Liens</w:t>
      </w:r>
      <w:r>
        <w:rPr>
          <w:rFonts w:ascii="Arial" w:cs="Arial" w:eastAsia="Arial" w:hAnsi="Arial"/>
          <w:sz w:val="22"/>
          <w:szCs w:val="22"/>
          <w:color w:val="auto"/>
        </w:rPr>
        <w:t>. Upon (a) the sale of Collateral to Persons who are not the Borrower or any Subsidiary thereof in accordance with the Credit Agreement or (b) the occurrence of the Termination Date, the security interests granted herein in such Collateral shall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3" w:name="page154"/>
    <w:bookmarkEnd w:id="153"/>
    <w:p>
      <w:pPr>
        <w:jc w:val="both"/>
        <w:spacing w:after="0" w:line="236" w:lineRule="auto"/>
        <w:rPr>
          <w:sz w:val="20"/>
          <w:szCs w:val="20"/>
          <w:color w:val="auto"/>
        </w:rPr>
      </w:pPr>
      <w:r>
        <w:rPr>
          <w:rFonts w:ascii="Arial" w:cs="Arial" w:eastAsia="Arial" w:hAnsi="Arial"/>
          <w:sz w:val="22"/>
          <w:szCs w:val="22"/>
          <w:color w:val="auto"/>
        </w:rPr>
        <w:t xml:space="preserve">automatically terminate with respect to (i) such Collateral (in the case of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or (ii) all Collateral (in the case of </w:t>
      </w:r>
      <w:r>
        <w:rPr>
          <w:rFonts w:ascii="Arial" w:cs="Arial" w:eastAsia="Arial" w:hAnsi="Arial"/>
          <w:sz w:val="22"/>
          <w:szCs w:val="22"/>
          <w:u w:val="single" w:color="auto"/>
          <w:color w:val="auto"/>
        </w:rPr>
        <w:t>clause</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Upon any such sale or termination, the Administrative Agent will, at the Grantors’ sole expense, deliver to the Grantors, without any representations, warranties or recourse of any kind whatsoever, all such Collateral held by the Administrative Agent hereunder, and execute and deliver to the Grantors such documents as the Grantors shall reasonably request to evidence such termination.</w:t>
      </w:r>
    </w:p>
    <w:p>
      <w:pPr>
        <w:spacing w:after="0" w:line="187"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 xml:space="preserve">SECTION 7.6. </w:t>
      </w:r>
      <w:r>
        <w:rPr>
          <w:rFonts w:ascii="Arial" w:cs="Arial" w:eastAsia="Arial" w:hAnsi="Arial"/>
          <w:sz w:val="19"/>
          <w:szCs w:val="19"/>
          <w:u w:val="single" w:color="auto"/>
          <w:color w:val="auto"/>
        </w:rPr>
        <w:t>Additional Grantors</w:t>
      </w:r>
      <w:r>
        <w:rPr>
          <w:rFonts w:ascii="Arial" w:cs="Arial" w:eastAsia="Arial" w:hAnsi="Arial"/>
          <w:sz w:val="19"/>
          <w:szCs w:val="19"/>
          <w:color w:val="auto"/>
        </w:rPr>
        <w:t xml:space="preserve">. Upon the execution and delivery by any other Person of a supplement in the form of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hereto, such Person shall become a “Grantor” hereunder with the same force and effect as if it were originally a party to this Security Agreement and named as a “Grantor” hereunder. The execution and delivery of such supplement shall not require the consent of any other Grantor hereunder, and the rights and obligations of each Grantor hereunder shall remain in full force and effect notwithstanding the addition of any new Grantor as a party to this Security Agreement. Any schedules delivered by any additional Grantor pursuant to such supplement shall supplement the relevant schedules to this Security Agreement.</w:t>
      </w:r>
    </w:p>
    <w:p>
      <w:pPr>
        <w:spacing w:after="0" w:line="150"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 xml:space="preserve">SECTION 7.7. </w:t>
      </w:r>
      <w:r>
        <w:rPr>
          <w:rFonts w:ascii="Arial" w:cs="Arial" w:eastAsia="Arial" w:hAnsi="Arial"/>
          <w:sz w:val="19"/>
          <w:szCs w:val="19"/>
          <w:u w:val="single" w:color="auto"/>
          <w:color w:val="auto"/>
        </w:rPr>
        <w:t>No Waiver; Remedies</w:t>
      </w:r>
      <w:r>
        <w:rPr>
          <w:rFonts w:ascii="Arial" w:cs="Arial" w:eastAsia="Arial" w:hAnsi="Arial"/>
          <w:sz w:val="19"/>
          <w:szCs w:val="19"/>
          <w:color w:val="auto"/>
        </w:rPr>
        <w:t xml:space="preserve">. In addition to, and not in limitation of </w:t>
      </w:r>
      <w:r>
        <w:rPr>
          <w:rFonts w:ascii="Arial" w:cs="Arial" w:eastAsia="Arial" w:hAnsi="Arial"/>
          <w:sz w:val="19"/>
          <w:szCs w:val="19"/>
          <w:u w:val="single" w:color="auto"/>
          <w:color w:val="auto"/>
        </w:rPr>
        <w:t>Section 2.5</w:t>
      </w:r>
      <w:r>
        <w:rPr>
          <w:rFonts w:ascii="Arial" w:cs="Arial" w:eastAsia="Arial" w:hAnsi="Arial"/>
          <w:sz w:val="19"/>
          <w:szCs w:val="19"/>
          <w:color w:val="auto"/>
        </w:rPr>
        <w:t>, no failure on the part of the Administrative Agent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43"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7.8.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Security Agreement which is prohibited or unenforceable in any jurisdiction shall, as to such provision and such jurisdiction, be ineffective only to the extent of such prohibition or unenforceability without invalidating the remaining provisions of this Security Agreement or affecting the validity or enforceability of such provision in any other jurisdiction.</w:t>
      </w:r>
    </w:p>
    <w:p>
      <w:pPr>
        <w:spacing w:after="0" w:line="18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 xml:space="preserve">SECTION 7.9. </w:t>
      </w:r>
      <w:r>
        <w:rPr>
          <w:rFonts w:ascii="Arial" w:cs="Arial" w:eastAsia="Arial" w:hAnsi="Arial"/>
          <w:sz w:val="21"/>
          <w:szCs w:val="21"/>
          <w:u w:val="single" w:color="auto"/>
          <w:color w:val="auto"/>
        </w:rPr>
        <w:t>Governing Law, Entire Agreement, Etc.</w:t>
      </w:r>
      <w:r>
        <w:rPr>
          <w:rFonts w:ascii="Arial" w:cs="Arial" w:eastAsia="Arial" w:hAnsi="Arial"/>
          <w:sz w:val="21"/>
          <w:szCs w:val="21"/>
          <w:color w:val="auto"/>
        </w:rPr>
        <w:t xml:space="preserve"> THIS SECURITY AGREEMENT AND ANY CLAIMS, CONTROVERSY, DISPUTE OR CAUSE OF ACTION (WHETHER IN CONTRACT OR TORT OR OTHERWISE) BASED UPON, ARISING OUT OF OR RELATING TO THIS SECURITY AGREEMENT OR ANY OTHER LOAN DOCUMENT CONTEMPLATED HEREBY SHALL BE GOVERNED BY, AND CONSTRUED IN ACCORDANCE WITH, THE INTERNAL LAWS OF THE STATE OF NEW YORK (INCLUDING FOR SUCH PURPOSE SECTIONS 5-1401 AND 5-1402 OF THE GENERAL OBLIGATIONS LAW OF THE STATE OF NEW YORK). This Security Agreement, along with the other Loan Documents, constitutes the entire understanding among the parties hereto with respect to the subject matter thereof and supersedes any prior agreements, written or oral, with respect thereto.</w:t>
      </w:r>
    </w:p>
    <w:p>
      <w:pPr>
        <w:spacing w:after="0" w:line="180"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u w:val="single" w:color="auto"/>
          <w:color w:val="auto"/>
        </w:rPr>
        <w:t>Counterparts</w:t>
      </w:r>
      <w:r>
        <w:rPr>
          <w:rFonts w:ascii="Arial" w:cs="Arial" w:eastAsia="Arial" w:hAnsi="Arial"/>
          <w:sz w:val="22"/>
          <w:szCs w:val="22"/>
          <w:color w:val="auto"/>
        </w:rPr>
        <w:t>. This Security Agreement may be executed by the parties hereto in several counterparts, each of which shall be an original and all of which shall constitute together but one and the same agreement. This Security Agreement shall become effective when counterparts hereof executed on behalf of all of the signatories hereto, shall have been received by the Administrative Agent. Delivery of an executed counterpart of a signature page to this Security Agreement by email (e.g. “pdf” or “tiff”) or telecopy shall be effective as delivery of a manually executed counterpart of this Security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4" w:name="page155"/>
    <w:bookmarkEnd w:id="154"/>
    <w:p>
      <w:pPr>
        <w:jc w:val="both"/>
        <w:ind w:firstLine="749"/>
        <w:spacing w:after="0" w:line="242" w:lineRule="auto"/>
        <w:rPr>
          <w:sz w:val="20"/>
          <w:szCs w:val="20"/>
          <w:color w:val="auto"/>
        </w:rPr>
      </w:pPr>
      <w:r>
        <w:rPr>
          <w:rFonts w:ascii="Arial" w:cs="Arial" w:eastAsia="Arial" w:hAnsi="Arial"/>
          <w:sz w:val="21"/>
          <w:szCs w:val="21"/>
          <w:color w:val="auto"/>
        </w:rPr>
        <w:t xml:space="preserve">SECTION 7.11. </w:t>
      </w:r>
      <w:r>
        <w:rPr>
          <w:rFonts w:ascii="Arial" w:cs="Arial" w:eastAsia="Arial" w:hAnsi="Arial"/>
          <w:sz w:val="21"/>
          <w:szCs w:val="21"/>
          <w:u w:val="single" w:color="auto"/>
          <w:color w:val="auto"/>
        </w:rPr>
        <w:t>Forum Selection and Consent to Jurisdiction</w:t>
      </w:r>
      <w:r>
        <w:rPr>
          <w:rFonts w:ascii="Arial" w:cs="Arial" w:eastAsia="Arial" w:hAnsi="Arial"/>
          <w:sz w:val="21"/>
          <w:szCs w:val="21"/>
          <w:color w:val="auto"/>
        </w:rPr>
        <w:t xml:space="preserve">. ANY LITIGATION BASED HEREON, OR ARISING OUT OF, UNDER, OR IN CONNECTION WITH, THIS SECURITY AGREEMENT, OR ANY COURSE OF CONDUCT, COURSE OF DEALING, STATEMENTS (WHETHER ORAL OR WRITTEN) OR ACTIONS OF THE SECURED PARTIES OR ANY GRANTOR IN CONNECTION HEREWITH SHALL BE BROUGHT AND MAINTAINED IN THE COURTS OF THE BOROUGH OF MANHATTAN IN THE CITY OF NEW YORK IN THE STATE OF NEW YORK OR IN THE UNITED STATES DISTRICT COURT FOR THE SOUTHERN DISTRICT OF NEW YORK;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SUIT SEEKING ENFORCEMENT AGAINST ANY COLLATERAL OR OTHER PROPERTY MAY BE BROUGHT, AT THE ADMINISTRATIVE AGENT’S OPTION, IN THE COURTS OF ANY JURISDICTION WHERE SUCH COLLATERAL OR OTHER PROPERTY MAY BE FOUND. EACH GRANTOR THAT IS A FOREIGN SUBSIDIARY HEREBY APPOINTS AVITA MEDICAL, INC. AS ITS AGENT WHERE NOTICES AND DEMANDS TO OR UPON SUCH GRANTOR IN RESPECT OF THIS SECURITY AGREEMENT MAY BE SERVED (WITHOUT PREJUDICE TO THE RIGHT OF THE LENDER TO SERVE PROCESS IN ANY OTHER MANNER PERMITTED BY LAW). IF FOR ANY REASON AVITA MEDICAL, INC. IS UNABLE TO SERVE AS SUCH, EACH SUCH GRANTOR WILL WITHIN 30 DAYS APPOINT A PROCESS AGENT LOCATED IN THE STATE OF NEW YORK AND GIVE NOTICE OF SUCH APPOINTMENT TO THE LENDER. EACH GRANTOR IRREVOCABLY CONSENTS TO THE SERVICE OF PROCESS BY REGISTERED MAIL, POSTAGE PREPAID, OR BY PERSONAL SERVICE WITHIN OR WITHOUT THE STATE OF NEW YORK AT THE ADDRESS FOR NOTICES SPECIFIED IN SECTION 10.2 OF THE CREDIT AGREEMENT. EACH GRANTOR HEREBY EXPRESSLY AND IRREVOCABLY WAIVES, TO THE FULLEST EXTENT PERMITTED BY LAW, ANY OBJECTION WHICH IT MAY HAVE OR HEREAFTER MAY HAVE TO THE LAYING OF VENUE OF ANY SUCH LITIGATION BROUGHT IN ANY SUCH COURT REFERRED TO ABOVE AND ANY CLAIM THAT ANY SUCH LITIGATION HAS BEEN BROUGHT IN AN INCONVENIENT FORUM. TO THE EXTENT THAT ANY GRANTOR HAS OR HEREAFTER MAY ACQUIRE ANY IMMUNITY FROM JURISDICTION OF ANY COURT OR FROM ANY LEGAL PROCESS (WHETHER THROUGH SERVICE OR NOTICE, ATTACHMENT PRIOR TO JUDGMENT, ATTACHMENT IN AID OF EXECUTION OR OTHERWISE) WITH RESPECT TO ITSELF OR ITS PROPERTY, SUCH GRANTOR, ON ITS OWN BEHALF, HEREBY IRREVOCABLY WAIVES TO THE FULLEST EXTENT PERMITTED BY LAW SUCH IMMUNITY IN RESPECT OF ITS OBLIGATIONS UNDER THIS SECURITY AGREEMENT.</w:t>
      </w:r>
    </w:p>
    <w:p>
      <w:pPr>
        <w:spacing w:after="0" w:line="203"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 xml:space="preserve">SECTION 7.12. </w:t>
      </w:r>
      <w:r>
        <w:rPr>
          <w:rFonts w:ascii="Arial" w:cs="Arial" w:eastAsia="Arial" w:hAnsi="Arial"/>
          <w:sz w:val="19"/>
          <w:szCs w:val="19"/>
          <w:u w:val="single" w:color="auto"/>
          <w:color w:val="auto"/>
        </w:rPr>
        <w:t>Rights of Lenders</w:t>
      </w:r>
      <w:r>
        <w:rPr>
          <w:rFonts w:ascii="Arial" w:cs="Arial" w:eastAsia="Arial" w:hAnsi="Arial"/>
          <w:sz w:val="19"/>
          <w:szCs w:val="19"/>
          <w:color w:val="auto"/>
        </w:rPr>
        <w:t>. If the Administrative Agent has a right to take or omit to take any action hereunder, it shall exercise such right if instructed to do so by the Lenders. With respect to any discretion, consent, approval or similar such action to be made, taken, omitted to be taken or determined by the Administrative Agent under this Security Agreement (each an “</w:t>
      </w:r>
      <w:r>
        <w:rPr>
          <w:rFonts w:ascii="Arial" w:cs="Arial" w:eastAsia="Arial" w:hAnsi="Arial"/>
          <w:sz w:val="19"/>
          <w:szCs w:val="19"/>
          <w:u w:val="single" w:color="auto"/>
          <w:color w:val="auto"/>
        </w:rPr>
        <w:t>Administrative Agent Determination</w:t>
      </w:r>
      <w:r>
        <w:rPr>
          <w:rFonts w:ascii="Arial" w:cs="Arial" w:eastAsia="Arial" w:hAnsi="Arial"/>
          <w:sz w:val="19"/>
          <w:szCs w:val="19"/>
          <w:color w:val="auto"/>
        </w:rPr>
        <w:t>”), such Administrative Agent Determination shall be made by the Administrative Agent at the direction of the Lenders. If the Administrative Agent has resigned and no successor Administrative Agent has been appointed pursuant to the Credit Agreement, all rights of the Administrative Agent hereunder may be exercised by the Lenders.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5" w:name="page156"/>
    <w:bookmarkEnd w:id="155"/>
    <w:p>
      <w:pPr>
        <w:ind w:firstLine="749"/>
        <w:spacing w:after="0" w:line="250" w:lineRule="auto"/>
        <w:rPr>
          <w:sz w:val="20"/>
          <w:szCs w:val="20"/>
          <w:color w:val="auto"/>
        </w:rPr>
      </w:pPr>
      <w:r>
        <w:rPr>
          <w:rFonts w:ascii="Arial" w:cs="Arial" w:eastAsia="Arial" w:hAnsi="Arial"/>
          <w:sz w:val="22"/>
          <w:szCs w:val="22"/>
          <w:color w:val="auto"/>
        </w:rPr>
        <w:t>IN WITNESS WHEREOF, each of the parties hereto has caused this Security Agreement to be duly executed and delivered by its Authorized Officer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3740" w:type="dxa"/>
        <w:tblCellMar>
          <w:top w:w="0" w:type="dxa"/>
          <w:left w:w="0" w:type="dxa"/>
          <w:bottom w:w="0" w:type="dxa"/>
          <w:right w:w="0" w:type="dxa"/>
        </w:tblCellMar>
      </w:tblPr>
      <w:tr>
        <w:trPr>
          <w:trHeight w:val="280"/>
        </w:trPr>
        <w:tc>
          <w:tcPr>
            <w:tcW w:w="680" w:type="dxa"/>
            <w:vAlign w:val="bottom"/>
          </w:tcPr>
          <w:p>
            <w:pPr>
              <w:spacing w:after="0"/>
              <w:rPr>
                <w:sz w:val="24"/>
                <w:szCs w:val="24"/>
                <w:color w:val="auto"/>
              </w:rPr>
            </w:pPr>
          </w:p>
        </w:tc>
        <w:tc>
          <w:tcPr>
            <w:tcW w:w="6820" w:type="dxa"/>
            <w:vAlign w:val="bottom"/>
            <w:gridSpan w:val="2"/>
          </w:tcPr>
          <w:p>
            <w:pPr>
              <w:ind w:left="80"/>
              <w:spacing w:after="0"/>
              <w:rPr>
                <w:sz w:val="20"/>
                <w:szCs w:val="20"/>
                <w:color w:val="auto"/>
              </w:rPr>
            </w:pPr>
            <w:r>
              <w:rPr>
                <w:rFonts w:ascii="Arial" w:cs="Arial" w:eastAsia="Arial" w:hAnsi="Arial"/>
                <w:sz w:val="22"/>
                <w:szCs w:val="22"/>
                <w:b w:val="1"/>
                <w:bCs w:val="1"/>
                <w:color w:val="auto"/>
              </w:rPr>
              <w:t>AVITA MEDICAL, INC.</w:t>
            </w:r>
          </w:p>
        </w:tc>
      </w:tr>
      <w:tr>
        <w:trPr>
          <w:trHeight w:val="459"/>
        </w:trPr>
        <w:tc>
          <w:tcPr>
            <w:tcW w:w="680" w:type="dxa"/>
            <w:vAlign w:val="bottom"/>
          </w:tcPr>
          <w:p>
            <w:pPr>
              <w:spacing w:after="0"/>
              <w:rPr>
                <w:sz w:val="20"/>
                <w:szCs w:val="20"/>
                <w:color w:val="auto"/>
              </w:rPr>
            </w:pPr>
            <w:r>
              <w:rPr>
                <w:rFonts w:ascii="Arial" w:cs="Arial" w:eastAsia="Arial" w:hAnsi="Arial"/>
                <w:sz w:val="22"/>
                <w:szCs w:val="22"/>
                <w:b w:val="1"/>
                <w:bCs w:val="1"/>
                <w:color w:val="auto"/>
              </w:rPr>
              <w:t>By:</w:t>
            </w:r>
          </w:p>
        </w:tc>
        <w:tc>
          <w:tcPr>
            <w:tcW w:w="1220" w:type="dxa"/>
            <w:vAlign w:val="bottom"/>
          </w:tcPr>
          <w:p>
            <w:pPr>
              <w:spacing w:after="0"/>
              <w:rPr>
                <w:sz w:val="24"/>
                <w:szCs w:val="24"/>
                <w:color w:val="auto"/>
              </w:rPr>
            </w:pP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James Corbett</w:t>
            </w:r>
          </w:p>
        </w:tc>
      </w:tr>
      <w:tr>
        <w:trPr>
          <w:trHeight w:val="226"/>
        </w:trPr>
        <w:tc>
          <w:tcPr>
            <w:tcW w:w="680" w:type="dxa"/>
            <w:vAlign w:val="bottom"/>
          </w:tcPr>
          <w:p>
            <w:pPr>
              <w:spacing w:after="0" w:line="226" w:lineRule="exact"/>
              <w:rPr>
                <w:sz w:val="20"/>
                <w:szCs w:val="20"/>
                <w:color w:val="auto"/>
              </w:rPr>
            </w:pPr>
            <w:r>
              <w:rPr>
                <w:rFonts w:ascii="Arial" w:cs="Arial" w:eastAsia="Arial" w:hAnsi="Arial"/>
                <w:sz w:val="22"/>
                <w:szCs w:val="22"/>
                <w:b w:val="1"/>
                <w:bCs w:val="1"/>
                <w:color w:val="auto"/>
                <w:w w:val="98"/>
              </w:rPr>
              <w:t>Name:</w:t>
            </w:r>
          </w:p>
        </w:tc>
        <w:tc>
          <w:tcPr>
            <w:tcW w:w="1220" w:type="dxa"/>
            <w:vAlign w:val="bottom"/>
          </w:tcPr>
          <w:p>
            <w:pPr>
              <w:spacing w:after="0"/>
              <w:rPr>
                <w:sz w:val="19"/>
                <w:szCs w:val="19"/>
                <w:color w:val="auto"/>
              </w:rPr>
            </w:pPr>
          </w:p>
        </w:tc>
        <w:tc>
          <w:tcPr>
            <w:tcW w:w="5600" w:type="dxa"/>
            <w:vAlign w:val="bottom"/>
          </w:tcPr>
          <w:p>
            <w:pPr>
              <w:ind w:left="20"/>
              <w:spacing w:after="0" w:line="226" w:lineRule="exact"/>
              <w:rPr>
                <w:sz w:val="20"/>
                <w:szCs w:val="20"/>
                <w:color w:val="auto"/>
              </w:rPr>
            </w:pPr>
            <w:r>
              <w:rPr>
                <w:rFonts w:ascii="Arial" w:cs="Arial" w:eastAsia="Arial" w:hAnsi="Arial"/>
                <w:sz w:val="22"/>
                <w:szCs w:val="22"/>
                <w:color w:val="auto"/>
              </w:rPr>
              <w:t>James Corbett</w:t>
            </w:r>
          </w:p>
        </w:tc>
      </w:tr>
      <w:tr>
        <w:trPr>
          <w:trHeight w:val="280"/>
        </w:trPr>
        <w:tc>
          <w:tcPr>
            <w:tcW w:w="680" w:type="dxa"/>
            <w:vAlign w:val="bottom"/>
          </w:tcPr>
          <w:p>
            <w:pPr>
              <w:spacing w:after="0"/>
              <w:rPr>
                <w:sz w:val="20"/>
                <w:szCs w:val="20"/>
                <w:color w:val="auto"/>
              </w:rPr>
            </w:pPr>
            <w:r>
              <w:rPr>
                <w:rFonts w:ascii="Arial" w:cs="Arial" w:eastAsia="Arial" w:hAnsi="Arial"/>
                <w:sz w:val="22"/>
                <w:szCs w:val="22"/>
                <w:b w:val="1"/>
                <w:bCs w:val="1"/>
                <w:color w:val="auto"/>
              </w:rPr>
              <w:t>Title:</w:t>
            </w:r>
          </w:p>
        </w:tc>
        <w:tc>
          <w:tcPr>
            <w:tcW w:w="1220" w:type="dxa"/>
            <w:vAlign w:val="bottom"/>
          </w:tcPr>
          <w:p>
            <w:pPr>
              <w:spacing w:after="0"/>
              <w:rPr>
                <w:sz w:val="24"/>
                <w:szCs w:val="24"/>
                <w:color w:val="auto"/>
              </w:rPr>
            </w:pPr>
          </w:p>
        </w:tc>
        <w:tc>
          <w:tcPr>
            <w:tcW w:w="5600" w:type="dxa"/>
            <w:vAlign w:val="bottom"/>
          </w:tcPr>
          <w:p>
            <w:pPr>
              <w:ind w:left="2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AVITA MEDICAL AMERICAS, LLC</w:t>
      </w:r>
    </w:p>
    <w:p>
      <w:pPr>
        <w:spacing w:after="0" w:line="206" w:lineRule="exact"/>
        <w:rPr>
          <w:sz w:val="20"/>
          <w:szCs w:val="20"/>
          <w:color w:val="auto"/>
        </w:rPr>
      </w:pPr>
    </w:p>
    <w:tbl>
      <w:tblPr>
        <w:tblLayout w:type="fixed"/>
        <w:tblInd w:w="3740" w:type="dxa"/>
        <w:tblCellMar>
          <w:top w:w="0" w:type="dxa"/>
          <w:left w:w="0" w:type="dxa"/>
          <w:bottom w:w="0" w:type="dxa"/>
          <w:right w:w="0" w:type="dxa"/>
        </w:tblCellMar>
      </w:tblPr>
      <w:tr>
        <w:trPr>
          <w:trHeight w:val="280"/>
        </w:trPr>
        <w:tc>
          <w:tcPr>
            <w:tcW w:w="1900" w:type="dxa"/>
            <w:vAlign w:val="bottom"/>
          </w:tcPr>
          <w:p>
            <w:pPr>
              <w:spacing w:after="0"/>
              <w:rPr>
                <w:sz w:val="20"/>
                <w:szCs w:val="20"/>
                <w:color w:val="auto"/>
              </w:rPr>
            </w:pPr>
            <w:r>
              <w:rPr>
                <w:rFonts w:ascii="Arial" w:cs="Arial" w:eastAsia="Arial" w:hAnsi="Arial"/>
                <w:sz w:val="22"/>
                <w:szCs w:val="22"/>
                <w:b w:val="1"/>
                <w:bCs w:val="1"/>
                <w:color w:val="auto"/>
              </w:rPr>
              <w:t>By:</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James Corbett</w:t>
            </w:r>
          </w:p>
        </w:tc>
      </w:tr>
      <w:tr>
        <w:trPr>
          <w:trHeight w:val="226"/>
        </w:trPr>
        <w:tc>
          <w:tcPr>
            <w:tcW w:w="1900" w:type="dxa"/>
            <w:vAlign w:val="bottom"/>
          </w:tcPr>
          <w:p>
            <w:pPr>
              <w:spacing w:after="0" w:line="226" w:lineRule="exact"/>
              <w:rPr>
                <w:sz w:val="20"/>
                <w:szCs w:val="20"/>
                <w:color w:val="auto"/>
              </w:rPr>
            </w:pPr>
            <w:r>
              <w:rPr>
                <w:rFonts w:ascii="Arial" w:cs="Arial" w:eastAsia="Arial" w:hAnsi="Arial"/>
                <w:sz w:val="22"/>
                <w:szCs w:val="22"/>
                <w:b w:val="1"/>
                <w:bCs w:val="1"/>
                <w:color w:val="auto"/>
              </w:rPr>
              <w:t>Name:</w:t>
            </w:r>
          </w:p>
        </w:tc>
        <w:tc>
          <w:tcPr>
            <w:tcW w:w="5600" w:type="dxa"/>
            <w:vAlign w:val="bottom"/>
          </w:tcPr>
          <w:p>
            <w:pPr>
              <w:ind w:left="20"/>
              <w:spacing w:after="0" w:line="226" w:lineRule="exact"/>
              <w:rPr>
                <w:sz w:val="20"/>
                <w:szCs w:val="20"/>
                <w:color w:val="auto"/>
              </w:rPr>
            </w:pPr>
            <w:r>
              <w:rPr>
                <w:rFonts w:ascii="Arial" w:cs="Arial" w:eastAsia="Arial" w:hAnsi="Arial"/>
                <w:sz w:val="22"/>
                <w:szCs w:val="22"/>
                <w:color w:val="auto"/>
              </w:rPr>
              <w:t>James Corbett</w:t>
            </w:r>
          </w:p>
        </w:tc>
      </w:tr>
      <w:tr>
        <w:trPr>
          <w:trHeight w:val="280"/>
        </w:trPr>
        <w:tc>
          <w:tcPr>
            <w:tcW w:w="1900" w:type="dxa"/>
            <w:vAlign w:val="bottom"/>
          </w:tcPr>
          <w:p>
            <w:pPr>
              <w:spacing w:after="0"/>
              <w:rPr>
                <w:sz w:val="20"/>
                <w:szCs w:val="20"/>
                <w:color w:val="auto"/>
              </w:rPr>
            </w:pPr>
            <w:r>
              <w:rPr>
                <w:rFonts w:ascii="Arial" w:cs="Arial" w:eastAsia="Arial" w:hAnsi="Arial"/>
                <w:sz w:val="22"/>
                <w:szCs w:val="22"/>
                <w:b w:val="1"/>
                <w:bCs w:val="1"/>
                <w:color w:val="auto"/>
              </w:rPr>
              <w:t>Title:</w:t>
            </w:r>
          </w:p>
        </w:tc>
        <w:tc>
          <w:tcPr>
            <w:tcW w:w="5600" w:type="dxa"/>
            <w:vAlign w:val="bottom"/>
          </w:tcPr>
          <w:p>
            <w:pPr>
              <w:ind w:left="2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413385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6" w:name="page157"/>
    <w:bookmarkEnd w:id="156"/>
    <w:p>
      <w:pPr>
        <w:ind w:left="3380"/>
        <w:spacing w:after="0"/>
        <w:rPr>
          <w:sz w:val="20"/>
          <w:szCs w:val="20"/>
          <w:color w:val="auto"/>
        </w:rPr>
      </w:pPr>
      <w:r>
        <w:rPr>
          <w:rFonts w:ascii="Arial" w:cs="Arial" w:eastAsia="Arial" w:hAnsi="Arial"/>
          <w:sz w:val="22"/>
          <w:szCs w:val="22"/>
          <w:b w:val="1"/>
          <w:bCs w:val="1"/>
          <w:color w:val="auto"/>
        </w:rPr>
        <w:t xml:space="preserve">ORCO IV LLC, </w:t>
      </w:r>
      <w:r>
        <w:rPr>
          <w:rFonts w:ascii="Arial" w:cs="Arial" w:eastAsia="Arial" w:hAnsi="Arial"/>
          <w:sz w:val="22"/>
          <w:szCs w:val="22"/>
          <w:color w:val="auto"/>
        </w:rPr>
        <w:t>as the Administrative Agent</w:t>
      </w:r>
    </w:p>
    <w:p>
      <w:pPr>
        <w:spacing w:after="0" w:line="239" w:lineRule="exact"/>
        <w:rPr>
          <w:sz w:val="20"/>
          <w:szCs w:val="20"/>
          <w:color w:val="auto"/>
        </w:rPr>
      </w:pPr>
    </w:p>
    <w:tbl>
      <w:tblPr>
        <w:tblLayout w:type="fixed"/>
        <w:tblInd w:w="2620" w:type="dxa"/>
        <w:tblCellMar>
          <w:top w:w="0" w:type="dxa"/>
          <w:left w:w="0" w:type="dxa"/>
          <w:bottom w:w="0" w:type="dxa"/>
          <w:right w:w="0" w:type="dxa"/>
        </w:tblCellMar>
      </w:tblPr>
      <w:tr>
        <w:trPr>
          <w:trHeight w:val="274"/>
        </w:trPr>
        <w:tc>
          <w:tcPr>
            <w:tcW w:w="1900" w:type="dxa"/>
            <w:vAlign w:val="bottom"/>
          </w:tcPr>
          <w:p>
            <w:pPr>
              <w:spacing w:after="0"/>
              <w:rPr>
                <w:sz w:val="23"/>
                <w:szCs w:val="23"/>
                <w:color w:val="auto"/>
              </w:rPr>
            </w:pPr>
          </w:p>
        </w:tc>
        <w:tc>
          <w:tcPr>
            <w:tcW w:w="5620" w:type="dxa"/>
            <w:vAlign w:val="bottom"/>
            <w:gridSpan w:val="2"/>
          </w:tcPr>
          <w:p>
            <w:pPr>
              <w:jc w:val="right"/>
              <w:ind w:right="20"/>
              <w:spacing w:after="0"/>
              <w:rPr>
                <w:sz w:val="20"/>
                <w:szCs w:val="20"/>
                <w:color w:val="auto"/>
              </w:rPr>
            </w:pPr>
            <w:r>
              <w:rPr>
                <w:rFonts w:ascii="Arial" w:cs="Arial" w:eastAsia="Arial" w:hAnsi="Arial"/>
                <w:sz w:val="22"/>
                <w:szCs w:val="22"/>
                <w:color w:val="auto"/>
              </w:rPr>
              <w:t>By: OrbiMed Royalty &amp; Credit Opportunities IV, LP</w:t>
            </w:r>
          </w:p>
        </w:tc>
      </w:tr>
      <w:tr>
        <w:trPr>
          <w:trHeight w:val="486"/>
        </w:trPr>
        <w:tc>
          <w:tcPr>
            <w:tcW w:w="1900" w:type="dxa"/>
            <w:vAlign w:val="bottom"/>
          </w:tcPr>
          <w:p>
            <w:pPr>
              <w:spacing w:after="0"/>
              <w:rPr>
                <w:sz w:val="24"/>
                <w:szCs w:val="24"/>
                <w:color w:val="auto"/>
              </w:rPr>
            </w:pPr>
          </w:p>
        </w:tc>
        <w:tc>
          <w:tcPr>
            <w:tcW w:w="5620" w:type="dxa"/>
            <w:vAlign w:val="bottom"/>
            <w:gridSpan w:val="2"/>
          </w:tcPr>
          <w:p>
            <w:pPr>
              <w:jc w:val="right"/>
              <w:ind w:right="20"/>
              <w:spacing w:after="0"/>
              <w:rPr>
                <w:sz w:val="20"/>
                <w:szCs w:val="20"/>
                <w:color w:val="auto"/>
              </w:rPr>
            </w:pPr>
            <w:r>
              <w:rPr>
                <w:rFonts w:ascii="Arial" w:cs="Arial" w:eastAsia="Arial" w:hAnsi="Arial"/>
                <w:sz w:val="22"/>
                <w:szCs w:val="22"/>
                <w:color w:val="auto"/>
              </w:rPr>
              <w:t>By: OrbiMed ROF IV LLC, its general partner</w:t>
            </w:r>
          </w:p>
        </w:tc>
      </w:tr>
      <w:tr>
        <w:trPr>
          <w:trHeight w:val="486"/>
        </w:trPr>
        <w:tc>
          <w:tcPr>
            <w:tcW w:w="1900" w:type="dxa"/>
            <w:vAlign w:val="bottom"/>
          </w:tcPr>
          <w:p>
            <w:pPr>
              <w:spacing w:after="0"/>
              <w:rPr>
                <w:sz w:val="24"/>
                <w:szCs w:val="24"/>
                <w:color w:val="auto"/>
              </w:rPr>
            </w:pPr>
          </w:p>
        </w:tc>
        <w:tc>
          <w:tcPr>
            <w:tcW w:w="5620" w:type="dxa"/>
            <w:vAlign w:val="bottom"/>
            <w:gridSpan w:val="2"/>
          </w:tcPr>
          <w:p>
            <w:pPr>
              <w:jc w:val="right"/>
              <w:ind w:right="20"/>
              <w:spacing w:after="0"/>
              <w:rPr>
                <w:sz w:val="20"/>
                <w:szCs w:val="20"/>
                <w:color w:val="auto"/>
              </w:rPr>
            </w:pPr>
            <w:r>
              <w:rPr>
                <w:rFonts w:ascii="Arial" w:cs="Arial" w:eastAsia="Arial" w:hAnsi="Arial"/>
                <w:sz w:val="22"/>
                <w:szCs w:val="22"/>
                <w:color w:val="auto"/>
              </w:rPr>
              <w:t>By: OrbiMed Advisors LLC, its managing member</w:t>
            </w:r>
          </w:p>
        </w:tc>
      </w:tr>
      <w:tr>
        <w:trPr>
          <w:trHeight w:val="486"/>
        </w:trPr>
        <w:tc>
          <w:tcPr>
            <w:tcW w:w="1900" w:type="dxa"/>
            <w:vAlign w:val="bottom"/>
          </w:tcPr>
          <w:p>
            <w:pPr>
              <w:spacing w:after="0"/>
              <w:rPr>
                <w:sz w:val="20"/>
                <w:szCs w:val="20"/>
                <w:color w:val="auto"/>
              </w:rPr>
            </w:pPr>
            <w:r>
              <w:rPr>
                <w:rFonts w:ascii="Arial" w:cs="Arial" w:eastAsia="Arial" w:hAnsi="Arial"/>
                <w:sz w:val="22"/>
                <w:szCs w:val="22"/>
                <w:b w:val="1"/>
                <w:bCs w:val="1"/>
                <w:color w:val="auto"/>
              </w:rPr>
              <w:t>By:</w:t>
            </w:r>
          </w:p>
        </w:tc>
        <w:tc>
          <w:tcPr>
            <w:tcW w:w="5620" w:type="dxa"/>
            <w:vAlign w:val="bottom"/>
            <w:gridSpan w:val="2"/>
          </w:tcPr>
          <w:p>
            <w:pPr>
              <w:ind w:left="20"/>
              <w:spacing w:after="0"/>
              <w:rPr>
                <w:sz w:val="20"/>
                <w:szCs w:val="20"/>
                <w:color w:val="auto"/>
              </w:rPr>
            </w:pPr>
            <w:r>
              <w:rPr>
                <w:rFonts w:ascii="Arial" w:cs="Arial" w:eastAsia="Arial" w:hAnsi="Arial"/>
                <w:sz w:val="22"/>
                <w:szCs w:val="22"/>
                <w:color w:val="auto"/>
              </w:rPr>
              <w:t>/s/ Matthew Rizzo</w:t>
            </w:r>
          </w:p>
        </w:tc>
      </w:tr>
      <w:tr>
        <w:trPr>
          <w:trHeight w:val="226"/>
        </w:trPr>
        <w:tc>
          <w:tcPr>
            <w:tcW w:w="1900" w:type="dxa"/>
            <w:vAlign w:val="bottom"/>
          </w:tcPr>
          <w:p>
            <w:pPr>
              <w:spacing w:after="0" w:line="226" w:lineRule="exact"/>
              <w:rPr>
                <w:sz w:val="20"/>
                <w:szCs w:val="20"/>
                <w:color w:val="auto"/>
              </w:rPr>
            </w:pPr>
            <w:r>
              <w:rPr>
                <w:rFonts w:ascii="Arial" w:cs="Arial" w:eastAsia="Arial" w:hAnsi="Arial"/>
                <w:sz w:val="22"/>
                <w:szCs w:val="22"/>
                <w:b w:val="1"/>
                <w:bCs w:val="1"/>
                <w:color w:val="auto"/>
              </w:rPr>
              <w:t>Name:</w:t>
            </w:r>
          </w:p>
        </w:tc>
        <w:tc>
          <w:tcPr>
            <w:tcW w:w="5600" w:type="dxa"/>
            <w:vAlign w:val="bottom"/>
            <w:tcBorders>
              <w:top w:val="single" w:sz="8" w:color="auto"/>
            </w:tcBorders>
          </w:tcPr>
          <w:p>
            <w:pPr>
              <w:ind w:left="20"/>
              <w:spacing w:after="0" w:line="226" w:lineRule="exact"/>
              <w:rPr>
                <w:sz w:val="20"/>
                <w:szCs w:val="20"/>
                <w:color w:val="auto"/>
              </w:rPr>
            </w:pPr>
            <w:r>
              <w:rPr>
                <w:rFonts w:ascii="Arial" w:cs="Arial" w:eastAsia="Arial" w:hAnsi="Arial"/>
                <w:sz w:val="22"/>
                <w:szCs w:val="22"/>
                <w:color w:val="auto"/>
              </w:rPr>
              <w:t>Matthew Rizzo</w:t>
            </w:r>
          </w:p>
        </w:tc>
        <w:tc>
          <w:tcPr>
            <w:tcW w:w="20" w:type="dxa"/>
            <w:vAlign w:val="bottom"/>
          </w:tcPr>
          <w:p>
            <w:pPr>
              <w:spacing w:after="0"/>
              <w:rPr>
                <w:sz w:val="19"/>
                <w:szCs w:val="19"/>
                <w:color w:val="auto"/>
              </w:rPr>
            </w:pPr>
          </w:p>
        </w:tc>
      </w:tr>
      <w:tr>
        <w:trPr>
          <w:trHeight w:val="280"/>
        </w:trPr>
        <w:tc>
          <w:tcPr>
            <w:tcW w:w="1900" w:type="dxa"/>
            <w:vAlign w:val="bottom"/>
          </w:tcPr>
          <w:p>
            <w:pPr>
              <w:spacing w:after="0"/>
              <w:rPr>
                <w:sz w:val="20"/>
                <w:szCs w:val="20"/>
                <w:color w:val="auto"/>
              </w:rPr>
            </w:pPr>
            <w:r>
              <w:rPr>
                <w:rFonts w:ascii="Arial" w:cs="Arial" w:eastAsia="Arial" w:hAnsi="Arial"/>
                <w:sz w:val="22"/>
                <w:szCs w:val="22"/>
                <w:b w:val="1"/>
                <w:bCs w:val="1"/>
                <w:color w:val="auto"/>
              </w:rPr>
              <w:t>Title:</w:t>
            </w:r>
          </w:p>
        </w:tc>
        <w:tc>
          <w:tcPr>
            <w:tcW w:w="5620" w:type="dxa"/>
            <w:vAlign w:val="bottom"/>
            <w:gridSpan w:val="2"/>
          </w:tcPr>
          <w:p>
            <w:pPr>
              <w:ind w:left="20"/>
              <w:spacing w:after="0"/>
              <w:rPr>
                <w:sz w:val="20"/>
                <w:szCs w:val="20"/>
                <w:color w:val="auto"/>
              </w:rPr>
            </w:pPr>
            <w:r>
              <w:rPr>
                <w:rFonts w:ascii="Arial" w:cs="Arial" w:eastAsia="Arial" w:hAnsi="Arial"/>
                <w:sz w:val="22"/>
                <w:szCs w:val="22"/>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140"/>
        <w:spacing w:after="0"/>
        <w:rPr>
          <w:sz w:val="20"/>
          <w:szCs w:val="20"/>
          <w:color w:val="auto"/>
        </w:rPr>
      </w:pPr>
      <w:r>
        <w:rPr>
          <w:rFonts w:ascii="Arial" w:cs="Arial" w:eastAsia="Arial" w:hAnsi="Arial"/>
          <w:sz w:val="18"/>
          <w:szCs w:val="18"/>
          <w:i w:val="1"/>
          <w:iCs w:val="1"/>
          <w:color w:val="auto"/>
        </w:rPr>
        <w:t>Signature Page to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165100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28" w:right="339" w:bottom="1440" w:gutter="0" w:footer="0" w:header="0"/>
        </w:sectPr>
      </w:pPr>
    </w:p>
    <w:bookmarkStart w:id="157" w:name="page158"/>
    <w:bookmarkEnd w:id="157"/>
    <w:p>
      <w:pPr>
        <w:jc w:val="center"/>
        <w:ind w:right="-439"/>
        <w:spacing w:after="0"/>
        <w:rPr>
          <w:sz w:val="20"/>
          <w:szCs w:val="20"/>
          <w:color w:val="auto"/>
        </w:rPr>
      </w:pPr>
      <w:r>
        <w:rPr>
          <w:rFonts w:ascii="Arial" w:cs="Arial" w:eastAsia="Arial" w:hAnsi="Arial"/>
          <w:sz w:val="22"/>
          <w:szCs w:val="22"/>
          <w:color w:val="auto"/>
        </w:rPr>
        <w:t>ANNEX A</w:t>
      </w:r>
    </w:p>
    <w:p>
      <w:pPr>
        <w:spacing w:after="0" w:line="233" w:lineRule="exact"/>
        <w:rPr>
          <w:sz w:val="20"/>
          <w:szCs w:val="20"/>
          <w:color w:val="auto"/>
        </w:rPr>
      </w:pPr>
    </w:p>
    <w:p>
      <w:pPr>
        <w:ind w:left="320"/>
        <w:spacing w:after="0"/>
        <w:tabs>
          <w:tab w:leader="none" w:pos="68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AVITA Medical Americas, LLC</w:t>
      </w:r>
    </w:p>
    <w:p>
      <w:pPr>
        <w:spacing w:after="0" w:line="206"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SCHEDULE I</w:t>
      </w:r>
    </w:p>
    <w:p>
      <w:pPr>
        <w:spacing w:after="0" w:line="8"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to Security Agreement</w:t>
      </w:r>
    </w:p>
    <w:p>
      <w:pPr>
        <w:spacing w:after="0" w:line="229" w:lineRule="exact"/>
        <w:rPr>
          <w:sz w:val="20"/>
          <w:szCs w:val="20"/>
          <w:color w:val="auto"/>
        </w:rPr>
      </w:pPr>
    </w:p>
    <w:p>
      <w:pPr>
        <w:spacing w:after="0"/>
        <w:tabs>
          <w:tab w:leader="none" w:pos="3740" w:val="left"/>
          <w:tab w:leader="none" w:pos="7360" w:val="left"/>
          <w:tab w:leader="none" w:pos="9720" w:val="left"/>
        </w:tabs>
        <w:rPr>
          <w:sz w:val="20"/>
          <w:szCs w:val="20"/>
          <w:color w:val="auto"/>
        </w:rPr>
      </w:pPr>
      <w:r>
        <w:rPr>
          <w:rFonts w:ascii="Arial" w:cs="Arial" w:eastAsia="Arial" w:hAnsi="Arial"/>
          <w:sz w:val="22"/>
          <w:szCs w:val="22"/>
          <w:u w:val="single" w:color="auto"/>
          <w:color w:val="auto"/>
        </w:rPr>
        <w:t>Subsidiary</w:t>
      </w:r>
      <w:r>
        <w:rPr>
          <w:sz w:val="20"/>
          <w:szCs w:val="20"/>
          <w:color w:val="auto"/>
        </w:rPr>
        <w:tab/>
      </w:r>
      <w:r>
        <w:rPr>
          <w:rFonts w:ascii="Arial" w:cs="Arial" w:eastAsia="Arial" w:hAnsi="Arial"/>
          <w:sz w:val="22"/>
          <w:szCs w:val="22"/>
          <w:u w:val="single" w:color="auto"/>
          <w:color w:val="auto"/>
        </w:rPr>
        <w:t>Name of Grantor</w:t>
      </w:r>
      <w:r>
        <w:rPr>
          <w:sz w:val="20"/>
          <w:szCs w:val="20"/>
          <w:color w:val="auto"/>
        </w:rPr>
        <w:tab/>
      </w:r>
      <w:r>
        <w:rPr>
          <w:rFonts w:ascii="Arial" w:cs="Arial" w:eastAsia="Arial" w:hAnsi="Arial"/>
          <w:sz w:val="22"/>
          <w:szCs w:val="22"/>
          <w:u w:val="single" w:color="auto"/>
          <w:color w:val="auto"/>
        </w:rPr>
        <w:t>Interest</w:t>
      </w:r>
      <w:r>
        <w:rPr>
          <w:sz w:val="20"/>
          <w:szCs w:val="20"/>
          <w:color w:val="auto"/>
        </w:rPr>
        <w:tab/>
      </w:r>
      <w:r>
        <w:rPr>
          <w:rFonts w:ascii="Arial" w:cs="Arial" w:eastAsia="Arial" w:hAnsi="Arial"/>
          <w:sz w:val="18"/>
          <w:szCs w:val="18"/>
          <w:u w:val="single" w:color="auto"/>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1923415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80" w:top="334" w:right="819" w:bottom="1440" w:gutter="0" w:footer="0" w:header="0"/>
        </w:sectPr>
      </w:pPr>
    </w:p>
    <w:bookmarkStart w:id="158" w:name="page159"/>
    <w:bookmarkEnd w:id="158"/>
    <w:p>
      <w:pPr>
        <w:ind w:left="4940"/>
        <w:spacing w:after="0"/>
        <w:rPr>
          <w:sz w:val="20"/>
          <w:szCs w:val="20"/>
          <w:color w:val="auto"/>
        </w:rPr>
      </w:pPr>
      <w:r>
        <w:rPr>
          <w:rFonts w:ascii="Arial" w:cs="Arial" w:eastAsia="Arial" w:hAnsi="Arial"/>
          <w:sz w:val="22"/>
          <w:szCs w:val="22"/>
          <w:color w:val="auto"/>
        </w:rPr>
        <w:t>SCHEDULE II</w:t>
      </w:r>
    </w:p>
    <w:p>
      <w:pPr>
        <w:spacing w:after="0" w:line="8"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to Security Agreement</w:t>
      </w:r>
    </w:p>
    <w:p>
      <w:pPr>
        <w:sectPr>
          <w:pgSz w:w="11900" w:h="16838" w:orient="portrait"/>
          <w:cols w:equalWidth="0" w:num="1">
            <w:col w:w="11120"/>
          </w:cols>
          <w:pgMar w:left="320" w:top="334" w:right="459" w:bottom="1440" w:gutter="0" w:footer="0" w:header="0"/>
        </w:sect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A. </w:t>
      </w:r>
      <w:r>
        <w:rPr>
          <w:rFonts w:ascii="Arial" w:cs="Arial" w:eastAsia="Arial" w:hAnsi="Arial"/>
          <w:sz w:val="22"/>
          <w:szCs w:val="22"/>
          <w:u w:val="single" w:color="auto"/>
          <w:color w:val="auto"/>
        </w:rPr>
        <w:t>Location of each Grantor</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159385</wp:posOffset>
            </wp:positionV>
            <wp:extent cx="7134225" cy="7048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4225" cy="704850"/>
                    </a:xfrm>
                    <a:prstGeom prst="rect">
                      <a:avLst/>
                    </a:prstGeom>
                    <a:noFill/>
                  </pic:spPr>
                </pic:pic>
              </a:graphicData>
            </a:graphic>
          </wp:anchor>
        </w:drawing>
      </w:r>
    </w:p>
    <w:p>
      <w:pPr>
        <w:spacing w:after="0" w:line="240" w:lineRule="exact"/>
        <w:rPr>
          <w:sz w:val="20"/>
          <w:szCs w:val="20"/>
          <w:color w:val="auto"/>
        </w:rPr>
      </w:pPr>
    </w:p>
    <w:p>
      <w:pPr>
        <w:ind w:left="120"/>
        <w:spacing w:after="0"/>
        <w:tabs>
          <w:tab w:leader="none" w:pos="3860" w:val="left"/>
        </w:tabs>
        <w:rPr>
          <w:sz w:val="20"/>
          <w:szCs w:val="20"/>
          <w:color w:val="auto"/>
        </w:rPr>
      </w:pPr>
      <w:r>
        <w:rPr>
          <w:rFonts w:ascii="Arial" w:cs="Arial" w:eastAsia="Arial" w:hAnsi="Arial"/>
          <w:sz w:val="22"/>
          <w:szCs w:val="22"/>
          <w:color w:val="auto"/>
        </w:rPr>
        <w:t>Name of Grantor:</w:t>
      </w:r>
      <w:r>
        <w:rPr>
          <w:sz w:val="20"/>
          <w:szCs w:val="20"/>
          <w:color w:val="auto"/>
        </w:rPr>
        <w:tab/>
      </w:r>
      <w:r>
        <w:rPr>
          <w:rFonts w:ascii="Arial" w:cs="Arial" w:eastAsia="Arial" w:hAnsi="Arial"/>
          <w:sz w:val="19"/>
          <w:szCs w:val="19"/>
          <w:color w:val="auto"/>
        </w:rPr>
        <w:t>Location for purposes of UCC: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Executive office / principal place of business:</w:t>
      </w:r>
    </w:p>
    <w:p>
      <w:pPr>
        <w:spacing w:after="0" w:line="200" w:lineRule="exact"/>
        <w:rPr>
          <w:sz w:val="20"/>
          <w:szCs w:val="20"/>
          <w:color w:val="auto"/>
        </w:rPr>
      </w:pPr>
    </w:p>
    <w:p>
      <w:pPr>
        <w:sectPr>
          <w:pgSz w:w="11900" w:h="16838" w:orient="portrait"/>
          <w:cols w:equalWidth="0" w:num="2">
            <w:col w:w="6900" w:space="720"/>
            <w:col w:w="3500"/>
          </w:cols>
          <w:pgMar w:left="320" w:top="334"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Item B. </w:t>
      </w:r>
      <w:r>
        <w:rPr>
          <w:rFonts w:ascii="Arial" w:cs="Arial" w:eastAsia="Arial" w:hAnsi="Arial"/>
          <w:sz w:val="19"/>
          <w:szCs w:val="19"/>
          <w:u w:val="single" w:color="auto"/>
          <w:color w:val="auto"/>
        </w:rPr>
        <w:t>Filing locations last five years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C. </w:t>
      </w:r>
      <w:r>
        <w:rPr>
          <w:rFonts w:ascii="Arial" w:cs="Arial" w:eastAsia="Arial" w:hAnsi="Arial"/>
          <w:sz w:val="22"/>
          <w:szCs w:val="22"/>
          <w:u w:val="single" w:color="auto"/>
          <w:color w:val="auto"/>
        </w:rPr>
        <w:t>Trade names</w:t>
      </w:r>
      <w:r>
        <w:rPr>
          <w:rFonts w:ascii="Arial" w:cs="Arial" w:eastAsia="Arial" w:hAnsi="Arial"/>
          <w:sz w:val="22"/>
          <w:szCs w:val="22"/>
          <w:color w:val="auto"/>
        </w:rPr>
        <w:t>.</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Name of Grantor: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Trade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-136525</wp:posOffset>
            </wp:positionV>
            <wp:extent cx="6200140" cy="550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00140" cy="550545"/>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4280" w:space="720"/>
            <w:col w:w="6120"/>
          </w:cols>
          <w:pgMar w:left="320" w:top="334"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Item D. </w:t>
      </w:r>
      <w:r>
        <w:rPr>
          <w:rFonts w:ascii="Arial" w:cs="Arial" w:eastAsia="Arial" w:hAnsi="Arial"/>
          <w:sz w:val="19"/>
          <w:szCs w:val="19"/>
          <w:u w:val="single" w:color="auto"/>
          <w:color w:val="auto"/>
        </w:rPr>
        <w:t>Merger or other corporate reorganization</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Item E. </w:t>
      </w:r>
      <w:r>
        <w:rPr>
          <w:rFonts w:ascii="Arial" w:cs="Arial" w:eastAsia="Arial" w:hAnsi="Arial"/>
          <w:sz w:val="21"/>
          <w:szCs w:val="21"/>
          <w:u w:val="single" w:color="auto"/>
          <w:color w:val="auto"/>
        </w:rPr>
        <w:t>Grantor's federal taxpayer ID numbers</w:t>
      </w:r>
      <w:r>
        <w:rPr>
          <w:rFonts w:ascii="Arial" w:cs="Arial" w:eastAsia="Arial" w:hAnsi="Arial"/>
          <w:sz w:val="21"/>
          <w:szCs w:val="21"/>
          <w:color w:val="auto"/>
        </w:rPr>
        <w: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Name of Grantor: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color w:val="auto"/>
        </w:rPr>
        <w:t>Taxpayer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-143510</wp:posOffset>
            </wp:positionV>
            <wp:extent cx="6200140" cy="550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00140" cy="55054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4360" w:space="640"/>
            <w:col w:w="6120"/>
          </w:cols>
          <w:pgMar w:left="320" w:top="334"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F. </w:t>
      </w:r>
      <w:r>
        <w:rPr>
          <w:rFonts w:ascii="Arial" w:cs="Arial" w:eastAsia="Arial" w:hAnsi="Arial"/>
          <w:sz w:val="22"/>
          <w:szCs w:val="22"/>
          <w:u w:val="single" w:color="auto"/>
          <w:color w:val="auto"/>
        </w:rPr>
        <w:t>Government Contracts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G. </w:t>
      </w:r>
      <w:r>
        <w:rPr>
          <w:rFonts w:ascii="Arial" w:cs="Arial" w:eastAsia="Arial" w:hAnsi="Arial"/>
          <w:sz w:val="22"/>
          <w:szCs w:val="22"/>
          <w:u w:val="single" w:color="auto"/>
          <w:color w:val="auto"/>
        </w:rPr>
        <w:t>Deposit Accounts, Securities Accounts and Commodity Accounts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159385</wp:posOffset>
            </wp:positionV>
            <wp:extent cx="7134225" cy="525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4225" cy="525145"/>
                    </a:xfrm>
                    <a:prstGeom prst="rect">
                      <a:avLst/>
                    </a:prstGeom>
                    <a:noFill/>
                  </pic:spPr>
                </pic:pic>
              </a:graphicData>
            </a:graphic>
          </wp:anchor>
        </w:drawing>
      </w:r>
    </w:p>
    <w:p>
      <w:pPr>
        <w:spacing w:after="0" w:line="240" w:lineRule="exact"/>
        <w:rPr>
          <w:sz w:val="20"/>
          <w:szCs w:val="20"/>
          <w:color w:val="auto"/>
        </w:rPr>
      </w:pPr>
    </w:p>
    <w:p>
      <w:pPr>
        <w:ind w:left="4320" w:hanging="4197"/>
        <w:spacing w:after="0" w:line="250" w:lineRule="auto"/>
        <w:tabs>
          <w:tab w:leader="none" w:pos="4300" w:val="left"/>
        </w:tabs>
        <w:rPr>
          <w:sz w:val="20"/>
          <w:szCs w:val="20"/>
          <w:color w:val="auto"/>
        </w:rPr>
      </w:pPr>
      <w:r>
        <w:rPr>
          <w:rFonts w:ascii="Arial" w:cs="Arial" w:eastAsia="Arial" w:hAnsi="Arial"/>
          <w:sz w:val="22"/>
          <w:szCs w:val="22"/>
          <w:color w:val="auto"/>
        </w:rPr>
        <w:t>Name of Grantor:</w:t>
      </w:r>
      <w:r>
        <w:rPr>
          <w:sz w:val="20"/>
          <w:szCs w:val="20"/>
          <w:color w:val="auto"/>
        </w:rPr>
        <w:tab/>
      </w:r>
      <w:r>
        <w:rPr>
          <w:rFonts w:ascii="Arial" w:cs="Arial" w:eastAsia="Arial" w:hAnsi="Arial"/>
          <w:sz w:val="22"/>
          <w:szCs w:val="22"/>
          <w:color w:val="auto"/>
        </w:rPr>
        <w:t>Description of Deposit Accounts, Securities Accounts and Commodity Accounts: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H. </w:t>
      </w:r>
      <w:r>
        <w:rPr>
          <w:rFonts w:ascii="Arial" w:cs="Arial" w:eastAsia="Arial" w:hAnsi="Arial"/>
          <w:sz w:val="22"/>
          <w:szCs w:val="22"/>
          <w:u w:val="single" w:color="auto"/>
          <w:color w:val="auto"/>
        </w:rPr>
        <w:t>Letter of Credit Rights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4" w:right="459" w:bottom="1440" w:gutter="0" w:footer="0" w:header="0"/>
          <w:type w:val="continuous"/>
        </w:sectPr>
      </w:pPr>
    </w:p>
    <w:bookmarkStart w:id="159" w:name="page160"/>
    <w:bookmarkEnd w:id="159"/>
    <w:p>
      <w:pPr>
        <w:spacing w:after="0"/>
        <w:rPr>
          <w:sz w:val="20"/>
          <w:szCs w:val="20"/>
          <w:color w:val="auto"/>
        </w:rPr>
      </w:pPr>
      <w:r>
        <w:rPr>
          <w:rFonts w:ascii="Arial" w:cs="Arial" w:eastAsia="Arial" w:hAnsi="Arial"/>
          <w:sz w:val="19"/>
          <w:szCs w:val="19"/>
          <w:color w:val="auto"/>
        </w:rPr>
        <w:t xml:space="preserve">Item I. </w:t>
      </w:r>
      <w:r>
        <w:rPr>
          <w:rFonts w:ascii="Arial" w:cs="Arial" w:eastAsia="Arial" w:hAnsi="Arial"/>
          <w:sz w:val="19"/>
          <w:szCs w:val="19"/>
          <w:u w:val="single" w:color="auto"/>
          <w:color w:val="auto"/>
        </w:rPr>
        <w:t>Commercial Tort Claims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J. </w:t>
      </w:r>
      <w:r>
        <w:rPr>
          <w:rFonts w:ascii="Arial" w:cs="Arial" w:eastAsia="Arial" w:hAnsi="Arial"/>
          <w:sz w:val="22"/>
          <w:szCs w:val="22"/>
          <w:u w:val="single" w:color="auto"/>
          <w:color w:val="auto"/>
        </w:rPr>
        <w:t>Pledged Notes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757555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63" w:right="1440" w:bottom="1440" w:gutter="0" w:footer="0" w:header="0"/>
        </w:sectPr>
      </w:pPr>
    </w:p>
    <w:bookmarkStart w:id="160" w:name="page161"/>
    <w:bookmarkEnd w:id="160"/>
    <w:p>
      <w:pPr>
        <w:ind w:left="4900"/>
        <w:spacing w:after="0"/>
        <w:rPr>
          <w:sz w:val="20"/>
          <w:szCs w:val="20"/>
          <w:color w:val="auto"/>
        </w:rPr>
      </w:pPr>
      <w:r>
        <w:rPr>
          <w:rFonts w:ascii="Arial" w:cs="Arial" w:eastAsia="Arial" w:hAnsi="Arial"/>
          <w:sz w:val="22"/>
          <w:szCs w:val="22"/>
          <w:color w:val="auto"/>
        </w:rPr>
        <w:t>SCHEDULE III</w:t>
      </w:r>
    </w:p>
    <w:p>
      <w:pPr>
        <w:spacing w:after="0" w:line="8"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to Security Agreement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A. </w:t>
      </w:r>
      <w:r>
        <w:rPr>
          <w:rFonts w:ascii="Arial" w:cs="Arial" w:eastAsia="Arial" w:hAnsi="Arial"/>
          <w:sz w:val="22"/>
          <w:szCs w:val="22"/>
          <w:u w:val="single" w:color="auto"/>
          <w:color w:val="auto"/>
        </w:rPr>
        <w:t>Patents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B. </w:t>
      </w:r>
      <w:r>
        <w:rPr>
          <w:rFonts w:ascii="Arial" w:cs="Arial" w:eastAsia="Arial" w:hAnsi="Arial"/>
          <w:sz w:val="22"/>
          <w:szCs w:val="22"/>
          <w:u w:val="single" w:color="auto"/>
          <w:color w:val="auto"/>
        </w:rPr>
        <w:t>Patent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851535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161" w:name="page162"/>
    <w:bookmarkEnd w:id="161"/>
    <w:p>
      <w:pPr>
        <w:ind w:left="4900"/>
        <w:spacing w:after="0"/>
        <w:rPr>
          <w:sz w:val="20"/>
          <w:szCs w:val="20"/>
          <w:color w:val="auto"/>
        </w:rPr>
      </w:pPr>
      <w:r>
        <w:rPr>
          <w:rFonts w:ascii="Arial" w:cs="Arial" w:eastAsia="Arial" w:hAnsi="Arial"/>
          <w:sz w:val="22"/>
          <w:szCs w:val="22"/>
          <w:color w:val="auto"/>
        </w:rPr>
        <w:t>SCHEDULE IV</w:t>
      </w:r>
    </w:p>
    <w:p>
      <w:pPr>
        <w:spacing w:after="0" w:line="8"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to Security Agreement</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A. </w:t>
      </w:r>
      <w:r>
        <w:rPr>
          <w:rFonts w:ascii="Arial" w:cs="Arial" w:eastAsia="Arial" w:hAnsi="Arial"/>
          <w:sz w:val="22"/>
          <w:szCs w:val="22"/>
          <w:u w:val="single" w:color="auto"/>
          <w:color w:val="auto"/>
        </w:rPr>
        <w:t>Trademarks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B. </w:t>
      </w:r>
      <w:r>
        <w:rPr>
          <w:rFonts w:ascii="Arial" w:cs="Arial" w:eastAsia="Arial" w:hAnsi="Arial"/>
          <w:sz w:val="22"/>
          <w:szCs w:val="22"/>
          <w:u w:val="single" w:color="auto"/>
          <w:color w:val="auto"/>
        </w:rPr>
        <w:t>Trademark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162" w:name="page163"/>
    <w:bookmarkEnd w:id="162"/>
    <w:p>
      <w:pPr>
        <w:jc w:val="center"/>
        <w:ind w:right="-1100"/>
        <w:spacing w:after="0"/>
        <w:rPr>
          <w:sz w:val="20"/>
          <w:szCs w:val="20"/>
          <w:color w:val="auto"/>
        </w:rPr>
      </w:pPr>
      <w:r>
        <w:rPr>
          <w:rFonts w:ascii="Arial" w:cs="Arial" w:eastAsia="Arial" w:hAnsi="Arial"/>
          <w:sz w:val="22"/>
          <w:szCs w:val="22"/>
          <w:color w:val="auto"/>
        </w:rPr>
        <w:t>SCHEDULE V</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to Security Agreement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A. </w:t>
      </w:r>
      <w:r>
        <w:rPr>
          <w:rFonts w:ascii="Arial" w:cs="Arial" w:eastAsia="Arial" w:hAnsi="Arial"/>
          <w:sz w:val="22"/>
          <w:szCs w:val="22"/>
          <w:u w:val="single" w:color="auto"/>
          <w:color w:val="auto"/>
        </w:rPr>
        <w:t>Copyrights/Mask Works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B. </w:t>
      </w:r>
      <w:r>
        <w:rPr>
          <w:rFonts w:ascii="Arial" w:cs="Arial" w:eastAsia="Arial" w:hAnsi="Arial"/>
          <w:sz w:val="22"/>
          <w:szCs w:val="22"/>
          <w:u w:val="single" w:color="auto"/>
          <w:color w:val="auto"/>
        </w:rPr>
        <w:t>Copyright/Mask Work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851535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163" w:name="page164"/>
    <w:bookmarkEnd w:id="163"/>
    <w:p>
      <w:pPr>
        <w:jc w:val="center"/>
        <w:ind w:right="-1100"/>
        <w:spacing w:after="0"/>
        <w:rPr>
          <w:sz w:val="20"/>
          <w:szCs w:val="20"/>
          <w:color w:val="auto"/>
        </w:rPr>
      </w:pPr>
      <w:r>
        <w:rPr>
          <w:rFonts w:ascii="Arial" w:cs="Arial" w:eastAsia="Arial" w:hAnsi="Arial"/>
          <w:sz w:val="22"/>
          <w:szCs w:val="22"/>
          <w:color w:val="auto"/>
        </w:rPr>
        <w:t>SCHEDULE VI</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to Security Agreement</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Trade Secret or Know-How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22"/>
          <w:szCs w:val="22"/>
          <w:color w:val="auto"/>
        </w:rPr>
        <w:t>Exhibit A</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to the Security Agreement</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851535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165" w:name="page166"/>
    <w:bookmarkEnd w:id="165"/>
    <w:p>
      <w:pPr>
        <w:ind w:left="3980"/>
        <w:spacing w:after="0"/>
        <w:rPr>
          <w:sz w:val="20"/>
          <w:szCs w:val="20"/>
          <w:color w:val="auto"/>
        </w:rPr>
      </w:pPr>
      <w:r>
        <w:rPr>
          <w:rFonts w:ascii="Arial" w:cs="Arial" w:eastAsia="Arial" w:hAnsi="Arial"/>
          <w:sz w:val="22"/>
          <w:szCs w:val="22"/>
          <w:u w:val="single" w:color="auto"/>
          <w:color w:val="auto"/>
        </w:rPr>
        <w:t>PATENT SECURITY AGREEMENT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1"/>
          <w:szCs w:val="21"/>
          <w:color w:val="auto"/>
        </w:rPr>
        <w:t>This PATENT SECURITY AGREEMENT, dated as of [DATE]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by [●], a [●], [and [●], a</w:t>
      </w:r>
    </w:p>
    <w:p>
      <w:pPr>
        <w:spacing w:after="0" w:line="20" w:lineRule="exact"/>
        <w:rPr>
          <w:sz w:val="20"/>
          <w:szCs w:val="20"/>
          <w:color w:val="auto"/>
        </w:rPr>
      </w:pPr>
    </w:p>
    <w:p>
      <w:pPr>
        <w:jc w:val="both"/>
        <w:ind w:firstLine="8"/>
        <w:spacing w:after="0" w:line="234" w:lineRule="auto"/>
        <w:tabs>
          <w:tab w:leader="none" w:pos="99" w:val="left"/>
        </w:tabs>
        <w:numPr>
          <w:ilvl w:val="0"/>
          <w:numId w:val="160"/>
        </w:numPr>
        <w:rPr>
          <w:rFonts w:ascii="Arial" w:cs="Arial" w:eastAsia="Arial" w:hAnsi="Arial"/>
          <w:sz w:val="22"/>
          <w:szCs w:val="22"/>
          <w:color w:val="auto"/>
        </w:rPr>
      </w:pPr>
      <w:r>
        <w:rPr>
          <w:rFonts w:ascii="Arial" w:cs="Arial" w:eastAsia="Arial" w:hAnsi="Arial"/>
          <w:sz w:val="22"/>
          <w:szCs w:val="22"/>
          <w:color w:val="auto"/>
        </w:rPr>
        <w:t>● ],] (each a “</w:t>
      </w:r>
      <w:r>
        <w:rPr>
          <w:rFonts w:ascii="Arial" w:cs="Arial" w:eastAsia="Arial" w:hAnsi="Arial"/>
          <w:sz w:val="22"/>
          <w:szCs w:val="22"/>
          <w:u w:val="single" w:color="auto"/>
          <w:color w:val="auto"/>
        </w:rPr>
        <w:t>Grantor</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Grantors</w:t>
      </w:r>
      <w:r>
        <w:rPr>
          <w:rFonts w:ascii="Arial" w:cs="Arial" w:eastAsia="Arial" w:hAnsi="Arial"/>
          <w:sz w:val="22"/>
          <w:szCs w:val="22"/>
          <w:color w:val="auto"/>
        </w:rPr>
        <w:t>”), in favor of ORCO IV, LLC, a Delaware limited liability company (together with its Affiliates, successors, transferees and assignees,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as Administrative Agent for the Secured Parties.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r>
        <w:rPr>
          <w:rFonts w:ascii="Arial" w:cs="Arial" w:eastAsia="Arial" w:hAnsi="Arial"/>
          <w:sz w:val="22"/>
          <w:szCs w:val="22"/>
          <w:color w:val="auto"/>
        </w:rPr>
        <w:t xml:space="preserve"> :</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WHEREAS, pursuant to the Credit Agreement, dated as of October 18, 2023 (as amended,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by and among AVITA MEDICAL,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the Lenders party thereto and the Administrative Agent, the Lenders have extended Commitments to make Loans to the Borrower;</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WHEREAS, in connection with the Credit Agreement, the Grantor and its Affiliates have executed and delivered a Pledge and Security Agreement in favor of the Administrative Agent, for the benefit of the Secured Parties, dated as of October 18, 2023 (as amended, supplemented or otherwise modified from time to time, the “</w:t>
      </w:r>
      <w:r>
        <w:rPr>
          <w:rFonts w:ascii="Arial" w:cs="Arial" w:eastAsia="Arial" w:hAnsi="Arial"/>
          <w:sz w:val="21"/>
          <w:szCs w:val="21"/>
          <w:u w:val="single" w:color="auto"/>
          <w:color w:val="auto"/>
        </w:rPr>
        <w:t>Security Agreement</w:t>
      </w:r>
      <w:r>
        <w:rPr>
          <w:rFonts w:ascii="Arial" w:cs="Arial" w:eastAsia="Arial" w:hAnsi="Arial"/>
          <w:sz w:val="21"/>
          <w:szCs w:val="21"/>
          <w:color w:val="auto"/>
        </w:rPr>
        <w:t>”);</w:t>
      </w:r>
    </w:p>
    <w:p>
      <w:pPr>
        <w:spacing w:after="0" w:line="169"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WHEREAS, pursuant to the Credit Agreement and pursuant to clause (e) of Section 4.5 of the Security Agreement, the Grantor is required to execute and deliver this Agreement and to grant to the Administrative Agent, for the benefit of the Secured Parties, a continuing security interest in all of the Patent Collateral to secure all of the Obligations; and</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WHEREAS, the Grantor has duly authorized the execution, delivery and performance of this Agreement;</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Grantor agrees, for the benefit of the Secured Parties, as follows:</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Definitions</w:t>
      </w:r>
      <w:r>
        <w:rPr>
          <w:rFonts w:ascii="Arial" w:cs="Arial" w:eastAsia="Arial" w:hAnsi="Arial"/>
          <w:sz w:val="22"/>
          <w:szCs w:val="22"/>
          <w:color w:val="auto"/>
        </w:rPr>
        <w:t>. Unless otherwise defined herein or the context otherwise requires, terms used in this Agreement, including its preamble and recitals, have the meanings provided (or incorporated by reference) in the Security Agreement.</w:t>
      </w:r>
    </w:p>
    <w:p>
      <w:pPr>
        <w:spacing w:after="0" w:line="18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Grant of Security Interest</w:t>
      </w:r>
      <w:r>
        <w:rPr>
          <w:rFonts w:ascii="Arial" w:cs="Arial" w:eastAsia="Arial" w:hAnsi="Arial"/>
          <w:sz w:val="22"/>
          <w:szCs w:val="22"/>
          <w:color w:val="auto"/>
        </w:rPr>
        <w:t>. The Grantor hereby grants to the Administrative Agent, for the benefit of the Secured Parties, a continuing security interest in all of the Grantor’s right, title and interest in and to the Patent Collateral, including each patent and patent application referred to in Item A of Schedule I attached hereto and each patent license referred to in Item B of Schedules 1 attached hereto. Notwithstanding anything to the contrary, the Patent Collateral does not include Excluded Property.</w:t>
      </w:r>
    </w:p>
    <w:p>
      <w:pPr>
        <w:spacing w:after="0" w:line="187"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Security Agreement</w:t>
      </w:r>
      <w:r>
        <w:rPr>
          <w:rFonts w:ascii="Arial" w:cs="Arial" w:eastAsia="Arial" w:hAnsi="Arial"/>
          <w:sz w:val="19"/>
          <w:szCs w:val="19"/>
          <w:color w:val="auto"/>
        </w:rPr>
        <w:t>. This Agreement has been executed and delivered by the Grantor for the purpose of registering the security interest of the Administrative Agent in the Patent Collateral with the United States Patent and Trademark Office. The security interest granted hereby has been granted in furtherance of, and not in limitation of, the security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403225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6" w:name="page167"/>
    <w:bookmarkEnd w:id="166"/>
    <w:p>
      <w:pPr>
        <w:jc w:val="both"/>
        <w:spacing w:after="0" w:line="274" w:lineRule="auto"/>
        <w:rPr>
          <w:sz w:val="20"/>
          <w:szCs w:val="20"/>
          <w:color w:val="auto"/>
        </w:rPr>
      </w:pPr>
      <w:r>
        <w:rPr>
          <w:rFonts w:ascii="Arial" w:cs="Arial" w:eastAsia="Arial" w:hAnsi="Arial"/>
          <w:sz w:val="21"/>
          <w:szCs w:val="21"/>
          <w:color w:val="auto"/>
        </w:rPr>
        <w:t>granted to the Administrative Agent for its benefit under the Security Agreement. The Security Agreement (and all rights and remedies of the Administrative Agent thereunder) shall remain in full force and effect in accordance with its terms.</w:t>
      </w:r>
    </w:p>
    <w:p>
      <w:pPr>
        <w:spacing w:after="0" w:line="15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Release of Liens</w:t>
      </w:r>
      <w:r>
        <w:rPr>
          <w:rFonts w:ascii="Arial" w:cs="Arial" w:eastAsia="Arial" w:hAnsi="Arial"/>
          <w:sz w:val="21"/>
          <w:szCs w:val="21"/>
          <w:color w:val="auto"/>
        </w:rPr>
        <w:t xml:space="preserve">. Upon (a) the sale of Patent Collateral to Persons who are not the Borrower or any Subsidiary thereof in accordance with the Credit Agreement or (b) the occurrence of the Termination Date, the security interests granted herein shall automatically terminate with respect to (i) such Patent Collateral (in the case of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or (ii) all Patent Collateral (in the case of </w:t>
      </w:r>
      <w:r>
        <w:rPr>
          <w:rFonts w:ascii="Arial" w:cs="Arial" w:eastAsia="Arial" w:hAnsi="Arial"/>
          <w:sz w:val="21"/>
          <w:szCs w:val="21"/>
          <w:u w:val="single" w:color="auto"/>
          <w:color w:val="auto"/>
        </w:rPr>
        <w:t>clause (b)</w:t>
      </w:r>
      <w:r>
        <w:rPr>
          <w:rFonts w:ascii="Arial" w:cs="Arial" w:eastAsia="Arial" w:hAnsi="Arial"/>
          <w:sz w:val="21"/>
          <w:szCs w:val="21"/>
          <w:color w:val="auto"/>
        </w:rPr>
        <w:t>). Upon any such sale or termination, the Administrative Agent will, at the Grantor’s sole expense, deliver to the Grantor, without any representations, warranties or recourse of any kind whatsoever, all such Patent Collateral held by the Administrative Agent hereunder, and execute and deliver to the Grantor such documents as the Grantor shall reasonably request to evidence such termination.</w:t>
      </w:r>
    </w:p>
    <w:p>
      <w:pPr>
        <w:spacing w:after="0" w:line="184"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Acknowledgment</w:t>
      </w:r>
      <w:r>
        <w:rPr>
          <w:rFonts w:ascii="Arial" w:cs="Arial" w:eastAsia="Arial" w:hAnsi="Arial"/>
          <w:sz w:val="22"/>
          <w:szCs w:val="22"/>
          <w:color w:val="auto"/>
        </w:rPr>
        <w:t>. The Grantor does hereby further acknowledge and affirm that the rights and remedies of the Administrative Agent with respect to the security interest in the Patent Collateral granted hereby are more fully set forth in the Security Agreement, the terms and provisions of which (including the remedies provided for therein) are incorporated by reference herein as if fully set forth herein.</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Loan Document</w:t>
      </w:r>
      <w:r>
        <w:rPr>
          <w:rFonts w:ascii="Arial" w:cs="Arial" w:eastAsia="Arial" w:hAnsi="Arial"/>
          <w:sz w:val="22"/>
          <w:szCs w:val="22"/>
          <w:color w:val="auto"/>
        </w:rPr>
        <w:t>. This Agreement is a Loan Document executed pursuant to the Credit Agreement and shall (unless otherwise expressly indicated herein) be construed, administered and applied in accordance with the terms and provisions thereof, including Article X thereof.</w:t>
      </w:r>
    </w:p>
    <w:p>
      <w:pPr>
        <w:spacing w:after="0" w:line="186"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Effectiveness</w:t>
      </w:r>
      <w:r>
        <w:rPr>
          <w:rFonts w:ascii="Arial" w:cs="Arial" w:eastAsia="Arial" w:hAnsi="Arial"/>
          <w:sz w:val="19"/>
          <w:szCs w:val="19"/>
          <w:color w:val="auto"/>
        </w:rPr>
        <w:t>. This Agreement shall become effective when a counterpart hereof executed by the Grantor shall have been received by the Administrative Agent. Delivery of an executed counterpart of a signature page to this Agreement by email (e.g., “pdf” or “tiff”) or telecopy shall be effective as delivery of a manually executed counterpart of this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7" w:name="page168"/>
    <w:bookmarkEnd w:id="167"/>
    <w:p>
      <w:pPr>
        <w:ind w:firstLine="749"/>
        <w:spacing w:after="0" w:line="250" w:lineRule="auto"/>
        <w:rPr>
          <w:sz w:val="20"/>
          <w:szCs w:val="20"/>
          <w:color w:val="auto"/>
        </w:rPr>
      </w:pPr>
      <w:r>
        <w:rPr>
          <w:rFonts w:ascii="Arial" w:cs="Arial" w:eastAsia="Arial" w:hAnsi="Arial"/>
          <w:sz w:val="22"/>
          <w:szCs w:val="22"/>
          <w:color w:val="auto"/>
        </w:rPr>
        <w:t>IN WITNESS WHEREOF, the Grantor hereto has caused this Agreement to be duly executed and delivered by its Authorized Officer as of the date first above written.</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[NAME OF GRANTOR]</w:t>
      </w:r>
    </w:p>
    <w:p>
      <w:pPr>
        <w:spacing w:after="0" w:line="200"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By:</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-157480</wp:posOffset>
            </wp:positionV>
            <wp:extent cx="35572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ind w:left="3740"/>
        <w:spacing w:after="0"/>
        <w:rPr>
          <w:sz w:val="20"/>
          <w:szCs w:val="20"/>
          <w:color w:val="auto"/>
        </w:rPr>
      </w:pPr>
      <w:r>
        <w:rPr>
          <w:rFonts w:ascii="Arial" w:cs="Arial" w:eastAsia="Arial" w:hAnsi="Arial"/>
          <w:sz w:val="22"/>
          <w:szCs w:val="22"/>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Patent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8" w:name="page169"/>
    <w:bookmarkEnd w:id="168"/>
    <w:p>
      <w:pPr>
        <w:jc w:val="center"/>
        <w:ind w:right="-499"/>
        <w:spacing w:after="0"/>
        <w:rPr>
          <w:sz w:val="20"/>
          <w:szCs w:val="20"/>
          <w:color w:val="auto"/>
        </w:rPr>
      </w:pPr>
      <w:r>
        <w:rPr>
          <w:rFonts w:ascii="Arial" w:cs="Arial" w:eastAsia="Arial" w:hAnsi="Arial"/>
          <w:sz w:val="22"/>
          <w:szCs w:val="22"/>
          <w:color w:val="auto"/>
        </w:rPr>
        <w:t>SCHEDULE I</w:t>
      </w:r>
    </w:p>
    <w:p>
      <w:pPr>
        <w:spacing w:after="0" w:line="8"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to Patent Security Agreement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A. </w:t>
      </w:r>
      <w:r>
        <w:rPr>
          <w:rFonts w:ascii="Arial" w:cs="Arial" w:eastAsia="Arial" w:hAnsi="Arial"/>
          <w:sz w:val="22"/>
          <w:szCs w:val="22"/>
          <w:u w:val="single" w:color="auto"/>
          <w:color w:val="auto"/>
        </w:rPr>
        <w:t>Patents</w:t>
      </w:r>
    </w:p>
    <w:p>
      <w:pPr>
        <w:spacing w:after="0" w:line="200" w:lineRule="exact"/>
        <w:rPr>
          <w:sz w:val="20"/>
          <w:szCs w:val="20"/>
          <w:color w:val="auto"/>
        </w:rPr>
      </w:pPr>
    </w:p>
    <w:p>
      <w:pPr>
        <w:spacing w:after="0" w:line="222" w:lineRule="exact"/>
        <w:rPr>
          <w:sz w:val="20"/>
          <w:szCs w:val="20"/>
          <w:color w:val="auto"/>
        </w:rPr>
      </w:pPr>
    </w:p>
    <w:p>
      <w:pPr>
        <w:jc w:val="center"/>
        <w:ind w:right="-499"/>
        <w:spacing w:after="0"/>
        <w:rPr>
          <w:sz w:val="20"/>
          <w:szCs w:val="20"/>
          <w:color w:val="auto"/>
        </w:rPr>
      </w:pPr>
      <w:r>
        <w:rPr>
          <w:rFonts w:ascii="Arial" w:cs="Arial" w:eastAsia="Arial" w:hAnsi="Arial"/>
          <w:sz w:val="22"/>
          <w:szCs w:val="22"/>
          <w:u w:val="single" w:color="auto"/>
          <w:color w:val="auto"/>
        </w:rPr>
        <w:t>Issued Patents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
        <w:spacing w:after="0"/>
        <w:tabs>
          <w:tab w:leader="none" w:pos="1960" w:val="left"/>
          <w:tab w:leader="none" w:pos="3840" w:val="left"/>
          <w:tab w:leader="none" w:pos="5720" w:val="left"/>
          <w:tab w:leader="none" w:pos="7600" w:val="left"/>
          <w:tab w:leader="none" w:pos="9460" w:val="left"/>
        </w:tabs>
        <w:rPr>
          <w:sz w:val="20"/>
          <w:szCs w:val="20"/>
          <w:color w:val="auto"/>
        </w:rPr>
      </w:pPr>
      <w:r>
        <w:rPr>
          <w:rFonts w:ascii="Arial" w:cs="Arial" w:eastAsia="Arial" w:hAnsi="Arial"/>
          <w:sz w:val="22"/>
          <w:szCs w:val="22"/>
          <w:u w:val="single" w:color="auto"/>
          <w:color w:val="auto"/>
        </w:rPr>
        <w:t>Country</w:t>
      </w:r>
      <w:r>
        <w:rPr>
          <w:sz w:val="20"/>
          <w:szCs w:val="20"/>
          <w:color w:val="auto"/>
        </w:rPr>
        <w:tab/>
      </w:r>
      <w:r>
        <w:rPr>
          <w:rFonts w:ascii="Arial" w:cs="Arial" w:eastAsia="Arial" w:hAnsi="Arial"/>
          <w:sz w:val="22"/>
          <w:szCs w:val="22"/>
          <w:u w:val="single" w:color="auto"/>
          <w:color w:val="auto"/>
        </w:rPr>
        <w:t>Licensor</w:t>
      </w:r>
      <w:r>
        <w:rPr>
          <w:sz w:val="20"/>
          <w:szCs w:val="20"/>
          <w:color w:val="auto"/>
        </w:rPr>
        <w:tab/>
      </w:r>
      <w:r>
        <w:rPr>
          <w:rFonts w:ascii="Arial" w:cs="Arial" w:eastAsia="Arial" w:hAnsi="Arial"/>
          <w:sz w:val="22"/>
          <w:szCs w:val="22"/>
          <w:u w:val="single" w:color="auto"/>
          <w:color w:val="auto"/>
        </w:rPr>
        <w:t>Licensee</w:t>
      </w:r>
      <w:r>
        <w:rPr>
          <w:sz w:val="20"/>
          <w:szCs w:val="20"/>
          <w:color w:val="auto"/>
        </w:rPr>
        <w:tab/>
      </w:r>
      <w:r>
        <w:rPr>
          <w:rFonts w:ascii="Arial" w:cs="Arial" w:eastAsia="Arial" w:hAnsi="Arial"/>
          <w:sz w:val="22"/>
          <w:szCs w:val="22"/>
          <w:u w:val="single" w:color="auto"/>
          <w:color w:val="auto"/>
        </w:rPr>
        <w:t>Effective Date</w:t>
      </w:r>
      <w:r>
        <w:rPr>
          <w:sz w:val="20"/>
          <w:szCs w:val="20"/>
          <w:color w:val="auto"/>
        </w:rPr>
        <w:tab/>
      </w:r>
      <w:r>
        <w:rPr>
          <w:rFonts w:ascii="Arial" w:cs="Arial" w:eastAsia="Arial" w:hAnsi="Arial"/>
          <w:sz w:val="22"/>
          <w:szCs w:val="22"/>
          <w:u w:val="single" w:color="auto"/>
          <w:color w:val="auto"/>
        </w:rPr>
        <w:t>Expiration Date</w:t>
      </w:r>
      <w:r>
        <w:rPr>
          <w:sz w:val="20"/>
          <w:szCs w:val="20"/>
          <w:color w:val="auto"/>
        </w:rPr>
        <w:tab/>
      </w:r>
      <w:r>
        <w:rPr>
          <w:rFonts w:ascii="Arial" w:cs="Arial" w:eastAsia="Arial" w:hAnsi="Arial"/>
          <w:sz w:val="19"/>
          <w:szCs w:val="19"/>
          <w:u w:val="single" w:color="auto"/>
          <w:color w:val="auto"/>
        </w:rPr>
        <w:t>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0"/>
        <w:spacing w:after="0"/>
        <w:rPr>
          <w:sz w:val="20"/>
          <w:szCs w:val="20"/>
          <w:color w:val="auto"/>
        </w:rPr>
      </w:pPr>
      <w:r>
        <w:rPr>
          <w:rFonts w:ascii="Arial" w:cs="Arial" w:eastAsia="Arial" w:hAnsi="Arial"/>
          <w:sz w:val="22"/>
          <w:szCs w:val="22"/>
          <w:u w:val="single" w:color="auto"/>
          <w:color w:val="auto"/>
        </w:rPr>
        <w:t>Pending Patent Applications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
        <w:spacing w:after="0"/>
        <w:tabs>
          <w:tab w:leader="none" w:pos="1960" w:val="left"/>
          <w:tab w:leader="none" w:pos="3840" w:val="left"/>
          <w:tab w:leader="none" w:pos="5720" w:val="left"/>
          <w:tab w:leader="none" w:pos="7600" w:val="left"/>
          <w:tab w:leader="none" w:pos="9460" w:val="left"/>
        </w:tabs>
        <w:rPr>
          <w:sz w:val="20"/>
          <w:szCs w:val="20"/>
          <w:color w:val="auto"/>
        </w:rPr>
      </w:pPr>
      <w:r>
        <w:rPr>
          <w:rFonts w:ascii="Arial" w:cs="Arial" w:eastAsia="Arial" w:hAnsi="Arial"/>
          <w:sz w:val="22"/>
          <w:szCs w:val="22"/>
          <w:u w:val="single" w:color="auto"/>
          <w:color w:val="auto"/>
        </w:rPr>
        <w:t>Country</w:t>
      </w:r>
      <w:r>
        <w:rPr>
          <w:sz w:val="20"/>
          <w:szCs w:val="20"/>
          <w:color w:val="auto"/>
        </w:rPr>
        <w:tab/>
      </w:r>
      <w:r>
        <w:rPr>
          <w:rFonts w:ascii="Arial" w:cs="Arial" w:eastAsia="Arial" w:hAnsi="Arial"/>
          <w:sz w:val="22"/>
          <w:szCs w:val="22"/>
          <w:u w:val="single" w:color="auto"/>
          <w:color w:val="auto"/>
        </w:rPr>
        <w:t>Licensor</w:t>
      </w:r>
      <w:r>
        <w:rPr>
          <w:sz w:val="20"/>
          <w:szCs w:val="20"/>
          <w:color w:val="auto"/>
        </w:rPr>
        <w:tab/>
      </w:r>
      <w:r>
        <w:rPr>
          <w:rFonts w:ascii="Arial" w:cs="Arial" w:eastAsia="Arial" w:hAnsi="Arial"/>
          <w:sz w:val="22"/>
          <w:szCs w:val="22"/>
          <w:u w:val="single" w:color="auto"/>
          <w:color w:val="auto"/>
        </w:rPr>
        <w:t>Licensee</w:t>
      </w:r>
      <w:r>
        <w:rPr>
          <w:sz w:val="20"/>
          <w:szCs w:val="20"/>
          <w:color w:val="auto"/>
        </w:rPr>
        <w:tab/>
      </w:r>
      <w:r>
        <w:rPr>
          <w:rFonts w:ascii="Arial" w:cs="Arial" w:eastAsia="Arial" w:hAnsi="Arial"/>
          <w:sz w:val="22"/>
          <w:szCs w:val="22"/>
          <w:u w:val="single" w:color="auto"/>
          <w:color w:val="auto"/>
        </w:rPr>
        <w:t>Effective Date</w:t>
      </w:r>
      <w:r>
        <w:rPr>
          <w:sz w:val="20"/>
          <w:szCs w:val="20"/>
          <w:color w:val="auto"/>
        </w:rPr>
        <w:tab/>
      </w:r>
      <w:r>
        <w:rPr>
          <w:rFonts w:ascii="Arial" w:cs="Arial" w:eastAsia="Arial" w:hAnsi="Arial"/>
          <w:sz w:val="22"/>
          <w:szCs w:val="22"/>
          <w:u w:val="single" w:color="auto"/>
          <w:color w:val="auto"/>
        </w:rPr>
        <w:t>Expiration Date</w:t>
      </w:r>
      <w:r>
        <w:rPr>
          <w:sz w:val="20"/>
          <w:szCs w:val="20"/>
          <w:color w:val="auto"/>
        </w:rPr>
        <w:tab/>
      </w:r>
      <w:r>
        <w:rPr>
          <w:rFonts w:ascii="Arial" w:cs="Arial" w:eastAsia="Arial" w:hAnsi="Arial"/>
          <w:sz w:val="19"/>
          <w:szCs w:val="19"/>
          <w:u w:val="single" w:color="auto"/>
          <w:color w:val="auto"/>
        </w:rPr>
        <w:t>Subject Matter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B. </w:t>
      </w:r>
      <w:r>
        <w:rPr>
          <w:rFonts w:ascii="Arial" w:cs="Arial" w:eastAsia="Arial" w:hAnsi="Arial"/>
          <w:sz w:val="22"/>
          <w:szCs w:val="22"/>
          <w:u w:val="single" w:color="auto"/>
          <w:color w:val="auto"/>
        </w:rPr>
        <w:t>Patent Licenses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
        <w:spacing w:after="0"/>
        <w:tabs>
          <w:tab w:leader="none" w:pos="1960" w:val="left"/>
          <w:tab w:leader="none" w:pos="3840" w:val="left"/>
          <w:tab w:leader="none" w:pos="5720" w:val="left"/>
          <w:tab w:leader="none" w:pos="7600" w:val="left"/>
          <w:tab w:leader="none" w:pos="9460" w:val="left"/>
        </w:tabs>
        <w:rPr>
          <w:sz w:val="20"/>
          <w:szCs w:val="20"/>
          <w:color w:val="auto"/>
        </w:rPr>
      </w:pPr>
      <w:r>
        <w:rPr>
          <w:rFonts w:ascii="Arial" w:cs="Arial" w:eastAsia="Arial" w:hAnsi="Arial"/>
          <w:sz w:val="22"/>
          <w:szCs w:val="22"/>
          <w:u w:val="single" w:color="auto"/>
          <w:color w:val="auto"/>
        </w:rPr>
        <w:t>Country</w:t>
      </w:r>
      <w:r>
        <w:rPr>
          <w:sz w:val="20"/>
          <w:szCs w:val="20"/>
          <w:color w:val="auto"/>
        </w:rPr>
        <w:tab/>
      </w:r>
      <w:r>
        <w:rPr>
          <w:rFonts w:ascii="Arial" w:cs="Arial" w:eastAsia="Arial" w:hAnsi="Arial"/>
          <w:sz w:val="22"/>
          <w:szCs w:val="22"/>
          <w:u w:val="single" w:color="auto"/>
          <w:color w:val="auto"/>
        </w:rPr>
        <w:t>Licensor</w:t>
      </w:r>
      <w:r>
        <w:rPr>
          <w:sz w:val="20"/>
          <w:szCs w:val="20"/>
          <w:color w:val="auto"/>
        </w:rPr>
        <w:tab/>
      </w:r>
      <w:r>
        <w:rPr>
          <w:rFonts w:ascii="Arial" w:cs="Arial" w:eastAsia="Arial" w:hAnsi="Arial"/>
          <w:sz w:val="22"/>
          <w:szCs w:val="22"/>
          <w:u w:val="single" w:color="auto"/>
          <w:color w:val="auto"/>
        </w:rPr>
        <w:t>Licensee</w:t>
      </w:r>
      <w:r>
        <w:rPr>
          <w:sz w:val="20"/>
          <w:szCs w:val="20"/>
          <w:color w:val="auto"/>
        </w:rPr>
        <w:tab/>
      </w:r>
      <w:r>
        <w:rPr>
          <w:rFonts w:ascii="Arial" w:cs="Arial" w:eastAsia="Arial" w:hAnsi="Arial"/>
          <w:sz w:val="22"/>
          <w:szCs w:val="22"/>
          <w:u w:val="single" w:color="auto"/>
          <w:color w:val="auto"/>
        </w:rPr>
        <w:t>Effective Date</w:t>
      </w:r>
      <w:r>
        <w:rPr>
          <w:sz w:val="20"/>
          <w:szCs w:val="20"/>
          <w:color w:val="auto"/>
        </w:rPr>
        <w:tab/>
      </w:r>
      <w:r>
        <w:rPr>
          <w:rFonts w:ascii="Arial" w:cs="Arial" w:eastAsia="Arial" w:hAnsi="Arial"/>
          <w:sz w:val="22"/>
          <w:szCs w:val="22"/>
          <w:u w:val="single" w:color="auto"/>
          <w:color w:val="auto"/>
        </w:rPr>
        <w:t>Expiration Date</w:t>
      </w:r>
      <w:r>
        <w:rPr>
          <w:sz w:val="20"/>
          <w:szCs w:val="20"/>
          <w:color w:val="auto"/>
        </w:rPr>
        <w:tab/>
      </w:r>
      <w:r>
        <w:rPr>
          <w:rFonts w:ascii="Arial" w:cs="Arial" w:eastAsia="Arial" w:hAnsi="Arial"/>
          <w:sz w:val="19"/>
          <w:szCs w:val="19"/>
          <w:u w:val="single" w:color="auto"/>
          <w:color w:val="auto"/>
        </w:rPr>
        <w:t>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1040130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334" w:right="81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22"/>
          <w:szCs w:val="22"/>
          <w:color w:val="auto"/>
        </w:rPr>
        <w:t>Exhibit B</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to the Security Agreement</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311785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170" w:name="page171"/>
    <w:bookmarkEnd w:id="170"/>
    <w:p>
      <w:pPr>
        <w:jc w:val="center"/>
        <w:spacing w:after="0"/>
        <w:rPr>
          <w:sz w:val="20"/>
          <w:szCs w:val="20"/>
          <w:color w:val="auto"/>
        </w:rPr>
      </w:pPr>
      <w:r>
        <w:rPr>
          <w:rFonts w:ascii="Arial" w:cs="Arial" w:eastAsia="Arial" w:hAnsi="Arial"/>
          <w:sz w:val="22"/>
          <w:szCs w:val="22"/>
          <w:u w:val="single" w:color="auto"/>
          <w:color w:val="auto"/>
        </w:rPr>
        <w:t>TRADEMARK SECURITY AGREEMENT</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This TRADEMARK SECURITY AGREEMENT, dated as of [DATE]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by [GRANTOR], a [●], [and [GRANTOR], a [●],] (each a “</w:t>
      </w:r>
      <w:r>
        <w:rPr>
          <w:rFonts w:ascii="Arial" w:cs="Arial" w:eastAsia="Arial" w:hAnsi="Arial"/>
          <w:sz w:val="22"/>
          <w:szCs w:val="22"/>
          <w:u w:val="single" w:color="auto"/>
          <w:color w:val="auto"/>
        </w:rPr>
        <w:t>Grantor</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Grantors</w:t>
      </w:r>
      <w:r>
        <w:rPr>
          <w:rFonts w:ascii="Arial" w:cs="Arial" w:eastAsia="Arial" w:hAnsi="Arial"/>
          <w:sz w:val="22"/>
          <w:szCs w:val="22"/>
          <w:color w:val="auto"/>
        </w:rPr>
        <w:t xml:space="preserve"> ”), in favor of ORCO IV, LLC, a Delaware limited liability company (together with its Affiliates, successors, transferees and assignees,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as Administrative Agent for the Secured Parties.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WHEREAS, pursuant to the Credit Agreement, dated as of October 18, 2023 (as amended,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by and among AVITA MEDICAL,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the Lenders party thereto and the Administrative Agent, the Lenders have extended Commitments to make Loans to the Borrower;</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WHEREAS, in connection with the Credit Agreement, the Grantor and its Affiliates have executed and delivered a Pledge and Security Agreement in favor of the Administrative Agent, for the benefit of the Secured Parties, dated as of October 18, 2023 (as amended, supplemented or otherwise modified from time to time, the “</w:t>
      </w:r>
      <w:r>
        <w:rPr>
          <w:rFonts w:ascii="Arial" w:cs="Arial" w:eastAsia="Arial" w:hAnsi="Arial"/>
          <w:sz w:val="21"/>
          <w:szCs w:val="21"/>
          <w:u w:val="single" w:color="auto"/>
          <w:color w:val="auto"/>
        </w:rPr>
        <w:t>Security Agreement</w:t>
      </w:r>
      <w:r>
        <w:rPr>
          <w:rFonts w:ascii="Arial" w:cs="Arial" w:eastAsia="Arial" w:hAnsi="Arial"/>
          <w:sz w:val="21"/>
          <w:szCs w:val="21"/>
          <w:color w:val="auto"/>
        </w:rPr>
        <w:t>”);</w:t>
      </w:r>
    </w:p>
    <w:p>
      <w:pPr>
        <w:spacing w:after="0" w:line="169"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WHEREAS, pursuant to the Credit Agreement and pursuant to clause (e) of Section 4.5 of the Security Agreement, the Grantor is required to execute and deliver this Agreement and to grant to the Administrative Agent, for the benefit of the Secured Parties, a continuing security interest in all of the Trademark Collateral to secure all of the Obligations; and</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WHEREAS, the Grantor has duly authorized the execution, delivery and performance of this Agreement;</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Grantor agrees, for the benefit of the Secured Parties, as follows:</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Definitions</w:t>
      </w:r>
      <w:r>
        <w:rPr>
          <w:rFonts w:ascii="Arial" w:cs="Arial" w:eastAsia="Arial" w:hAnsi="Arial"/>
          <w:sz w:val="22"/>
          <w:szCs w:val="22"/>
          <w:color w:val="auto"/>
        </w:rPr>
        <w:t>. Unless otherwise defined herein or the context otherwise requires, terms used in this Agreement, including its preamble and recitals, have the meanings provided (or incorporated by reference) in the Security Agreement.</w:t>
      </w:r>
    </w:p>
    <w:p>
      <w:pPr>
        <w:spacing w:after="0" w:line="18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Grant of Security Interest</w:t>
      </w:r>
      <w:r>
        <w:rPr>
          <w:rFonts w:ascii="Arial" w:cs="Arial" w:eastAsia="Arial" w:hAnsi="Arial"/>
          <w:sz w:val="22"/>
          <w:szCs w:val="22"/>
          <w:color w:val="auto"/>
        </w:rPr>
        <w:t>. The Grantor hereby grants to the Administrative Agent, for the benefit of the Secured Parties, a continuing security interest in all of Grantor’s right, title and interest in and to the Trademark Collateral, including those Trademarks referred to in Item A of Schedule I hereto and each Trademark license referred to in Item B of Schedule I hereto.</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Notwithstanding anything to the contrary, the Trademark Collateral does not include (a) Trademark applications filed in the United States Patent and Trademark Office on the basis of such Grantor’s “intent to use” of such Trademark, unless and until acceptable evidence of use of the Trademark has been filed with the United States Patent and Trademark Office pursuant to Section 1(c) or Section 1(d) of the Lanham Act (15 U.S.C. 1051, et seq.), to the extent that granting a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1" w:name="page172"/>
    <w:bookmarkEnd w:id="171"/>
    <w:p>
      <w:pPr>
        <w:jc w:val="both"/>
        <w:spacing w:after="0" w:line="250" w:lineRule="auto"/>
        <w:rPr>
          <w:sz w:val="20"/>
          <w:szCs w:val="20"/>
          <w:color w:val="auto"/>
        </w:rPr>
      </w:pPr>
      <w:r>
        <w:rPr>
          <w:rFonts w:ascii="Arial" w:cs="Arial" w:eastAsia="Arial" w:hAnsi="Arial"/>
          <w:sz w:val="22"/>
          <w:szCs w:val="22"/>
          <w:color w:val="auto"/>
        </w:rPr>
        <w:t>in such Trademark application prior to such filing would adversely affect the enforceability or validity of such Trademark application or (b) other Excluded Property.</w:t>
      </w:r>
    </w:p>
    <w:p>
      <w:pPr>
        <w:spacing w:after="0" w:line="17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Security Agreement</w:t>
      </w:r>
      <w:r>
        <w:rPr>
          <w:rFonts w:ascii="Arial" w:cs="Arial" w:eastAsia="Arial" w:hAnsi="Arial"/>
          <w:sz w:val="19"/>
          <w:szCs w:val="19"/>
          <w:color w:val="auto"/>
        </w:rPr>
        <w:t>. This Agreement has been executed and delivered by the Grantor for the purpose of registering the security interest of the Administrative Agent in the Trademark Collateral with the United States Patent and Trademark Office. The security interest granted hereby has been granted in furtherance of, and not in limitation of, the security interest granted to the Administrative Agent for its benefit under the Security Agreement. The Security Agreement (and all rights and remedies of the Administrative Agent thereunder) shall remain in full force and effect in accordance with its terms.</w:t>
      </w:r>
    </w:p>
    <w:p>
      <w:pPr>
        <w:spacing w:after="0" w:line="14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Release of Liens</w:t>
      </w:r>
      <w:r>
        <w:rPr>
          <w:rFonts w:ascii="Arial" w:cs="Arial" w:eastAsia="Arial" w:hAnsi="Arial"/>
          <w:sz w:val="19"/>
          <w:szCs w:val="19"/>
          <w:color w:val="auto"/>
        </w:rPr>
        <w:t xml:space="preserve">. Upon (a) the sale of Trademark Collateral to Persons who are not the Borrower or any Subsidiary thereof in accordance with the Credit Agreement or (b) the occurrence of the Termination Date, the security interests granted herein shall automatically terminate with respect to (i) such Trademark Collateral (in the case of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(ii) all Trademark Collateral (in the case of </w:t>
      </w:r>
      <w:r>
        <w:rPr>
          <w:rFonts w:ascii="Arial" w:cs="Arial" w:eastAsia="Arial" w:hAnsi="Arial"/>
          <w:sz w:val="19"/>
          <w:szCs w:val="19"/>
          <w:u w:val="single" w:color="auto"/>
          <w:color w:val="auto"/>
        </w:rPr>
        <w:t>clause (b)</w:t>
      </w:r>
      <w:r>
        <w:rPr>
          <w:rFonts w:ascii="Arial" w:cs="Arial" w:eastAsia="Arial" w:hAnsi="Arial"/>
          <w:sz w:val="19"/>
          <w:szCs w:val="19"/>
          <w:color w:val="auto"/>
        </w:rPr>
        <w:t>). Upon any such sale or termination, the Administrative Agent will, at the Grantor’s sole expense, deliver to the Grantor, without any representations, warranties or recourse of any kind whatsoever, all such Trademark Collateral held by the Administrative Agent hereunder, and execute and deliver to the Grantor such documents as the Grantor shall reasonably request to evidence such termination.</w:t>
      </w:r>
    </w:p>
    <w:p>
      <w:pPr>
        <w:spacing w:after="0" w:line="15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Acknowledgment</w:t>
      </w:r>
      <w:r>
        <w:rPr>
          <w:rFonts w:ascii="Arial" w:cs="Arial" w:eastAsia="Arial" w:hAnsi="Arial"/>
          <w:sz w:val="22"/>
          <w:szCs w:val="22"/>
          <w:color w:val="auto"/>
        </w:rPr>
        <w:t>. The Grantor does hereby further acknowledge and affirm that the rights and remedies of the Administrative Agent with respect to the security interest in the Trademark Collateral granted hereby are more fully set forth in the Security Agreement, the terms and provisions of which (including the remedies provided for therein) are incorporated by reference herein as if fully set forth herein.</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Loan Document</w:t>
      </w:r>
      <w:r>
        <w:rPr>
          <w:rFonts w:ascii="Arial" w:cs="Arial" w:eastAsia="Arial" w:hAnsi="Arial"/>
          <w:sz w:val="22"/>
          <w:szCs w:val="22"/>
          <w:color w:val="auto"/>
        </w:rPr>
        <w:t>. This Agreement is a Loan Document executed pursuant to the Credit Agreement and shall (unless otherwise expressly indicated herein) be construed, administered and applied in accordance with the terms and provisions thereof, including Article X thereof.</w:t>
      </w:r>
    </w:p>
    <w:p>
      <w:pPr>
        <w:spacing w:after="0" w:line="186"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Effectiveness</w:t>
      </w:r>
      <w:r>
        <w:rPr>
          <w:rFonts w:ascii="Arial" w:cs="Arial" w:eastAsia="Arial" w:hAnsi="Arial"/>
          <w:sz w:val="19"/>
          <w:szCs w:val="19"/>
          <w:color w:val="auto"/>
        </w:rPr>
        <w:t>. This Agreement shall become effective when a counterpart hereof executed by the Grantor shall have been received by the Administrative Agent. Delivery of an executed counterpart of a signature page to this Agreement by email (e.g., “pdf” or “tiff”) or telecopy shall be effective as delivery of a manually executed counterpart of this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2" w:name="page173"/>
    <w:bookmarkEnd w:id="172"/>
    <w:p>
      <w:pPr>
        <w:ind w:firstLine="749"/>
        <w:spacing w:after="0" w:line="250" w:lineRule="auto"/>
        <w:rPr>
          <w:sz w:val="20"/>
          <w:szCs w:val="20"/>
          <w:color w:val="auto"/>
        </w:rPr>
      </w:pPr>
      <w:r>
        <w:rPr>
          <w:rFonts w:ascii="Arial" w:cs="Arial" w:eastAsia="Arial" w:hAnsi="Arial"/>
          <w:sz w:val="22"/>
          <w:szCs w:val="22"/>
          <w:color w:val="auto"/>
        </w:rPr>
        <w:t>IN WITNESS WHEREOF, the Grantor hereto has caused this Agreement to be duly executed and delivered by its Authorized Officer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[NAME OF GRANTOR]</w:t>
      </w:r>
    </w:p>
    <w:p>
      <w:pPr>
        <w:spacing w:after="0" w:line="200" w:lineRule="exact"/>
        <w:rPr>
          <w:sz w:val="20"/>
          <w:szCs w:val="20"/>
          <w:color w:val="auto"/>
        </w:rPr>
      </w:pPr>
    </w:p>
    <w:p>
      <w:pPr>
        <w:spacing w:after="0" w:line="243"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By:</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-157480</wp:posOffset>
            </wp:positionV>
            <wp:extent cx="35572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ind w:left="3740"/>
        <w:spacing w:after="0"/>
        <w:rPr>
          <w:sz w:val="20"/>
          <w:szCs w:val="20"/>
          <w:color w:val="auto"/>
        </w:rPr>
      </w:pPr>
      <w:r>
        <w:rPr>
          <w:rFonts w:ascii="Arial" w:cs="Arial" w:eastAsia="Arial" w:hAnsi="Arial"/>
          <w:sz w:val="22"/>
          <w:szCs w:val="22"/>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Trademark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3" w:name="page174"/>
    <w:bookmarkEnd w:id="173"/>
    <w:p>
      <w:pPr>
        <w:jc w:val="center"/>
        <w:ind w:right="-899"/>
        <w:spacing w:after="0"/>
        <w:rPr>
          <w:sz w:val="20"/>
          <w:szCs w:val="20"/>
          <w:color w:val="auto"/>
        </w:rPr>
      </w:pPr>
      <w:r>
        <w:rPr>
          <w:rFonts w:ascii="Arial" w:cs="Arial" w:eastAsia="Arial" w:hAnsi="Arial"/>
          <w:sz w:val="22"/>
          <w:szCs w:val="22"/>
          <w:color w:val="auto"/>
        </w:rPr>
        <w:t>SCHEDULE I</w:t>
      </w:r>
    </w:p>
    <w:p>
      <w:pPr>
        <w:spacing w:after="0" w:line="8" w:lineRule="exact"/>
        <w:rPr>
          <w:sz w:val="20"/>
          <w:szCs w:val="20"/>
          <w:color w:val="auto"/>
        </w:rPr>
      </w:pPr>
    </w:p>
    <w:p>
      <w:pPr>
        <w:jc w:val="center"/>
        <w:ind w:right="-899"/>
        <w:spacing w:after="0"/>
        <w:rPr>
          <w:sz w:val="20"/>
          <w:szCs w:val="20"/>
          <w:color w:val="auto"/>
        </w:rPr>
      </w:pPr>
      <w:r>
        <w:rPr>
          <w:rFonts w:ascii="Arial" w:cs="Arial" w:eastAsia="Arial" w:hAnsi="Arial"/>
          <w:sz w:val="22"/>
          <w:szCs w:val="22"/>
          <w:color w:val="auto"/>
        </w:rPr>
        <w:t>to Trademark Security Agreement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A. </w:t>
      </w:r>
      <w:r>
        <w:rPr>
          <w:rFonts w:ascii="Arial" w:cs="Arial" w:eastAsia="Arial" w:hAnsi="Arial"/>
          <w:sz w:val="22"/>
          <w:szCs w:val="22"/>
          <w:u w:val="single" w:color="auto"/>
          <w:color w:val="auto"/>
        </w:rPr>
        <w:t>Trademarks</w:t>
      </w:r>
    </w:p>
    <w:p>
      <w:pPr>
        <w:spacing w:after="0" w:line="200" w:lineRule="exact"/>
        <w:rPr>
          <w:sz w:val="20"/>
          <w:szCs w:val="20"/>
          <w:color w:val="auto"/>
        </w:rPr>
      </w:pPr>
    </w:p>
    <w:p>
      <w:pPr>
        <w:spacing w:after="0" w:line="222" w:lineRule="exact"/>
        <w:rPr>
          <w:sz w:val="20"/>
          <w:szCs w:val="20"/>
          <w:color w:val="auto"/>
        </w:rPr>
      </w:pPr>
    </w:p>
    <w:p>
      <w:pPr>
        <w:ind w:left="4620"/>
        <w:spacing w:after="0"/>
        <w:rPr>
          <w:sz w:val="20"/>
          <w:szCs w:val="20"/>
          <w:color w:val="auto"/>
        </w:rPr>
      </w:pPr>
      <w:r>
        <w:rPr>
          <w:rFonts w:ascii="Arial" w:cs="Arial" w:eastAsia="Arial" w:hAnsi="Arial"/>
          <w:sz w:val="22"/>
          <w:szCs w:val="22"/>
          <w:u w:val="single" w:color="auto"/>
          <w:color w:val="auto"/>
        </w:rPr>
        <w:t>Registered Trademarks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
        <w:spacing w:after="0"/>
        <w:tabs>
          <w:tab w:leader="none" w:pos="1400" w:val="left"/>
          <w:tab w:leader="none" w:pos="3340" w:val="left"/>
          <w:tab w:leader="none" w:pos="5060" w:val="left"/>
          <w:tab w:leader="none" w:pos="6800" w:val="left"/>
          <w:tab w:leader="none" w:pos="8940" w:val="left"/>
        </w:tabs>
        <w:rPr>
          <w:sz w:val="20"/>
          <w:szCs w:val="20"/>
          <w:color w:val="auto"/>
        </w:rPr>
      </w:pPr>
      <w:r>
        <w:rPr>
          <w:rFonts w:ascii="Arial" w:cs="Arial" w:eastAsia="Arial" w:hAnsi="Arial"/>
          <w:sz w:val="22"/>
          <w:szCs w:val="22"/>
          <w:u w:val="single" w:color="auto"/>
          <w:color w:val="auto"/>
        </w:rPr>
        <w:t>Country</w:t>
      </w:r>
      <w:r>
        <w:rPr>
          <w:sz w:val="20"/>
          <w:szCs w:val="20"/>
          <w:color w:val="auto"/>
        </w:rPr>
        <w:tab/>
      </w:r>
      <w:r>
        <w:rPr>
          <w:rFonts w:ascii="Arial" w:cs="Arial" w:eastAsia="Arial" w:hAnsi="Arial"/>
          <w:sz w:val="22"/>
          <w:szCs w:val="22"/>
          <w:u w:val="single" w:color="auto"/>
          <w:color w:val="auto"/>
        </w:rPr>
        <w:t>Trademark</w:t>
      </w:r>
      <w:r>
        <w:rPr>
          <w:sz w:val="20"/>
          <w:szCs w:val="20"/>
          <w:color w:val="auto"/>
        </w:rPr>
        <w:tab/>
      </w:r>
      <w:r>
        <w:rPr>
          <w:rFonts w:ascii="Arial" w:cs="Arial" w:eastAsia="Arial" w:hAnsi="Arial"/>
          <w:sz w:val="22"/>
          <w:szCs w:val="22"/>
          <w:u w:val="single" w:color="auto"/>
          <w:color w:val="auto"/>
        </w:rPr>
        <w:t>Licensor</w:t>
      </w:r>
      <w:r>
        <w:rPr>
          <w:sz w:val="20"/>
          <w:szCs w:val="20"/>
          <w:color w:val="auto"/>
        </w:rPr>
        <w:tab/>
      </w:r>
      <w:r>
        <w:rPr>
          <w:rFonts w:ascii="Arial" w:cs="Arial" w:eastAsia="Arial" w:hAnsi="Arial"/>
          <w:sz w:val="22"/>
          <w:szCs w:val="22"/>
          <w:u w:val="single" w:color="auto"/>
          <w:color w:val="auto"/>
        </w:rPr>
        <w:t>Licensee</w:t>
      </w:r>
      <w:r>
        <w:rPr>
          <w:sz w:val="20"/>
          <w:szCs w:val="20"/>
          <w:color w:val="auto"/>
        </w:rPr>
        <w:tab/>
      </w:r>
      <w:r>
        <w:rPr>
          <w:rFonts w:ascii="Arial" w:cs="Arial" w:eastAsia="Arial" w:hAnsi="Arial"/>
          <w:sz w:val="22"/>
          <w:szCs w:val="22"/>
          <w:u w:val="single" w:color="auto"/>
          <w:color w:val="auto"/>
        </w:rPr>
        <w:t>Effective Date</w:t>
      </w:r>
      <w:r>
        <w:rPr>
          <w:sz w:val="20"/>
          <w:szCs w:val="20"/>
          <w:color w:val="auto"/>
        </w:rPr>
        <w:tab/>
      </w:r>
      <w:r>
        <w:rPr>
          <w:rFonts w:ascii="Arial" w:cs="Arial" w:eastAsia="Arial" w:hAnsi="Arial"/>
          <w:sz w:val="19"/>
          <w:szCs w:val="19"/>
          <w:u w:val="single" w:color="auto"/>
          <w:color w:val="auto"/>
        </w:rPr>
        <w:t>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200"/>
        <w:spacing w:after="0"/>
        <w:rPr>
          <w:sz w:val="20"/>
          <w:szCs w:val="20"/>
          <w:color w:val="auto"/>
        </w:rPr>
      </w:pPr>
      <w:r>
        <w:rPr>
          <w:rFonts w:ascii="Arial" w:cs="Arial" w:eastAsia="Arial" w:hAnsi="Arial"/>
          <w:sz w:val="22"/>
          <w:szCs w:val="22"/>
          <w:u w:val="single" w:color="auto"/>
          <w:color w:val="auto"/>
        </w:rPr>
        <w:t>Pending Trademark Applications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
        <w:spacing w:after="0"/>
        <w:tabs>
          <w:tab w:leader="none" w:pos="1400" w:val="left"/>
          <w:tab w:leader="none" w:pos="3340" w:val="left"/>
          <w:tab w:leader="none" w:pos="5060" w:val="left"/>
          <w:tab w:leader="none" w:pos="6800" w:val="left"/>
          <w:tab w:leader="none" w:pos="8940" w:val="left"/>
        </w:tabs>
        <w:rPr>
          <w:sz w:val="20"/>
          <w:szCs w:val="20"/>
          <w:color w:val="auto"/>
        </w:rPr>
      </w:pPr>
      <w:r>
        <w:rPr>
          <w:rFonts w:ascii="Arial" w:cs="Arial" w:eastAsia="Arial" w:hAnsi="Arial"/>
          <w:sz w:val="22"/>
          <w:szCs w:val="22"/>
          <w:u w:val="single" w:color="auto"/>
          <w:color w:val="auto"/>
        </w:rPr>
        <w:t>Country</w:t>
      </w:r>
      <w:r>
        <w:rPr>
          <w:sz w:val="20"/>
          <w:szCs w:val="20"/>
          <w:color w:val="auto"/>
        </w:rPr>
        <w:tab/>
      </w:r>
      <w:r>
        <w:rPr>
          <w:rFonts w:ascii="Arial" w:cs="Arial" w:eastAsia="Arial" w:hAnsi="Arial"/>
          <w:sz w:val="22"/>
          <w:szCs w:val="22"/>
          <w:u w:val="single" w:color="auto"/>
          <w:color w:val="auto"/>
        </w:rPr>
        <w:t>Trademark</w:t>
      </w:r>
      <w:r>
        <w:rPr>
          <w:sz w:val="20"/>
          <w:szCs w:val="20"/>
          <w:color w:val="auto"/>
        </w:rPr>
        <w:tab/>
      </w:r>
      <w:r>
        <w:rPr>
          <w:rFonts w:ascii="Arial" w:cs="Arial" w:eastAsia="Arial" w:hAnsi="Arial"/>
          <w:sz w:val="22"/>
          <w:szCs w:val="22"/>
          <w:u w:val="single" w:color="auto"/>
          <w:color w:val="auto"/>
        </w:rPr>
        <w:t>Licensor</w:t>
      </w:r>
      <w:r>
        <w:rPr>
          <w:sz w:val="20"/>
          <w:szCs w:val="20"/>
          <w:color w:val="auto"/>
        </w:rPr>
        <w:tab/>
      </w:r>
      <w:r>
        <w:rPr>
          <w:rFonts w:ascii="Arial" w:cs="Arial" w:eastAsia="Arial" w:hAnsi="Arial"/>
          <w:sz w:val="22"/>
          <w:szCs w:val="22"/>
          <w:u w:val="single" w:color="auto"/>
          <w:color w:val="auto"/>
        </w:rPr>
        <w:t>Licensee</w:t>
      </w:r>
      <w:r>
        <w:rPr>
          <w:sz w:val="20"/>
          <w:szCs w:val="20"/>
          <w:color w:val="auto"/>
        </w:rPr>
        <w:tab/>
      </w:r>
      <w:r>
        <w:rPr>
          <w:rFonts w:ascii="Arial" w:cs="Arial" w:eastAsia="Arial" w:hAnsi="Arial"/>
          <w:sz w:val="22"/>
          <w:szCs w:val="22"/>
          <w:u w:val="single" w:color="auto"/>
          <w:color w:val="auto"/>
        </w:rPr>
        <w:t>Effective Date</w:t>
      </w:r>
      <w:r>
        <w:rPr>
          <w:sz w:val="20"/>
          <w:szCs w:val="20"/>
          <w:color w:val="auto"/>
        </w:rPr>
        <w:tab/>
      </w:r>
      <w:r>
        <w:rPr>
          <w:rFonts w:ascii="Arial" w:cs="Arial" w:eastAsia="Arial" w:hAnsi="Arial"/>
          <w:sz w:val="19"/>
          <w:szCs w:val="19"/>
          <w:u w:val="single" w:color="auto"/>
          <w:color w:val="auto"/>
        </w:rPr>
        <w:t>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B. </w:t>
      </w:r>
      <w:r>
        <w:rPr>
          <w:rFonts w:ascii="Arial" w:cs="Arial" w:eastAsia="Arial" w:hAnsi="Arial"/>
          <w:sz w:val="22"/>
          <w:szCs w:val="22"/>
          <w:u w:val="single" w:color="auto"/>
          <w:color w:val="auto"/>
        </w:rPr>
        <w:t>Trademark Licenses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
        <w:spacing w:after="0"/>
        <w:tabs>
          <w:tab w:leader="none" w:pos="1400" w:val="left"/>
          <w:tab w:leader="none" w:pos="3340" w:val="left"/>
          <w:tab w:leader="none" w:pos="5060" w:val="left"/>
          <w:tab w:leader="none" w:pos="6800" w:val="left"/>
          <w:tab w:leader="none" w:pos="8960" w:val="left"/>
        </w:tabs>
        <w:rPr>
          <w:sz w:val="20"/>
          <w:szCs w:val="20"/>
          <w:color w:val="auto"/>
        </w:rPr>
      </w:pPr>
      <w:r>
        <w:rPr>
          <w:rFonts w:ascii="Arial" w:cs="Arial" w:eastAsia="Arial" w:hAnsi="Arial"/>
          <w:sz w:val="22"/>
          <w:szCs w:val="22"/>
          <w:u w:val="single" w:color="auto"/>
          <w:color w:val="auto"/>
        </w:rPr>
        <w:t>Country</w:t>
      </w:r>
      <w:r>
        <w:rPr>
          <w:sz w:val="20"/>
          <w:szCs w:val="20"/>
          <w:color w:val="auto"/>
        </w:rPr>
        <w:tab/>
      </w:r>
      <w:r>
        <w:rPr>
          <w:rFonts w:ascii="Arial" w:cs="Arial" w:eastAsia="Arial" w:hAnsi="Arial"/>
          <w:sz w:val="22"/>
          <w:szCs w:val="22"/>
          <w:u w:val="single" w:color="auto"/>
          <w:color w:val="auto"/>
        </w:rPr>
        <w:t>Trademark</w:t>
      </w:r>
      <w:r>
        <w:rPr>
          <w:sz w:val="20"/>
          <w:szCs w:val="20"/>
          <w:color w:val="auto"/>
        </w:rPr>
        <w:tab/>
      </w:r>
      <w:r>
        <w:rPr>
          <w:rFonts w:ascii="Arial" w:cs="Arial" w:eastAsia="Arial" w:hAnsi="Arial"/>
          <w:sz w:val="22"/>
          <w:szCs w:val="22"/>
          <w:u w:val="single" w:color="auto"/>
          <w:color w:val="auto"/>
        </w:rPr>
        <w:t>Licensor</w:t>
      </w:r>
      <w:r>
        <w:rPr>
          <w:sz w:val="20"/>
          <w:szCs w:val="20"/>
          <w:color w:val="auto"/>
        </w:rPr>
        <w:tab/>
      </w:r>
      <w:r>
        <w:rPr>
          <w:rFonts w:ascii="Arial" w:cs="Arial" w:eastAsia="Arial" w:hAnsi="Arial"/>
          <w:sz w:val="22"/>
          <w:szCs w:val="22"/>
          <w:u w:val="single" w:color="auto"/>
          <w:color w:val="auto"/>
        </w:rPr>
        <w:t>Licensee</w:t>
      </w:r>
      <w:r>
        <w:rPr>
          <w:sz w:val="20"/>
          <w:szCs w:val="20"/>
          <w:color w:val="auto"/>
        </w:rPr>
        <w:tab/>
      </w:r>
      <w:r>
        <w:rPr>
          <w:rFonts w:ascii="Arial" w:cs="Arial" w:eastAsia="Arial" w:hAnsi="Arial"/>
          <w:sz w:val="22"/>
          <w:szCs w:val="22"/>
          <w:u w:val="single" w:color="auto"/>
          <w:color w:val="auto"/>
        </w:rPr>
        <w:t>Effective Date</w:t>
      </w:r>
      <w:r>
        <w:rPr>
          <w:sz w:val="20"/>
          <w:szCs w:val="20"/>
          <w:color w:val="auto"/>
        </w:rPr>
        <w:tab/>
      </w:r>
      <w:r>
        <w:rPr>
          <w:rFonts w:ascii="Arial" w:cs="Arial" w:eastAsia="Arial" w:hAnsi="Arial"/>
          <w:sz w:val="19"/>
          <w:szCs w:val="19"/>
          <w:u w:val="single" w:color="auto"/>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1177290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334" w:right="1239" w:bottom="1440" w:gutter="0" w:footer="0" w:header="0"/>
        </w:sectPr>
      </w:pPr>
    </w:p>
    <w:bookmarkStart w:id="174" w:name="page175"/>
    <w:bookmarkEnd w:id="174"/>
    <w:p>
      <w:pPr>
        <w:jc w:val="center"/>
        <w:ind w:right="19"/>
        <w:spacing w:after="0"/>
        <w:rPr>
          <w:sz w:val="20"/>
          <w:szCs w:val="20"/>
          <w:color w:val="auto"/>
        </w:rPr>
      </w:pPr>
      <w:r>
        <w:rPr>
          <w:rFonts w:ascii="Arial" w:cs="Arial" w:eastAsia="Arial" w:hAnsi="Arial"/>
          <w:sz w:val="22"/>
          <w:szCs w:val="22"/>
          <w:color w:val="auto"/>
        </w:rPr>
        <w:t>EXHIBIT 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to Security Agreement</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311785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175" w:name="page176"/>
    <w:bookmarkEnd w:id="175"/>
    <w:p>
      <w:pPr>
        <w:jc w:val="center"/>
        <w:spacing w:after="0"/>
        <w:rPr>
          <w:sz w:val="20"/>
          <w:szCs w:val="20"/>
          <w:color w:val="auto"/>
        </w:rPr>
      </w:pPr>
      <w:r>
        <w:rPr>
          <w:rFonts w:ascii="Arial" w:cs="Arial" w:eastAsia="Arial" w:hAnsi="Arial"/>
          <w:sz w:val="22"/>
          <w:szCs w:val="22"/>
          <w:u w:val="single" w:color="auto"/>
          <w:color w:val="auto"/>
        </w:rPr>
        <w:t>COPYRIGHT SECURITY AGREEMENT</w:t>
      </w:r>
    </w:p>
    <w:p>
      <w:pPr>
        <w:spacing w:after="0" w:line="206" w:lineRule="exact"/>
        <w:rPr>
          <w:sz w:val="20"/>
          <w:szCs w:val="20"/>
          <w:color w:val="auto"/>
        </w:rPr>
      </w:pPr>
    </w:p>
    <w:p>
      <w:pPr>
        <w:jc w:val="both"/>
        <w:ind w:right="20" w:firstLine="749"/>
        <w:spacing w:after="0" w:line="238" w:lineRule="auto"/>
        <w:rPr>
          <w:sz w:val="20"/>
          <w:szCs w:val="20"/>
          <w:color w:val="auto"/>
        </w:rPr>
      </w:pPr>
      <w:r>
        <w:rPr>
          <w:rFonts w:ascii="Arial" w:cs="Arial" w:eastAsia="Arial" w:hAnsi="Arial"/>
          <w:sz w:val="22"/>
          <w:szCs w:val="22"/>
          <w:color w:val="auto"/>
        </w:rPr>
        <w:t>This COPYRIGHT SECURITY AGREEMENT, dated as of [DATE]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by [GRANTOR], a [●], [and [GRANTOR], a [●],] (each a “</w:t>
      </w:r>
      <w:r>
        <w:rPr>
          <w:rFonts w:ascii="Arial" w:cs="Arial" w:eastAsia="Arial" w:hAnsi="Arial"/>
          <w:sz w:val="22"/>
          <w:szCs w:val="22"/>
          <w:u w:val="single" w:color="auto"/>
          <w:color w:val="auto"/>
        </w:rPr>
        <w:t>Grantor</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Grantors</w:t>
      </w:r>
      <w:r>
        <w:rPr>
          <w:rFonts w:ascii="Arial" w:cs="Arial" w:eastAsia="Arial" w:hAnsi="Arial"/>
          <w:sz w:val="22"/>
          <w:szCs w:val="22"/>
          <w:color w:val="auto"/>
        </w:rPr>
        <w:t xml:space="preserve"> ”), in favor of ORCO IV, LLC, a Delaware limited liability company (together with its Affiliates, successors, transferees and assignees,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as Administrative Agent for the Secured Parties.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 xml:space="preserve"> :</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WHEREAS, pursuant to the Credit Agreement, dated as of October 18, 2023 (as amended,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by and among AVITA MEDICAL,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the Lenders party thereto and the Administrative Agent, the Lenders have extended Commitments to make Loans to the Borrower;</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WHEREAS, in connection with the Credit Agreement, the Grantor and its Affiliates have executed and delivered a Pledge and Security Agreement in favor of the Administrative Agent, for the benefit of the Secured Parties, dated as of October 18, 2023 (as amended, supplemented or otherwise modified from time to time, the “</w:t>
      </w:r>
      <w:r>
        <w:rPr>
          <w:rFonts w:ascii="Arial" w:cs="Arial" w:eastAsia="Arial" w:hAnsi="Arial"/>
          <w:sz w:val="21"/>
          <w:szCs w:val="21"/>
          <w:u w:val="single" w:color="auto"/>
          <w:color w:val="auto"/>
        </w:rPr>
        <w:t>Security Agreement</w:t>
      </w:r>
      <w:r>
        <w:rPr>
          <w:rFonts w:ascii="Arial" w:cs="Arial" w:eastAsia="Arial" w:hAnsi="Arial"/>
          <w:sz w:val="21"/>
          <w:szCs w:val="21"/>
          <w:color w:val="auto"/>
        </w:rPr>
        <w:t>”);</w:t>
      </w:r>
    </w:p>
    <w:p>
      <w:pPr>
        <w:spacing w:after="0" w:line="169"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WHEREAS, pursuant to the Credit Agreement and pursuant to clause (e) of Section 4.5 of the Security Agreement, the Grantor is required to execute and deliver this Agreement and to grant to the Administrative Agent, for the benefit of the Secured Parties, a continuing security interest in all of the Copyright Collateral to secure all of the Obligations; and</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WHEREAS, the Grantor has duly authorized the execution, delivery and performance of this Agreement;</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Grantor agrees, for the benefit of the Secured Parties, as follows:</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Definitions</w:t>
      </w:r>
      <w:r>
        <w:rPr>
          <w:rFonts w:ascii="Arial" w:cs="Arial" w:eastAsia="Arial" w:hAnsi="Arial"/>
          <w:sz w:val="22"/>
          <w:szCs w:val="22"/>
          <w:color w:val="auto"/>
        </w:rPr>
        <w:t>. Unless otherwise defined herein or the context otherwise requires, terms used in this Agreement, including its preamble and recitals, have the meanings provided (or incorporated by reference) in the Security Agreement.</w:t>
      </w:r>
    </w:p>
    <w:p>
      <w:pPr>
        <w:spacing w:after="0" w:line="18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The Grantor hereby grants to the Administrative Agent, for the benefit of the Secured Parties, a continuing security interest in all of the Grantor’s right, title and interest in and to the “</w:t>
      </w:r>
      <w:r>
        <w:rPr>
          <w:rFonts w:ascii="Arial" w:cs="Arial" w:eastAsia="Arial" w:hAnsi="Arial"/>
          <w:sz w:val="19"/>
          <w:szCs w:val="19"/>
          <w:u w:val="single" w:color="auto"/>
          <w:color w:val="auto"/>
        </w:rPr>
        <w:t>Copyright Collateral</w:t>
      </w:r>
      <w:r>
        <w:rPr>
          <w:rFonts w:ascii="Arial" w:cs="Arial" w:eastAsia="Arial" w:hAnsi="Arial"/>
          <w:sz w:val="19"/>
          <w:szCs w:val="19"/>
          <w:color w:val="auto"/>
        </w:rPr>
        <w:t xml:space="preserve">”), including the copyrights referred to in </w:t>
      </w:r>
      <w:r>
        <w:rPr>
          <w:rFonts w:ascii="Arial" w:cs="Arial" w:eastAsia="Arial" w:hAnsi="Arial"/>
          <w:sz w:val="19"/>
          <w:szCs w:val="19"/>
          <w:u w:val="single" w:color="auto"/>
          <w:color w:val="auto"/>
        </w:rPr>
        <w:t>Item A</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and the copyright licenses referred to in Item B of Schedules I hereto. Notwithstanding anything to the contrary, the Copyright Collateral does not include Excluded Property.</w:t>
      </w:r>
    </w:p>
    <w:p>
      <w:pPr>
        <w:spacing w:after="0" w:line="143"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Security Agreement</w:t>
      </w:r>
      <w:r>
        <w:rPr>
          <w:rFonts w:ascii="Arial" w:cs="Arial" w:eastAsia="Arial" w:hAnsi="Arial"/>
          <w:sz w:val="19"/>
          <w:szCs w:val="19"/>
          <w:color w:val="auto"/>
        </w:rPr>
        <w:t>. This Agreement has been executed and delivered by the Grantor for the purpose of registering the security interest of the Administrative Agent in the Copyright Collateral with the United States Copyright Office. The security interest granted hereby has been granted in furtherance of, and not in limitation of, the security interest granted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403225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6" w:name="page177"/>
    <w:bookmarkEnd w:id="176"/>
    <w:p>
      <w:pPr>
        <w:jc w:val="both"/>
        <w:spacing w:after="0" w:line="250" w:lineRule="auto"/>
        <w:rPr>
          <w:sz w:val="20"/>
          <w:szCs w:val="20"/>
          <w:color w:val="auto"/>
        </w:rPr>
      </w:pPr>
      <w:r>
        <w:rPr>
          <w:rFonts w:ascii="Arial" w:cs="Arial" w:eastAsia="Arial" w:hAnsi="Arial"/>
          <w:sz w:val="22"/>
          <w:szCs w:val="22"/>
          <w:color w:val="auto"/>
        </w:rPr>
        <w:t>the Administrative Agent for its benefit under the Security Agreement. The Security Agreement (and all rights and remedies of the Administrative Agent thereunder) shall remain in full force and effect in accordance with its terms.</w:t>
      </w:r>
    </w:p>
    <w:p>
      <w:pPr>
        <w:spacing w:after="0" w:line="17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 xml:space="preserve">SECTION 14. </w:t>
      </w:r>
      <w:r>
        <w:rPr>
          <w:rFonts w:ascii="Arial" w:cs="Arial" w:eastAsia="Arial" w:hAnsi="Arial"/>
          <w:sz w:val="21"/>
          <w:szCs w:val="21"/>
          <w:u w:val="single" w:color="auto"/>
          <w:color w:val="auto"/>
        </w:rPr>
        <w:t>Release of Liens</w:t>
      </w:r>
      <w:r>
        <w:rPr>
          <w:rFonts w:ascii="Arial" w:cs="Arial" w:eastAsia="Arial" w:hAnsi="Arial"/>
          <w:sz w:val="21"/>
          <w:szCs w:val="21"/>
          <w:color w:val="auto"/>
        </w:rPr>
        <w:t xml:space="preserve">. Upon (a) the sale of Copyright Collateral to Persons who are not the Borrower or any Subsidiary thereof in accordance with the Credit Agreement or (b) the occurrence of the Termination Date, the security interests granted herein shall automatically terminate with respect to (i) such Copyright Collateral (in the case of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or (ii) all Copyright Collateral (in the case of </w:t>
      </w:r>
      <w:r>
        <w:rPr>
          <w:rFonts w:ascii="Arial" w:cs="Arial" w:eastAsia="Arial" w:hAnsi="Arial"/>
          <w:sz w:val="21"/>
          <w:szCs w:val="21"/>
          <w:u w:val="single" w:color="auto"/>
          <w:color w:val="auto"/>
        </w:rPr>
        <w:t>clause (b)</w:t>
      </w:r>
      <w:r>
        <w:rPr>
          <w:rFonts w:ascii="Arial" w:cs="Arial" w:eastAsia="Arial" w:hAnsi="Arial"/>
          <w:sz w:val="21"/>
          <w:szCs w:val="21"/>
          <w:color w:val="auto"/>
        </w:rPr>
        <w:t>). Upon any such sale or termination, the Administrative Agent will, at the Grantor’s sole expense, deliver to the Grantor, without any representations, warranties or recourse of any kind whatsoever, all such Copyright Collateral held by the Administrative Agent hereunder, and execute and deliver to the Grantor such documents as the Grantor shall reasonably request to evidence such termination.</w:t>
      </w:r>
    </w:p>
    <w:p>
      <w:pPr>
        <w:spacing w:after="0" w:line="184"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Acknowledgment</w:t>
      </w:r>
      <w:r>
        <w:rPr>
          <w:rFonts w:ascii="Arial" w:cs="Arial" w:eastAsia="Arial" w:hAnsi="Arial"/>
          <w:sz w:val="22"/>
          <w:szCs w:val="22"/>
          <w:color w:val="auto"/>
        </w:rPr>
        <w:t>. The Grantor does hereby further acknowledge and affirm that the rights and remedies of the Administrative Agent with respect to the security interest in the Copyright Collateral granted hereby are more fully set forth in the Security Agreement, the terms and provisions of which (including the remedies provided for therein) are incorporated by reference herein as if fully set forth herein.</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Loan Document</w:t>
      </w:r>
      <w:r>
        <w:rPr>
          <w:rFonts w:ascii="Arial" w:cs="Arial" w:eastAsia="Arial" w:hAnsi="Arial"/>
          <w:sz w:val="22"/>
          <w:szCs w:val="22"/>
          <w:color w:val="auto"/>
        </w:rPr>
        <w:t>. This Agreement is a Loan Document executed pursuant to the Credit Agreement and shall (unless otherwise expressly indicated herein) be construed, administered and applied in accordance with the terms and provisions thereof, including Article X thereof.</w:t>
      </w:r>
    </w:p>
    <w:p>
      <w:pPr>
        <w:spacing w:after="0" w:line="186"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 xml:space="preserve">SECTION 17. </w:t>
      </w:r>
      <w:r>
        <w:rPr>
          <w:rFonts w:ascii="Arial" w:cs="Arial" w:eastAsia="Arial" w:hAnsi="Arial"/>
          <w:sz w:val="19"/>
          <w:szCs w:val="19"/>
          <w:u w:val="single" w:color="auto"/>
          <w:color w:val="auto"/>
        </w:rPr>
        <w:t>Effectiveness</w:t>
      </w:r>
      <w:r>
        <w:rPr>
          <w:rFonts w:ascii="Arial" w:cs="Arial" w:eastAsia="Arial" w:hAnsi="Arial"/>
          <w:sz w:val="19"/>
          <w:szCs w:val="19"/>
          <w:color w:val="auto"/>
        </w:rPr>
        <w:t>. This Agreement shall become effective when a counterpart hereof executed by the Grantor shall have been received by the Administrative Agent. Delivery of an executed counterpart of a signature page to this Agreement by email (e.g., “pdf,” or “tiff”) or telecopy shall be effective as delivery of a manually executed counterpart of this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7" w:name="page178"/>
    <w:bookmarkEnd w:id="177"/>
    <w:p>
      <w:pPr>
        <w:ind w:firstLine="749"/>
        <w:spacing w:after="0" w:line="250" w:lineRule="auto"/>
        <w:rPr>
          <w:sz w:val="20"/>
          <w:szCs w:val="20"/>
          <w:color w:val="auto"/>
        </w:rPr>
      </w:pPr>
      <w:r>
        <w:rPr>
          <w:rFonts w:ascii="Arial" w:cs="Arial" w:eastAsia="Arial" w:hAnsi="Arial"/>
          <w:sz w:val="22"/>
          <w:szCs w:val="22"/>
          <w:color w:val="auto"/>
        </w:rPr>
        <w:t>IN WITNESS WHEREOF, the Grantor hereto has caused this Agreement to be duly executed and delivered by its Authorized Officer as of the date first above written.</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[NAME OF GRANTOR]</w:t>
      </w:r>
    </w:p>
    <w:p>
      <w:pPr>
        <w:spacing w:after="0" w:line="200"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By:</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-157480</wp:posOffset>
            </wp:positionV>
            <wp:extent cx="35572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ind w:left="3740"/>
        <w:spacing w:after="0"/>
        <w:rPr>
          <w:sz w:val="20"/>
          <w:szCs w:val="20"/>
          <w:color w:val="auto"/>
        </w:rPr>
      </w:pPr>
      <w:r>
        <w:rPr>
          <w:rFonts w:ascii="Arial" w:cs="Arial" w:eastAsia="Arial" w:hAnsi="Arial"/>
          <w:sz w:val="22"/>
          <w:szCs w:val="22"/>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Copyright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8" w:name="page179"/>
    <w:bookmarkEnd w:id="178"/>
    <w:p>
      <w:pPr>
        <w:jc w:val="center"/>
        <w:ind w:right="-1100"/>
        <w:spacing w:after="0"/>
        <w:rPr>
          <w:sz w:val="20"/>
          <w:szCs w:val="20"/>
          <w:color w:val="auto"/>
        </w:rPr>
      </w:pPr>
      <w:r>
        <w:rPr>
          <w:rFonts w:ascii="Arial" w:cs="Arial" w:eastAsia="Arial" w:hAnsi="Arial"/>
          <w:sz w:val="22"/>
          <w:szCs w:val="22"/>
          <w:color w:val="auto"/>
        </w:rPr>
        <w:t>SCHEDULE I</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to Copyright Security Agreement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A. </w:t>
      </w:r>
      <w:r>
        <w:rPr>
          <w:rFonts w:ascii="Arial" w:cs="Arial" w:eastAsia="Arial" w:hAnsi="Arial"/>
          <w:sz w:val="22"/>
          <w:szCs w:val="22"/>
          <w:u w:val="single" w:color="auto"/>
          <w:color w:val="auto"/>
        </w:rPr>
        <w:t>Copyrights/Mask Works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80"/>
        <w:spacing w:after="0"/>
        <w:rPr>
          <w:sz w:val="20"/>
          <w:szCs w:val="20"/>
          <w:color w:val="auto"/>
        </w:rPr>
      </w:pPr>
      <w:r>
        <w:rPr>
          <w:rFonts w:ascii="Arial" w:cs="Arial" w:eastAsia="Arial" w:hAnsi="Arial"/>
          <w:sz w:val="22"/>
          <w:szCs w:val="22"/>
          <w:u w:val="single" w:color="auto"/>
          <w:color w:val="auto"/>
        </w:rPr>
        <w:t>Registered Copyrights/Mask Works</w:t>
      </w:r>
    </w:p>
    <w:p>
      <w:pPr>
        <w:spacing w:after="0" w:line="206" w:lineRule="exact"/>
        <w:rPr>
          <w:sz w:val="20"/>
          <w:szCs w:val="20"/>
          <w:color w:val="auto"/>
        </w:rPr>
      </w:pPr>
    </w:p>
    <w:p>
      <w:pPr>
        <w:spacing w:after="0"/>
        <w:tabs>
          <w:tab w:leader="none" w:pos="2580" w:val="left"/>
          <w:tab w:leader="none" w:pos="4300" w:val="left"/>
          <w:tab w:leader="none" w:pos="5600" w:val="left"/>
        </w:tabs>
        <w:rPr>
          <w:sz w:val="20"/>
          <w:szCs w:val="20"/>
          <w:color w:val="auto"/>
        </w:rPr>
      </w:pPr>
      <w:r>
        <w:rPr>
          <w:rFonts w:ascii="Arial" w:cs="Arial" w:eastAsia="Arial" w:hAnsi="Arial"/>
          <w:sz w:val="22"/>
          <w:szCs w:val="22"/>
          <w:u w:val="single" w:color="auto"/>
          <w:color w:val="auto"/>
        </w:rPr>
        <w:t>Country  Registration No.</w:t>
        <w:tab/>
        <w:t>Registration Date</w:t>
        <w:tab/>
        <w:t>Author(s)</w:t>
      </w:r>
      <w:r>
        <w:rPr>
          <w:sz w:val="20"/>
          <w:szCs w:val="20"/>
          <w:color w:val="auto"/>
        </w:rPr>
        <w:tab/>
      </w:r>
      <w:r>
        <w:rPr>
          <w:rFonts w:ascii="Arial" w:cs="Arial" w:eastAsia="Arial" w:hAnsi="Arial"/>
          <w:sz w:val="21"/>
          <w:szCs w:val="21"/>
          <w:u w:val="single" w:color="auto"/>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96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w w:val="90"/>
              </w:rPr>
              <w:t>Copyright/Mask Work Pending Registration Applications</w:t>
            </w:r>
          </w:p>
        </w:tc>
      </w:tr>
      <w:tr>
        <w:trPr>
          <w:trHeight w:val="439"/>
        </w:trPr>
        <w:tc>
          <w:tcPr>
            <w:tcW w:w="1740" w:type="dxa"/>
            <w:vAlign w:val="bottom"/>
            <w:gridSpan w:val="3"/>
          </w:tcPr>
          <w:p>
            <w:pPr>
              <w:spacing w:after="0"/>
              <w:rPr>
                <w:sz w:val="20"/>
                <w:szCs w:val="20"/>
                <w:color w:val="auto"/>
              </w:rPr>
            </w:pPr>
            <w:r>
              <w:rPr>
                <w:rFonts w:ascii="Arial" w:cs="Arial" w:eastAsia="Arial" w:hAnsi="Arial"/>
                <w:sz w:val="22"/>
                <w:szCs w:val="22"/>
                <w:color w:val="auto"/>
                <w:w w:val="92"/>
              </w:rPr>
              <w:t>Country  Serial No.</w:t>
            </w:r>
          </w:p>
        </w:tc>
        <w:tc>
          <w:tcPr>
            <w:tcW w:w="42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22"/>
                <w:szCs w:val="22"/>
                <w:color w:val="auto"/>
              </w:rPr>
              <w:t>Filing Date</w:t>
            </w:r>
          </w:p>
        </w:tc>
        <w:tc>
          <w:tcPr>
            <w:tcW w:w="1720" w:type="dxa"/>
            <w:vAlign w:val="bottom"/>
            <w:gridSpan w:val="2"/>
          </w:tcPr>
          <w:p>
            <w:pPr>
              <w:spacing w:after="0"/>
              <w:rPr>
                <w:sz w:val="20"/>
                <w:szCs w:val="20"/>
                <w:color w:val="auto"/>
              </w:rPr>
            </w:pPr>
            <w:r>
              <w:rPr>
                <w:rFonts w:ascii="Arial" w:cs="Arial" w:eastAsia="Arial" w:hAnsi="Arial"/>
                <w:sz w:val="22"/>
                <w:szCs w:val="22"/>
                <w:color w:val="auto"/>
              </w:rPr>
              <w:t>Author(s)</w:t>
            </w:r>
          </w:p>
        </w:tc>
        <w:tc>
          <w:tcPr>
            <w:tcW w:w="2500" w:type="dxa"/>
            <w:vAlign w:val="bottom"/>
            <w:gridSpan w:val="2"/>
          </w:tcPr>
          <w:p>
            <w:pPr>
              <w:spacing w:after="0"/>
              <w:rPr>
                <w:sz w:val="20"/>
                <w:szCs w:val="20"/>
                <w:color w:val="auto"/>
              </w:rPr>
            </w:pPr>
            <w:r>
              <w:rPr>
                <w:rFonts w:ascii="Arial" w:cs="Arial" w:eastAsia="Arial" w:hAnsi="Arial"/>
                <w:sz w:val="22"/>
                <w:szCs w:val="22"/>
                <w:color w:val="auto"/>
              </w:rPr>
              <w:t>Title</w:t>
            </w:r>
          </w:p>
        </w:tc>
      </w:tr>
      <w:tr>
        <w:trPr>
          <w:trHeight w:val="20"/>
        </w:trPr>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B. </w:t>
      </w:r>
      <w:r>
        <w:rPr>
          <w:rFonts w:ascii="Arial" w:cs="Arial" w:eastAsia="Arial" w:hAnsi="Arial"/>
          <w:sz w:val="22"/>
          <w:szCs w:val="22"/>
          <w:u w:val="single" w:color="auto"/>
          <w:color w:val="auto"/>
        </w:rPr>
        <w:t>Copyright/Mask Work Licenses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4300" w:val="left"/>
        </w:tabs>
        <w:rPr>
          <w:sz w:val="20"/>
          <w:szCs w:val="20"/>
          <w:color w:val="auto"/>
        </w:rPr>
      </w:pPr>
      <w:r>
        <w:rPr>
          <w:rFonts w:ascii="Arial" w:cs="Arial" w:eastAsia="Arial" w:hAnsi="Arial"/>
          <w:sz w:val="22"/>
          <w:szCs w:val="22"/>
          <w:u w:val="single" w:color="auto"/>
          <w:color w:val="auto"/>
        </w:rPr>
        <w:t>Country  Licensor Licensee Effective Date</w:t>
      </w:r>
      <w:r>
        <w:rPr>
          <w:sz w:val="20"/>
          <w:szCs w:val="20"/>
          <w:color w:val="auto"/>
        </w:rPr>
        <w:tab/>
      </w:r>
      <w:r>
        <w:rPr>
          <w:rFonts w:ascii="Arial" w:cs="Arial" w:eastAsia="Arial" w:hAnsi="Arial"/>
          <w:sz w:val="19"/>
          <w:szCs w:val="19"/>
          <w:u w:val="single" w:color="auto"/>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179" w:name="page180"/>
    <w:bookmarkEnd w:id="179"/>
    <w:p>
      <w:pPr>
        <w:jc w:val="center"/>
        <w:ind w:right="19"/>
        <w:spacing w:after="0"/>
        <w:rPr>
          <w:sz w:val="20"/>
          <w:szCs w:val="20"/>
          <w:color w:val="auto"/>
        </w:rPr>
      </w:pPr>
      <w:r>
        <w:rPr>
          <w:rFonts w:ascii="Arial" w:cs="Arial" w:eastAsia="Arial" w:hAnsi="Arial"/>
          <w:sz w:val="22"/>
          <w:szCs w:val="22"/>
          <w:color w:val="auto"/>
        </w:rPr>
        <w:t>ANNEX 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to Security Agreement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586105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180" w:name="page181"/>
    <w:bookmarkEnd w:id="180"/>
    <w:p>
      <w:pPr>
        <w:jc w:val="center"/>
        <w:spacing w:after="0"/>
        <w:rPr>
          <w:sz w:val="20"/>
          <w:szCs w:val="20"/>
          <w:color w:val="auto"/>
        </w:rPr>
      </w:pPr>
      <w:r>
        <w:rPr>
          <w:rFonts w:ascii="Arial" w:cs="Arial" w:eastAsia="Arial" w:hAnsi="Arial"/>
          <w:sz w:val="22"/>
          <w:szCs w:val="22"/>
          <w:color w:val="auto"/>
        </w:rPr>
        <w:t>SUPPLEMENT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PLEDGE AND SECURITY AGREEMENT</w:t>
      </w:r>
    </w:p>
    <w:p>
      <w:pPr>
        <w:spacing w:after="0" w:line="200" w:lineRule="exact"/>
        <w:rPr>
          <w:sz w:val="20"/>
          <w:szCs w:val="20"/>
          <w:color w:val="auto"/>
        </w:rPr>
      </w:pPr>
    </w:p>
    <w:p>
      <w:pPr>
        <w:spacing w:after="0" w:line="20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This SUPPLEMENT, dated as of [●], 20__ (this “</w:t>
      </w:r>
      <w:r>
        <w:rPr>
          <w:rFonts w:ascii="Arial" w:cs="Arial" w:eastAsia="Arial" w:hAnsi="Arial"/>
          <w:sz w:val="21"/>
          <w:szCs w:val="21"/>
          <w:u w:val="single" w:color="auto"/>
          <w:color w:val="auto"/>
        </w:rPr>
        <w:t>Supplement</w:t>
      </w:r>
      <w:r>
        <w:rPr>
          <w:rFonts w:ascii="Arial" w:cs="Arial" w:eastAsia="Arial" w:hAnsi="Arial"/>
          <w:sz w:val="21"/>
          <w:szCs w:val="21"/>
          <w:color w:val="auto"/>
        </w:rPr>
        <w:t>”), is to the Pledge and Security Agreement, dated as of October 18, 2023 (as amended, supplemented, amended and restated or otherwise modified from time to time, the “</w:t>
      </w:r>
      <w:r>
        <w:rPr>
          <w:rFonts w:ascii="Arial" w:cs="Arial" w:eastAsia="Arial" w:hAnsi="Arial"/>
          <w:sz w:val="21"/>
          <w:szCs w:val="21"/>
          <w:u w:val="single" w:color="auto"/>
          <w:color w:val="auto"/>
        </w:rPr>
        <w:t>Security</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among the Grantors (such term, and other terms used in this Supplement, to have the meanings set forth in Article I of the Security Agreement, unless otherwise defined herein or if the context otherwise requires) from time to time party thereto, in favor of ORCO IV, LLC, a Delaware limited liability company (together with its Affiliates, successors, transferees and assignees,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as Administrative Agent for the Secured Parties.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 xml:space="preserve"> :</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WHEREAS, pursuant to the Credit Agreement, dated as of October 18, 2023 (as amended,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by and among AVITA MEDICAL,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the Lenders party thereto and the Administrative Agent, the Lenders have extended Commitments to make Loans to the Borrower</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WHEREAS, pursuant to the provisions of </w:t>
      </w:r>
      <w:r>
        <w:rPr>
          <w:rFonts w:ascii="Arial" w:cs="Arial" w:eastAsia="Arial" w:hAnsi="Arial"/>
          <w:sz w:val="22"/>
          <w:szCs w:val="22"/>
          <w:u w:val="single" w:color="auto"/>
          <w:color w:val="auto"/>
        </w:rPr>
        <w:t>Section 7.6</w:t>
      </w:r>
      <w:r>
        <w:rPr>
          <w:rFonts w:ascii="Arial" w:cs="Arial" w:eastAsia="Arial" w:hAnsi="Arial"/>
          <w:sz w:val="22"/>
          <w:szCs w:val="22"/>
          <w:color w:val="auto"/>
        </w:rPr>
        <w:t xml:space="preserve"> of the Security Agreement, each of the undersigned is becoming a Grantor under the Security Agreement; and</w:t>
      </w:r>
    </w:p>
    <w:p>
      <w:pPr>
        <w:spacing w:after="0" w:line="175"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WHEREAS, each of the undersigned desires to become a “Grantor” under the Security Agreement in order to induce the Lenders to continue to extend Loans under the Credit Agreement;</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NOW, THEREFORE, for good and valuable consideration, the receipt and sufficiency of which is hereby acknowledged, each of the undersigned agrees, for the benefit of the Secured Parties, as follows.</w:t>
      </w:r>
    </w:p>
    <w:p>
      <w:pPr>
        <w:spacing w:after="0" w:line="17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 xml:space="preserve">SECTION 18. </w:t>
      </w:r>
      <w:r>
        <w:rPr>
          <w:rFonts w:ascii="Arial" w:cs="Arial" w:eastAsia="Arial" w:hAnsi="Arial"/>
          <w:sz w:val="21"/>
          <w:szCs w:val="21"/>
          <w:u w:val="single" w:color="auto"/>
          <w:color w:val="auto"/>
        </w:rPr>
        <w:t>Party to Security Agreement, Etc</w:t>
      </w:r>
      <w:r>
        <w:rPr>
          <w:rFonts w:ascii="Arial" w:cs="Arial" w:eastAsia="Arial" w:hAnsi="Arial"/>
          <w:sz w:val="21"/>
          <w:szCs w:val="21"/>
          <w:color w:val="auto"/>
        </w:rPr>
        <w:t>. In accordance with the terms of the Security Agreement, by its signature below, each of the undersigned hereby irrevocably agrees to become a Grantor under the Security Agreement with the same force and effect as if it were an original signatory thereto and each of the undersigned hereby (a) agrees to be bound by and comply with all of the terms and provisions of the Security Agreement applicable to it as a Grantor and (b) represents and warrants that the representations and warranties made by it as a Grantor thereunder are true and correct as of the date hereof, unless stated to relate solely to an earlier date, in which case such representations and warranties shall be true and correct as of such earlier date. In furtherance of the foregoing, each reference to a “Grantor” or “Grantors” in the Security Agreement shall be deemed to include each of the undersigned.</w:t>
      </w:r>
    </w:p>
    <w:p>
      <w:pPr>
        <w:spacing w:after="0" w:line="180"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 xml:space="preserve">SECTION 19. </w:t>
      </w:r>
      <w:r>
        <w:rPr>
          <w:rFonts w:ascii="Arial" w:cs="Arial" w:eastAsia="Arial" w:hAnsi="Arial"/>
          <w:sz w:val="19"/>
          <w:szCs w:val="19"/>
          <w:u w:val="single" w:color="auto"/>
          <w:color w:val="auto"/>
        </w:rPr>
        <w:t>Schedules</w:t>
      </w:r>
      <w:r>
        <w:rPr>
          <w:rFonts w:ascii="Arial" w:cs="Arial" w:eastAsia="Arial" w:hAnsi="Arial"/>
          <w:sz w:val="19"/>
          <w:szCs w:val="19"/>
          <w:color w:val="auto"/>
        </w:rPr>
        <w:t>. Each of the undersigned hereby authorizes the Administrative Agent to add the information set forth on the Schedules to this Supplement to the correlative Schedules attached to the Security Agreement.</w:t>
      </w:r>
    </w:p>
    <w:p>
      <w:pPr>
        <w:spacing w:after="0" w:line="10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20. </w:t>
      </w:r>
      <w:r>
        <w:rPr>
          <w:rFonts w:ascii="Arial" w:cs="Arial" w:eastAsia="Arial" w:hAnsi="Arial"/>
          <w:sz w:val="22"/>
          <w:szCs w:val="22"/>
          <w:u w:val="single" w:color="auto"/>
          <w:color w:val="auto"/>
        </w:rPr>
        <w:t>Representations</w:t>
      </w:r>
      <w:r>
        <w:rPr>
          <w:rFonts w:ascii="Arial" w:cs="Arial" w:eastAsia="Arial" w:hAnsi="Arial"/>
          <w:sz w:val="22"/>
          <w:szCs w:val="22"/>
          <w:color w:val="auto"/>
        </w:rPr>
        <w:t>. Each of the undersigned hereby represents and warrants that this Supplement has been duly authorized, executed and delivered by it and that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429260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1" w:name="page182"/>
    <w:bookmarkEnd w:id="181"/>
    <w:p>
      <w:pPr>
        <w:jc w:val="both"/>
        <w:spacing w:after="0" w:line="250" w:lineRule="auto"/>
        <w:rPr>
          <w:sz w:val="20"/>
          <w:szCs w:val="20"/>
          <w:color w:val="auto"/>
        </w:rPr>
      </w:pPr>
      <w:r>
        <w:rPr>
          <w:rFonts w:ascii="Arial" w:cs="Arial" w:eastAsia="Arial" w:hAnsi="Arial"/>
          <w:sz w:val="22"/>
          <w:szCs w:val="22"/>
          <w:color w:val="auto"/>
        </w:rPr>
        <w:t>Supplement and the Security Agreement constitute its legal, valid and binding obligation, enforceable against it in accordance with its terms.</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Full Force of Security Agreement</w:t>
      </w:r>
      <w:r>
        <w:rPr>
          <w:rFonts w:ascii="Arial" w:cs="Arial" w:eastAsia="Arial" w:hAnsi="Arial"/>
          <w:sz w:val="22"/>
          <w:szCs w:val="22"/>
          <w:color w:val="auto"/>
        </w:rPr>
        <w:t>. Except as expressly supplemented hereby, the Security Agreement shall remain in full force and effect in accordance with its terms.</w:t>
      </w:r>
    </w:p>
    <w:p>
      <w:pPr>
        <w:spacing w:after="0" w:line="17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 xml:space="preserve">SECTION 22. </w:t>
      </w:r>
      <w:r>
        <w:rPr>
          <w:rFonts w:ascii="Arial" w:cs="Arial" w:eastAsia="Arial" w:hAnsi="Arial"/>
          <w:sz w:val="21"/>
          <w:szCs w:val="21"/>
          <w:u w:val="single" w:color="auto"/>
          <w:color w:val="auto"/>
        </w:rPr>
        <w:t>Severability</w:t>
      </w:r>
      <w:r>
        <w:rPr>
          <w:rFonts w:ascii="Arial" w:cs="Arial" w:eastAsia="Arial" w:hAnsi="Arial"/>
          <w:sz w:val="21"/>
          <w:szCs w:val="21"/>
          <w:color w:val="auto"/>
        </w:rPr>
        <w:t>. Wherever possible each provision of this Supplement shall be interpreted in such manner as to be effective and valid under applicable Law, but if any provision of this Supplement shall be prohibited by or invalid under such Law, such provision shall be ineffective to the extent of such prohibition or invalidity, without invalidating the remainder of such provision or the remaining provisions of this Supplement or the Security Agreement.</w:t>
      </w:r>
    </w:p>
    <w:p>
      <w:pPr>
        <w:spacing w:after="0" w:line="174" w:lineRule="exact"/>
        <w:rPr>
          <w:sz w:val="20"/>
          <w:szCs w:val="20"/>
          <w:color w:val="auto"/>
        </w:rPr>
      </w:pPr>
    </w:p>
    <w:p>
      <w:pPr>
        <w:jc w:val="both"/>
        <w:ind w:firstLine="749"/>
        <w:spacing w:after="0" w:line="247" w:lineRule="exact"/>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Governing Law, Entire Agreement, Etc</w:t>
      </w:r>
      <w:r>
        <w:rPr>
          <w:rFonts w:ascii="Arial" w:cs="Arial" w:eastAsia="Arial" w:hAnsi="Arial"/>
          <w:sz w:val="22"/>
          <w:szCs w:val="22"/>
          <w:color w:val="auto"/>
        </w:rPr>
        <w:t>. THIS SUPPLEMENT AND ANY CLAIMS, CONTROVERSY, DISPUTE OR CAUSE OF ACTION (WHETHER IN CONTRACT OR TORT OR OTHERWISE) BASED UPON, ARISING OUT OF OR RELATING TO THIS SUPPLEMENT OR ANY DOCUMENT CONTEMPLATED HEREBY SHALL BE GOVERNED BY, AND CONSTRUED IN ACCORDANCE WITH, THE INTERNAL LAWS OF THE STATE OF NEW YORK (INCLUDING FOR SUCH PURPOSE SECTIONS 5-1401 AND 5</w:t>
      </w:r>
      <w:r>
        <w:rPr>
          <w:rFonts w:ascii="MS PGothic" w:cs="MS PGothic" w:eastAsia="MS PGothic" w:hAnsi="MS PGothic"/>
          <w:sz w:val="22"/>
          <w:szCs w:val="22"/>
          <w:color w:val="auto"/>
        </w:rPr>
        <w:t>‑</w:t>
      </w:r>
      <w:r>
        <w:rPr>
          <w:rFonts w:ascii="Arial" w:cs="Arial" w:eastAsia="Arial" w:hAnsi="Arial"/>
          <w:sz w:val="22"/>
          <w:szCs w:val="22"/>
          <w:color w:val="auto"/>
        </w:rPr>
        <w:t>1402 OF THE GENERAL OBLIGATIONS LAW OF THE STATE OF NEW YORK). This Supplement, along with the other Loan Documents, constitutes the entire understanding among the parties hereto with respect to the subject matter thereof and supersedes any prior agreements, written or oral, with respect thereto.</w:t>
      </w:r>
    </w:p>
    <w:p>
      <w:pPr>
        <w:spacing w:after="0" w:line="187"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Effectiveness</w:t>
      </w:r>
      <w:r>
        <w:rPr>
          <w:rFonts w:ascii="Arial" w:cs="Arial" w:eastAsia="Arial" w:hAnsi="Arial"/>
          <w:sz w:val="22"/>
          <w:szCs w:val="22"/>
          <w:color w:val="auto"/>
        </w:rPr>
        <w:t>. This Supplement shall become effective with respect to a Grantor when a counterpart hereof executed by such Grantor shall have been received by the Administrative Agent. Delivery of an executed counterpart of a signature page to this Supplement by email (e.g., “pdf” or “tiff”) or telecopy shall be effective as delivery of a manually executed counterpart of this Supplement.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2" w:name="page183"/>
    <w:bookmarkEnd w:id="182"/>
    <w:p>
      <w:pPr>
        <w:ind w:firstLine="749"/>
        <w:spacing w:after="0" w:line="250" w:lineRule="auto"/>
        <w:rPr>
          <w:sz w:val="20"/>
          <w:szCs w:val="20"/>
          <w:color w:val="auto"/>
        </w:rPr>
      </w:pPr>
      <w:r>
        <w:rPr>
          <w:rFonts w:ascii="Arial" w:cs="Arial" w:eastAsia="Arial" w:hAnsi="Arial"/>
          <w:sz w:val="22"/>
          <w:szCs w:val="22"/>
          <w:color w:val="auto"/>
        </w:rPr>
        <w:t>IN WITNESS WHEREOF, each of the parties hereto has caused this Supplement to be duly executed and delivered by its Authorized Officer as of the date first above written.</w:t>
      </w:r>
    </w:p>
    <w:p>
      <w:pPr>
        <w:spacing w:after="0" w:line="39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 OF ADDITIONAL SUBSIDIARY]</w:t>
      </w:r>
    </w:p>
    <w:p>
      <w:pPr>
        <w:spacing w:after="0" w:line="200" w:lineRule="exact"/>
        <w:rPr>
          <w:sz w:val="20"/>
          <w:szCs w:val="20"/>
          <w:color w:val="auto"/>
        </w:rPr>
      </w:pPr>
    </w:p>
    <w:p>
      <w:pPr>
        <w:spacing w:after="0" w:line="270"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By:</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-157480</wp:posOffset>
            </wp:positionV>
            <wp:extent cx="35572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ind w:left="3740"/>
        <w:spacing w:after="0"/>
        <w:rPr>
          <w:sz w:val="20"/>
          <w:szCs w:val="20"/>
          <w:color w:val="auto"/>
        </w:rPr>
      </w:pPr>
      <w:r>
        <w:rPr>
          <w:rFonts w:ascii="Arial" w:cs="Arial" w:eastAsia="Arial" w:hAnsi="Arial"/>
          <w:sz w:val="22"/>
          <w:szCs w:val="22"/>
          <w:b w:val="1"/>
          <w:bCs w:val="1"/>
          <w:color w:val="auto"/>
        </w:rPr>
        <w:t>Title:</w:t>
      </w:r>
    </w:p>
    <w:p>
      <w:pPr>
        <w:spacing w:after="0" w:line="200" w:lineRule="exact"/>
        <w:rPr>
          <w:sz w:val="20"/>
          <w:szCs w:val="20"/>
          <w:color w:val="auto"/>
        </w:rPr>
      </w:pPr>
    </w:p>
    <w:p>
      <w:pPr>
        <w:spacing w:after="0" w:line="27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 OF ADDITIONAL SUBSIDIARY]</w:t>
      </w:r>
    </w:p>
    <w:p>
      <w:pPr>
        <w:spacing w:after="0" w:line="200" w:lineRule="exact"/>
        <w:rPr>
          <w:sz w:val="20"/>
          <w:szCs w:val="20"/>
          <w:color w:val="auto"/>
        </w:rPr>
      </w:pPr>
    </w:p>
    <w:p>
      <w:pPr>
        <w:spacing w:after="0" w:line="270"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By:</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-157480</wp:posOffset>
            </wp:positionV>
            <wp:extent cx="35572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ind w:left="3740"/>
        <w:spacing w:after="0"/>
        <w:rPr>
          <w:sz w:val="20"/>
          <w:szCs w:val="20"/>
          <w:color w:val="auto"/>
        </w:rPr>
      </w:pPr>
      <w:r>
        <w:rPr>
          <w:rFonts w:ascii="Arial" w:cs="Arial" w:eastAsia="Arial" w:hAnsi="Arial"/>
          <w:sz w:val="22"/>
          <w:szCs w:val="22"/>
          <w:b w:val="1"/>
          <w:bCs w:val="1"/>
          <w:color w:val="auto"/>
        </w:rPr>
        <w:t>Title: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Security Agreement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3" w:name="page184"/>
    <w:bookmarkEnd w:id="183"/>
    <w:p>
      <w:pPr>
        <w:jc w:val="center"/>
        <w:ind w:right="-439"/>
        <w:spacing w:after="0"/>
        <w:rPr>
          <w:sz w:val="20"/>
          <w:szCs w:val="20"/>
          <w:color w:val="auto"/>
        </w:rPr>
      </w:pPr>
      <w:r>
        <w:rPr>
          <w:rFonts w:ascii="Arial" w:cs="Arial" w:eastAsia="Arial" w:hAnsi="Arial"/>
          <w:sz w:val="22"/>
          <w:szCs w:val="22"/>
          <w:color w:val="auto"/>
        </w:rPr>
        <w:t>SCHEDULE I</w:t>
      </w:r>
    </w:p>
    <w:p>
      <w:pPr>
        <w:spacing w:after="0" w:line="8"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to Security Agreement</w:t>
      </w:r>
    </w:p>
    <w:p>
      <w:pPr>
        <w:spacing w:after="0" w:line="229" w:lineRule="exact"/>
        <w:rPr>
          <w:sz w:val="20"/>
          <w:szCs w:val="20"/>
          <w:color w:val="auto"/>
        </w:rPr>
      </w:pPr>
    </w:p>
    <w:p>
      <w:pPr>
        <w:spacing w:after="0"/>
        <w:tabs>
          <w:tab w:leader="none" w:pos="3740" w:val="left"/>
          <w:tab w:leader="none" w:pos="7360" w:val="left"/>
          <w:tab w:leader="none" w:pos="9720" w:val="left"/>
        </w:tabs>
        <w:rPr>
          <w:sz w:val="20"/>
          <w:szCs w:val="20"/>
          <w:color w:val="auto"/>
        </w:rPr>
      </w:pPr>
      <w:r>
        <w:rPr>
          <w:rFonts w:ascii="Arial" w:cs="Arial" w:eastAsia="Arial" w:hAnsi="Arial"/>
          <w:sz w:val="22"/>
          <w:szCs w:val="22"/>
          <w:u w:val="single" w:color="auto"/>
          <w:color w:val="auto"/>
        </w:rPr>
        <w:t>Subsidiary</w:t>
      </w:r>
      <w:r>
        <w:rPr>
          <w:sz w:val="20"/>
          <w:szCs w:val="20"/>
          <w:color w:val="auto"/>
        </w:rPr>
        <w:tab/>
      </w:r>
      <w:r>
        <w:rPr>
          <w:rFonts w:ascii="Arial" w:cs="Arial" w:eastAsia="Arial" w:hAnsi="Arial"/>
          <w:sz w:val="22"/>
          <w:szCs w:val="22"/>
          <w:u w:val="single" w:color="auto"/>
          <w:color w:val="auto"/>
        </w:rPr>
        <w:t>Name of Grantor</w:t>
      </w:r>
      <w:r>
        <w:rPr>
          <w:sz w:val="20"/>
          <w:szCs w:val="20"/>
          <w:color w:val="auto"/>
        </w:rPr>
        <w:tab/>
      </w:r>
      <w:r>
        <w:rPr>
          <w:rFonts w:ascii="Arial" w:cs="Arial" w:eastAsia="Arial" w:hAnsi="Arial"/>
          <w:sz w:val="22"/>
          <w:szCs w:val="22"/>
          <w:u w:val="single" w:color="auto"/>
          <w:color w:val="auto"/>
        </w:rPr>
        <w:t>Interest</w:t>
      </w:r>
      <w:r>
        <w:rPr>
          <w:sz w:val="20"/>
          <w:szCs w:val="20"/>
          <w:color w:val="auto"/>
        </w:rPr>
        <w:tab/>
      </w:r>
      <w:r>
        <w:rPr>
          <w:rFonts w:ascii="Arial" w:cs="Arial" w:eastAsia="Arial" w:hAnsi="Arial"/>
          <w:sz w:val="18"/>
          <w:szCs w:val="18"/>
          <w:u w:val="single" w:color="auto"/>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808990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80" w:top="334" w:right="819" w:bottom="1440" w:gutter="0" w:footer="0" w:header="0"/>
        </w:sectPr>
      </w:pPr>
    </w:p>
    <w:bookmarkStart w:id="184" w:name="page185"/>
    <w:bookmarkEnd w:id="184"/>
    <w:p>
      <w:pPr>
        <w:ind w:left="4940"/>
        <w:spacing w:after="0"/>
        <w:rPr>
          <w:sz w:val="20"/>
          <w:szCs w:val="20"/>
          <w:color w:val="auto"/>
        </w:rPr>
      </w:pPr>
      <w:r>
        <w:rPr>
          <w:rFonts w:ascii="Arial" w:cs="Arial" w:eastAsia="Arial" w:hAnsi="Arial"/>
          <w:sz w:val="22"/>
          <w:szCs w:val="22"/>
          <w:color w:val="auto"/>
        </w:rPr>
        <w:t>SCHEDULE II</w:t>
      </w:r>
    </w:p>
    <w:p>
      <w:pPr>
        <w:spacing w:after="0" w:line="8"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to Security Agreement</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A. </w:t>
      </w:r>
      <w:r>
        <w:rPr>
          <w:rFonts w:ascii="Arial" w:cs="Arial" w:eastAsia="Arial" w:hAnsi="Arial"/>
          <w:sz w:val="22"/>
          <w:szCs w:val="22"/>
          <w:u w:val="single" w:color="auto"/>
          <w:color w:val="auto"/>
        </w:rPr>
        <w:t>Location of each Grantor</w:t>
      </w:r>
      <w:r>
        <w:rPr>
          <w:rFonts w:ascii="Arial" w:cs="Arial" w:eastAsia="Arial" w:hAnsi="Arial"/>
          <w:sz w:val="22"/>
          <w:szCs w:val="22"/>
          <w:color w:val="auto"/>
        </w:rPr>
        <w:t>.</w:t>
      </w:r>
    </w:p>
    <w:p>
      <w:pPr>
        <w:sectPr>
          <w:pgSz w:w="11900" w:h="16838" w:orient="portrait"/>
          <w:cols w:equalWidth="0" w:num="1">
            <w:col w:w="11240"/>
          </w:cols>
          <w:pgMar w:left="320" w:top="334" w:right="339" w:bottom="1440" w:gutter="0" w:footer="0" w:header="0"/>
        </w:sectPr>
      </w:pP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37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 of Grantor:</w:t>
            </w:r>
          </w:p>
        </w:tc>
        <w:tc>
          <w:tcPr>
            <w:tcW w:w="2780" w:type="dxa"/>
            <w:vAlign w:val="bottom"/>
          </w:tcPr>
          <w:p>
            <w:pPr>
              <w:ind w:left="100"/>
              <w:spacing w:after="0"/>
              <w:rPr>
                <w:sz w:val="20"/>
                <w:szCs w:val="20"/>
                <w:color w:val="auto"/>
              </w:rPr>
            </w:pPr>
            <w:r>
              <w:rPr>
                <w:rFonts w:ascii="Arial" w:cs="Arial" w:eastAsia="Arial" w:hAnsi="Arial"/>
                <w:sz w:val="22"/>
                <w:szCs w:val="22"/>
                <w:color w:val="auto"/>
                <w:w w:val="89"/>
              </w:rPr>
              <w:t>Location for purposes of UCC:</w:t>
            </w:r>
          </w:p>
        </w:tc>
      </w:tr>
      <w:tr>
        <w:trPr>
          <w:trHeight w:val="232"/>
        </w:trPr>
        <w:tc>
          <w:tcPr>
            <w:tcW w:w="3780" w:type="dxa"/>
            <w:vAlign w:val="bottom"/>
            <w:tcBorders>
              <w:left w:val="single" w:sz="8" w:color="auto"/>
              <w:bottom w:val="single" w:sz="8" w:color="auto"/>
              <w:right w:val="single" w:sz="8" w:color="auto"/>
            </w:tcBorders>
          </w:tcPr>
          <w:p>
            <w:pPr>
              <w:spacing w:after="0"/>
              <w:rPr>
                <w:sz w:val="20"/>
                <w:szCs w:val="20"/>
                <w:color w:val="auto"/>
              </w:rPr>
            </w:pPr>
          </w:p>
        </w:tc>
        <w:tc>
          <w:tcPr>
            <w:tcW w:w="2780" w:type="dxa"/>
            <w:vAlign w:val="bottom"/>
          </w:tcPr>
          <w:p>
            <w:pPr>
              <w:spacing w:after="0"/>
              <w:rPr>
                <w:sz w:val="20"/>
                <w:szCs w:val="20"/>
                <w:color w:val="auto"/>
              </w:rPr>
            </w:pPr>
          </w:p>
        </w:tc>
      </w:tr>
      <w:tr>
        <w:trPr>
          <w:trHeight w:val="280"/>
        </w:trPr>
        <w:tc>
          <w:tcPr>
            <w:tcW w:w="3780" w:type="dxa"/>
            <w:vAlign w:val="bottom"/>
            <w:tcBorders>
              <w:left w:val="single" w:sz="8" w:color="auto"/>
              <w:right w:val="single" w:sz="8" w:color="auto"/>
            </w:tcBorders>
          </w:tcPr>
          <w:p>
            <w:pPr>
              <w:spacing w:after="0"/>
              <w:rPr>
                <w:sz w:val="24"/>
                <w:szCs w:val="24"/>
                <w:color w:val="auto"/>
              </w:rPr>
            </w:pPr>
          </w:p>
        </w:tc>
        <w:tc>
          <w:tcPr>
            <w:tcW w:w="2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5226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522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Executive office / principal place of business:</w:t>
      </w:r>
    </w:p>
    <w:p>
      <w:pPr>
        <w:spacing w:after="0" w:line="490" w:lineRule="exact"/>
        <w:rPr>
          <w:sz w:val="20"/>
          <w:szCs w:val="20"/>
          <w:color w:val="auto"/>
        </w:rPr>
      </w:pPr>
    </w:p>
    <w:p>
      <w:pPr>
        <w:sectPr>
          <w:pgSz w:w="11900" w:h="16838" w:orient="portrait"/>
          <w:cols w:equalWidth="0" w:num="2">
            <w:col w:w="6900" w:space="720"/>
            <w:col w:w="3620"/>
          </w:cols>
          <w:pgMar w:left="320" w:top="334" w:right="339" w:bottom="1440" w:gutter="0" w:footer="0" w:header="0"/>
          <w:type w:val="continuous"/>
        </w:sect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4920" w:type="dxa"/>
            <w:vAlign w:val="bottom"/>
            <w:gridSpan w:val="6"/>
          </w:tcPr>
          <w:p>
            <w:pPr>
              <w:spacing w:after="0"/>
              <w:rPr>
                <w:sz w:val="20"/>
                <w:szCs w:val="20"/>
                <w:color w:val="auto"/>
              </w:rPr>
            </w:pPr>
            <w:r>
              <w:rPr>
                <w:rFonts w:ascii="Arial" w:cs="Arial" w:eastAsia="Arial" w:hAnsi="Arial"/>
                <w:sz w:val="22"/>
                <w:szCs w:val="22"/>
                <w:color w:val="auto"/>
              </w:rPr>
              <w:t>Item B. Filing locations last five years.</w:t>
            </w:r>
          </w:p>
        </w:tc>
        <w:tc>
          <w:tcPr>
            <w:tcW w:w="4860" w:type="dxa"/>
            <w:vAlign w:val="bottom"/>
          </w:tcPr>
          <w:p>
            <w:pPr>
              <w:spacing w:after="0"/>
              <w:rPr>
                <w:sz w:val="21"/>
                <w:szCs w:val="2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1195"/>
        </w:trPr>
        <w:tc>
          <w:tcPr>
            <w:tcW w:w="4920" w:type="dxa"/>
            <w:vAlign w:val="bottom"/>
            <w:gridSpan w:val="6"/>
          </w:tcPr>
          <w:p>
            <w:pPr>
              <w:spacing w:after="0"/>
              <w:rPr>
                <w:sz w:val="20"/>
                <w:szCs w:val="20"/>
                <w:color w:val="auto"/>
              </w:rPr>
            </w:pPr>
            <w:r>
              <w:rPr>
                <w:rFonts w:ascii="Arial" w:cs="Arial" w:eastAsia="Arial" w:hAnsi="Arial"/>
                <w:sz w:val="22"/>
                <w:szCs w:val="22"/>
                <w:color w:val="auto"/>
              </w:rPr>
              <w:t>Item C. Trade names.</w:t>
            </w:r>
          </w:p>
        </w:tc>
        <w:tc>
          <w:tcPr>
            <w:tcW w:w="4860" w:type="dxa"/>
            <w:vAlign w:val="bottom"/>
          </w:tcPr>
          <w:p>
            <w:pPr>
              <w:spacing w:after="0"/>
              <w:rPr>
                <w:sz w:val="24"/>
                <w:szCs w:val="24"/>
                <w:color w:val="auto"/>
              </w:rPr>
            </w:pPr>
          </w:p>
        </w:tc>
      </w:tr>
      <w:tr>
        <w:trPr>
          <w:trHeight w:val="280"/>
        </w:trPr>
        <w:tc>
          <w:tcPr>
            <w:tcW w:w="780" w:type="dxa"/>
            <w:vAlign w:val="bottom"/>
            <w:tcBorders>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243"/>
        </w:trPr>
        <w:tc>
          <w:tcPr>
            <w:tcW w:w="4920" w:type="dxa"/>
            <w:vAlign w:val="bottom"/>
            <w:tcBorders>
              <w:left w:val="single" w:sz="8" w:color="auto"/>
              <w:bottom w:val="single" w:sz="8" w:color="auto"/>
              <w:right w:val="single" w:sz="8" w:color="auto"/>
            </w:tcBorders>
            <w:gridSpan w:val="6"/>
          </w:tcPr>
          <w:p>
            <w:pPr>
              <w:ind w:left="120"/>
              <w:spacing w:after="0" w:line="244" w:lineRule="exact"/>
              <w:rPr>
                <w:sz w:val="20"/>
                <w:szCs w:val="20"/>
                <w:color w:val="auto"/>
              </w:rPr>
            </w:pPr>
            <w:r>
              <w:rPr>
                <w:rFonts w:ascii="Arial" w:cs="Arial" w:eastAsia="Arial" w:hAnsi="Arial"/>
                <w:sz w:val="22"/>
                <w:szCs w:val="22"/>
                <w:color w:val="auto"/>
              </w:rPr>
              <w:t>Name of Grantor:</w:t>
            </w:r>
          </w:p>
        </w:tc>
        <w:tc>
          <w:tcPr>
            <w:tcW w:w="4860" w:type="dxa"/>
            <w:vAlign w:val="bottom"/>
            <w:tcBorders>
              <w:bottom w:val="single" w:sz="8" w:color="auto"/>
              <w:right w:val="single" w:sz="8" w:color="auto"/>
            </w:tcBorders>
          </w:tcPr>
          <w:p>
            <w:pPr>
              <w:ind w:left="80"/>
              <w:spacing w:after="0" w:line="244" w:lineRule="exact"/>
              <w:rPr>
                <w:sz w:val="20"/>
                <w:szCs w:val="20"/>
                <w:color w:val="auto"/>
              </w:rPr>
            </w:pPr>
            <w:r>
              <w:rPr>
                <w:rFonts w:ascii="Arial" w:cs="Arial" w:eastAsia="Arial" w:hAnsi="Arial"/>
                <w:sz w:val="22"/>
                <w:szCs w:val="22"/>
                <w:color w:val="auto"/>
              </w:rPr>
              <w:t>Trade Names:</w:t>
            </w:r>
          </w:p>
        </w:tc>
      </w:tr>
      <w:tr>
        <w:trPr>
          <w:trHeight w:val="267"/>
        </w:trPr>
        <w:tc>
          <w:tcPr>
            <w:tcW w:w="7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c>
          <w:tcPr>
            <w:tcW w:w="4860" w:type="dxa"/>
            <w:vAlign w:val="bottom"/>
            <w:tcBorders>
              <w:bottom w:val="single" w:sz="8" w:color="auto"/>
              <w:right w:val="single" w:sz="8" w:color="auto"/>
            </w:tcBorders>
          </w:tcPr>
          <w:p>
            <w:pPr>
              <w:spacing w:after="0"/>
              <w:rPr>
                <w:sz w:val="23"/>
                <w:szCs w:val="23"/>
                <w:color w:val="auto"/>
              </w:rPr>
            </w:pPr>
          </w:p>
        </w:tc>
      </w:tr>
      <w:tr>
        <w:trPr>
          <w:trHeight w:val="682"/>
        </w:trPr>
        <w:tc>
          <w:tcPr>
            <w:tcW w:w="4920" w:type="dxa"/>
            <w:vAlign w:val="bottom"/>
            <w:gridSpan w:val="6"/>
          </w:tcPr>
          <w:p>
            <w:pPr>
              <w:spacing w:after="0"/>
              <w:rPr>
                <w:sz w:val="20"/>
                <w:szCs w:val="20"/>
                <w:color w:val="auto"/>
              </w:rPr>
            </w:pPr>
            <w:r>
              <w:rPr>
                <w:rFonts w:ascii="Arial" w:cs="Arial" w:eastAsia="Arial" w:hAnsi="Arial"/>
                <w:sz w:val="22"/>
                <w:szCs w:val="22"/>
                <w:color w:val="auto"/>
              </w:rPr>
              <w:t>Item D. Merger or other corporate reorganization.</w:t>
            </w:r>
          </w:p>
        </w:tc>
        <w:tc>
          <w:tcPr>
            <w:tcW w:w="48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330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952"/>
        </w:trPr>
        <w:tc>
          <w:tcPr>
            <w:tcW w:w="4920" w:type="dxa"/>
            <w:vAlign w:val="bottom"/>
            <w:gridSpan w:val="6"/>
          </w:tcPr>
          <w:p>
            <w:pPr>
              <w:spacing w:after="0"/>
              <w:rPr>
                <w:sz w:val="20"/>
                <w:szCs w:val="20"/>
                <w:color w:val="auto"/>
              </w:rPr>
            </w:pPr>
            <w:r>
              <w:rPr>
                <w:rFonts w:ascii="Arial" w:cs="Arial" w:eastAsia="Arial" w:hAnsi="Arial"/>
                <w:sz w:val="22"/>
                <w:szCs w:val="22"/>
                <w:color w:val="auto"/>
              </w:rPr>
              <w:t>Item E. Grantor's federal taxpayer ID numbers.</w:t>
            </w:r>
          </w:p>
        </w:tc>
        <w:tc>
          <w:tcPr>
            <w:tcW w:w="4860" w:type="dxa"/>
            <w:vAlign w:val="bottom"/>
          </w:tcPr>
          <w:p>
            <w:pPr>
              <w:spacing w:after="0"/>
              <w:rPr>
                <w:sz w:val="24"/>
                <w:szCs w:val="24"/>
                <w:color w:val="auto"/>
              </w:rPr>
            </w:pPr>
          </w:p>
        </w:tc>
      </w:tr>
      <w:tr>
        <w:trPr>
          <w:trHeight w:val="280"/>
        </w:trPr>
        <w:tc>
          <w:tcPr>
            <w:tcW w:w="780" w:type="dxa"/>
            <w:vAlign w:val="bottom"/>
            <w:tcBorders>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264"/>
        </w:trPr>
        <w:tc>
          <w:tcPr>
            <w:tcW w:w="4920" w:type="dxa"/>
            <w:vAlign w:val="bottom"/>
            <w:tcBorders>
              <w:left w:val="single" w:sz="8" w:color="auto"/>
              <w:bottom w:val="single" w:sz="8" w:color="auto"/>
              <w:right w:val="single" w:sz="8" w:color="auto"/>
            </w:tcBorders>
            <w:gridSpan w:val="6"/>
          </w:tcPr>
          <w:p>
            <w:pPr>
              <w:ind w:left="120"/>
              <w:spacing w:after="0" w:line="244" w:lineRule="exact"/>
              <w:rPr>
                <w:sz w:val="20"/>
                <w:szCs w:val="20"/>
                <w:color w:val="auto"/>
              </w:rPr>
            </w:pPr>
            <w:r>
              <w:rPr>
                <w:rFonts w:ascii="Arial" w:cs="Arial" w:eastAsia="Arial" w:hAnsi="Arial"/>
                <w:sz w:val="22"/>
                <w:szCs w:val="22"/>
                <w:color w:val="auto"/>
              </w:rPr>
              <w:t>Name of Grantor:</w:t>
            </w:r>
          </w:p>
        </w:tc>
        <w:tc>
          <w:tcPr>
            <w:tcW w:w="4860" w:type="dxa"/>
            <w:vAlign w:val="bottom"/>
            <w:tcBorders>
              <w:bottom w:val="single" w:sz="8" w:color="auto"/>
              <w:right w:val="single" w:sz="8" w:color="auto"/>
            </w:tcBorders>
          </w:tcPr>
          <w:p>
            <w:pPr>
              <w:ind w:left="80"/>
              <w:spacing w:after="0" w:line="244" w:lineRule="exact"/>
              <w:rPr>
                <w:sz w:val="20"/>
                <w:szCs w:val="20"/>
                <w:color w:val="auto"/>
              </w:rPr>
            </w:pPr>
            <w:r>
              <w:rPr>
                <w:rFonts w:ascii="Arial" w:cs="Arial" w:eastAsia="Arial" w:hAnsi="Arial"/>
                <w:sz w:val="22"/>
                <w:szCs w:val="22"/>
                <w:color w:val="auto"/>
              </w:rPr>
              <w:t>Taxpayer ID number:</w:t>
            </w:r>
          </w:p>
        </w:tc>
      </w:tr>
      <w:tr>
        <w:trPr>
          <w:trHeight w:val="247"/>
        </w:trPr>
        <w:tc>
          <w:tcPr>
            <w:tcW w:w="4920" w:type="dxa"/>
            <w:vAlign w:val="bottom"/>
            <w:tcBorders>
              <w:bottom w:val="single" w:sz="8" w:color="auto"/>
              <w:right w:val="single" w:sz="8" w:color="auto"/>
            </w:tcBorders>
            <w:gridSpan w:val="6"/>
          </w:tcPr>
          <w:p>
            <w:pPr>
              <w:ind w:left="120"/>
              <w:spacing w:after="0" w:line="247" w:lineRule="exact"/>
              <w:rPr>
                <w:sz w:val="20"/>
                <w:szCs w:val="20"/>
                <w:color w:val="auto"/>
              </w:rPr>
            </w:pPr>
            <w:r>
              <w:rPr>
                <w:rFonts w:ascii="Arial" w:cs="Arial" w:eastAsia="Arial" w:hAnsi="Arial"/>
                <w:sz w:val="22"/>
                <w:szCs w:val="22"/>
                <w:color w:val="auto"/>
              </w:rPr>
              <w:t>AVITA Medical, Inc.</w:t>
            </w:r>
          </w:p>
        </w:tc>
        <w:tc>
          <w:tcPr>
            <w:tcW w:w="4860" w:type="dxa"/>
            <w:vAlign w:val="bottom"/>
            <w:tcBorders>
              <w:bottom w:val="single" w:sz="8" w:color="auto"/>
              <w:right w:val="single" w:sz="8" w:color="auto"/>
            </w:tcBorders>
          </w:tcPr>
          <w:p>
            <w:pPr>
              <w:ind w:left="80"/>
              <w:spacing w:after="0" w:line="247" w:lineRule="exact"/>
              <w:rPr>
                <w:sz w:val="20"/>
                <w:szCs w:val="20"/>
                <w:color w:val="auto"/>
              </w:rPr>
            </w:pPr>
            <w:r>
              <w:rPr>
                <w:rFonts w:ascii="Arial" w:cs="Arial" w:eastAsia="Arial" w:hAnsi="Arial"/>
                <w:sz w:val="22"/>
                <w:szCs w:val="22"/>
                <w:color w:val="auto"/>
              </w:rPr>
              <w:t>85-1021707</w:t>
            </w:r>
          </w:p>
        </w:tc>
      </w:tr>
      <w:tr>
        <w:trPr>
          <w:trHeight w:val="263"/>
        </w:trPr>
        <w:tc>
          <w:tcPr>
            <w:tcW w:w="4920" w:type="dxa"/>
            <w:vAlign w:val="bottom"/>
            <w:tcBorders>
              <w:bottom w:val="single" w:sz="8" w:color="auto"/>
              <w:right w:val="single" w:sz="8" w:color="auto"/>
            </w:tcBorders>
            <w:gridSpan w:val="6"/>
          </w:tcPr>
          <w:p>
            <w:pPr>
              <w:ind w:left="120"/>
              <w:spacing w:after="0"/>
              <w:rPr>
                <w:sz w:val="20"/>
                <w:szCs w:val="20"/>
                <w:color w:val="auto"/>
              </w:rPr>
            </w:pPr>
            <w:r>
              <w:rPr>
                <w:rFonts w:ascii="Arial" w:cs="Arial" w:eastAsia="Arial" w:hAnsi="Arial"/>
                <w:sz w:val="22"/>
                <w:szCs w:val="22"/>
                <w:color w:val="auto"/>
              </w:rPr>
              <w:t>Avita Medical Americas, LLC</w:t>
            </w:r>
          </w:p>
        </w:tc>
        <w:tc>
          <w:tcPr>
            <w:tcW w:w="4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20-2578762</w:t>
            </w: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F. </w:t>
      </w:r>
      <w:r>
        <w:rPr>
          <w:rFonts w:ascii="Arial" w:cs="Arial" w:eastAsia="Arial" w:hAnsi="Arial"/>
          <w:sz w:val="22"/>
          <w:szCs w:val="22"/>
          <w:u w:val="single" w:color="auto"/>
          <w:color w:val="auto"/>
        </w:rPr>
        <w:t>Government Contracts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G. </w:t>
      </w:r>
      <w:r>
        <w:rPr>
          <w:rFonts w:ascii="Arial" w:cs="Arial" w:eastAsia="Arial" w:hAnsi="Arial"/>
          <w:sz w:val="22"/>
          <w:szCs w:val="22"/>
          <w:u w:val="single" w:color="auto"/>
          <w:color w:val="auto"/>
        </w:rPr>
        <w:t>Deposit Accounts, Securities Accounts and Commodity Accounts</w:t>
      </w:r>
      <w:r>
        <w:rPr>
          <w:rFonts w:ascii="Arial" w:cs="Arial" w:eastAsia="Arial" w:hAnsi="Arial"/>
          <w:sz w:val="22"/>
          <w:szCs w:val="22"/>
          <w:color w:val="auto"/>
        </w:rPr>
        <w:t>.</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220" w:type="dxa"/>
            <w:vAlign w:val="bottom"/>
            <w:tcBorders>
              <w:top w:val="single" w:sz="8" w:color="auto"/>
              <w:left w:val="single" w:sz="8" w:color="auto"/>
              <w:right w:val="single" w:sz="8" w:color="auto"/>
            </w:tcBorders>
          </w:tcPr>
          <w:p>
            <w:pPr>
              <w:ind w:left="120"/>
              <w:spacing w:after="0" w:line="251" w:lineRule="exact"/>
              <w:rPr>
                <w:sz w:val="20"/>
                <w:szCs w:val="20"/>
                <w:color w:val="auto"/>
              </w:rPr>
            </w:pPr>
            <w:r>
              <w:rPr>
                <w:rFonts w:ascii="Arial" w:cs="Arial" w:eastAsia="Arial" w:hAnsi="Arial"/>
                <w:sz w:val="22"/>
                <w:szCs w:val="22"/>
                <w:color w:val="auto"/>
              </w:rPr>
              <w:t>Name of Grantor:</w:t>
            </w:r>
          </w:p>
        </w:tc>
        <w:tc>
          <w:tcPr>
            <w:tcW w:w="7020" w:type="dxa"/>
            <w:vAlign w:val="bottom"/>
            <w:tcBorders>
              <w:top w:val="single" w:sz="8" w:color="auto"/>
              <w:right w:val="single" w:sz="8" w:color="auto"/>
            </w:tcBorders>
          </w:tcPr>
          <w:p>
            <w:pPr>
              <w:ind w:left="100"/>
              <w:spacing w:after="0" w:line="251" w:lineRule="exact"/>
              <w:rPr>
                <w:sz w:val="20"/>
                <w:szCs w:val="20"/>
                <w:color w:val="auto"/>
              </w:rPr>
            </w:pPr>
            <w:r>
              <w:rPr>
                <w:rFonts w:ascii="Arial" w:cs="Arial" w:eastAsia="Arial" w:hAnsi="Arial"/>
                <w:sz w:val="22"/>
                <w:szCs w:val="22"/>
                <w:color w:val="auto"/>
                <w:w w:val="95"/>
              </w:rPr>
              <w:t>Description  of  Deposit  Accounts,  Securities  Accounts  and  Commodity</w:t>
            </w:r>
          </w:p>
        </w:tc>
      </w:tr>
      <w:tr>
        <w:trPr>
          <w:trHeight w:val="275"/>
        </w:trPr>
        <w:tc>
          <w:tcPr>
            <w:tcW w:w="4220" w:type="dxa"/>
            <w:vAlign w:val="bottom"/>
            <w:tcBorders>
              <w:left w:val="single" w:sz="8" w:color="auto"/>
              <w:bottom w:val="single" w:sz="8" w:color="auto"/>
              <w:right w:val="single" w:sz="8" w:color="auto"/>
            </w:tcBorders>
          </w:tcPr>
          <w:p>
            <w:pPr>
              <w:spacing w:after="0"/>
              <w:rPr>
                <w:sz w:val="23"/>
                <w:szCs w:val="23"/>
                <w:color w:val="auto"/>
              </w:rPr>
            </w:pPr>
          </w:p>
        </w:tc>
        <w:tc>
          <w:tcPr>
            <w:tcW w:w="7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Accounts:</w:t>
            </w:r>
          </w:p>
        </w:tc>
      </w:tr>
      <w:tr>
        <w:trPr>
          <w:trHeight w:val="267"/>
        </w:trPr>
        <w:tc>
          <w:tcPr>
            <w:tcW w:w="4220" w:type="dxa"/>
            <w:vAlign w:val="bottom"/>
            <w:tcBorders>
              <w:left w:val="single" w:sz="8" w:color="auto"/>
              <w:bottom w:val="single" w:sz="8" w:color="auto"/>
              <w:right w:val="single" w:sz="8" w:color="auto"/>
            </w:tcBorders>
          </w:tcPr>
          <w:p>
            <w:pPr>
              <w:spacing w:after="0"/>
              <w:rPr>
                <w:sz w:val="23"/>
                <w:szCs w:val="23"/>
                <w:color w:val="auto"/>
              </w:rPr>
            </w:pPr>
          </w:p>
        </w:tc>
        <w:tc>
          <w:tcPr>
            <w:tcW w:w="702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H. </w:t>
      </w:r>
      <w:r>
        <w:rPr>
          <w:rFonts w:ascii="Arial" w:cs="Arial" w:eastAsia="Arial" w:hAnsi="Arial"/>
          <w:sz w:val="22"/>
          <w:szCs w:val="22"/>
          <w:u w:val="single" w:color="auto"/>
          <w:color w:val="auto"/>
        </w:rPr>
        <w:t>Letter of Credit Rights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185" w:name="page186"/>
    <w:bookmarkEnd w:id="185"/>
    <w:p>
      <w:pPr>
        <w:spacing w:after="0"/>
        <w:rPr>
          <w:sz w:val="20"/>
          <w:szCs w:val="20"/>
          <w:color w:val="auto"/>
        </w:rPr>
      </w:pPr>
      <w:r>
        <w:rPr>
          <w:rFonts w:ascii="Arial" w:cs="Arial" w:eastAsia="Arial" w:hAnsi="Arial"/>
          <w:sz w:val="22"/>
          <w:szCs w:val="22"/>
          <w:color w:val="auto"/>
        </w:rPr>
        <w:t xml:space="preserve">Item I. </w:t>
      </w:r>
      <w:r>
        <w:rPr>
          <w:rFonts w:ascii="Arial" w:cs="Arial" w:eastAsia="Arial" w:hAnsi="Arial"/>
          <w:sz w:val="22"/>
          <w:szCs w:val="22"/>
          <w:u w:val="single" w:color="auto"/>
          <w:color w:val="auto"/>
        </w:rPr>
        <w:t>Commercial Tort Claims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J. </w:t>
      </w:r>
      <w:r>
        <w:rPr>
          <w:rFonts w:ascii="Arial" w:cs="Arial" w:eastAsia="Arial" w:hAnsi="Arial"/>
          <w:sz w:val="22"/>
          <w:szCs w:val="22"/>
          <w:u w:val="single" w:color="auto"/>
          <w:color w:val="auto"/>
        </w:rPr>
        <w:t>Pledged Notes</w:t>
      </w:r>
      <w:r>
        <w:rPr>
          <w:rFonts w:ascii="Arial" w:cs="Arial" w:eastAsia="Arial" w:hAnsi="Arial"/>
          <w:sz w:val="22"/>
          <w:szCs w:val="22"/>
          <w:color w:val="auto"/>
        </w:rPr>
        <w:t>.</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2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 of Grantor:</w:t>
            </w:r>
          </w:p>
        </w:tc>
        <w:tc>
          <w:tcPr>
            <w:tcW w:w="7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Description of Pledged Notes:</w:t>
            </w:r>
          </w:p>
        </w:tc>
      </w:tr>
      <w:tr>
        <w:trPr>
          <w:trHeight w:val="267"/>
        </w:trPr>
        <w:tc>
          <w:tcPr>
            <w:tcW w:w="4220" w:type="dxa"/>
            <w:vAlign w:val="bottom"/>
            <w:tcBorders>
              <w:left w:val="single" w:sz="8" w:color="auto"/>
              <w:bottom w:val="single" w:sz="8" w:color="auto"/>
              <w:right w:val="single" w:sz="8" w:color="auto"/>
            </w:tcBorders>
          </w:tcPr>
          <w:p>
            <w:pPr>
              <w:spacing w:after="0"/>
              <w:rPr>
                <w:sz w:val="23"/>
                <w:szCs w:val="23"/>
                <w:color w:val="auto"/>
              </w:rPr>
            </w:pPr>
          </w:p>
        </w:tc>
        <w:tc>
          <w:tcPr>
            <w:tcW w:w="7020" w:type="dxa"/>
            <w:vAlign w:val="bottom"/>
            <w:tcBorders>
              <w:bottom w:val="single" w:sz="8" w:color="auto"/>
              <w:right w:val="single" w:sz="8" w:color="auto"/>
            </w:tcBorders>
          </w:tcPr>
          <w:p>
            <w:pPr>
              <w:spacing w:after="0"/>
              <w:rPr>
                <w:sz w:val="23"/>
                <w:szCs w:val="23"/>
                <w:color w:val="auto"/>
              </w:rPr>
            </w:pPr>
          </w:p>
        </w:tc>
      </w:tr>
      <w:tr>
        <w:trPr>
          <w:trHeight w:val="716"/>
        </w:trPr>
        <w:tc>
          <w:tcPr>
            <w:tcW w:w="422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86" w:name="page187"/>
    <w:bookmarkEnd w:id="186"/>
    <w:p>
      <w:pPr>
        <w:ind w:left="4900"/>
        <w:spacing w:after="0"/>
        <w:rPr>
          <w:sz w:val="20"/>
          <w:szCs w:val="20"/>
          <w:color w:val="auto"/>
        </w:rPr>
      </w:pPr>
      <w:r>
        <w:rPr>
          <w:rFonts w:ascii="Arial" w:cs="Arial" w:eastAsia="Arial" w:hAnsi="Arial"/>
          <w:sz w:val="22"/>
          <w:szCs w:val="22"/>
          <w:color w:val="auto"/>
        </w:rPr>
        <w:t>SCHEDULE III</w:t>
      </w:r>
    </w:p>
    <w:p>
      <w:pPr>
        <w:spacing w:after="0" w:line="8"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to Security Agreement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A. </w:t>
      </w:r>
      <w:r>
        <w:rPr>
          <w:rFonts w:ascii="Arial" w:cs="Arial" w:eastAsia="Arial" w:hAnsi="Arial"/>
          <w:sz w:val="22"/>
          <w:szCs w:val="22"/>
          <w:u w:val="single" w:color="auto"/>
          <w:color w:val="auto"/>
        </w:rPr>
        <w:t>Patents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B. </w:t>
      </w:r>
      <w:r>
        <w:rPr>
          <w:rFonts w:ascii="Arial" w:cs="Arial" w:eastAsia="Arial" w:hAnsi="Arial"/>
          <w:sz w:val="22"/>
          <w:szCs w:val="22"/>
          <w:u w:val="single" w:color="auto"/>
          <w:color w:val="auto"/>
        </w:rPr>
        <w:t>Patent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187" w:name="page188"/>
    <w:bookmarkEnd w:id="187"/>
    <w:p>
      <w:pPr>
        <w:ind w:left="4900"/>
        <w:spacing w:after="0"/>
        <w:rPr>
          <w:sz w:val="20"/>
          <w:szCs w:val="20"/>
          <w:color w:val="auto"/>
        </w:rPr>
      </w:pPr>
      <w:r>
        <w:rPr>
          <w:rFonts w:ascii="Arial" w:cs="Arial" w:eastAsia="Arial" w:hAnsi="Arial"/>
          <w:sz w:val="22"/>
          <w:szCs w:val="22"/>
          <w:color w:val="auto"/>
        </w:rPr>
        <w:t>SCHEDULE IV</w:t>
      </w:r>
    </w:p>
    <w:p>
      <w:pPr>
        <w:spacing w:after="0" w:line="8"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to Security Agreement</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A. </w:t>
      </w:r>
      <w:r>
        <w:rPr>
          <w:rFonts w:ascii="Arial" w:cs="Arial" w:eastAsia="Arial" w:hAnsi="Arial"/>
          <w:sz w:val="22"/>
          <w:szCs w:val="22"/>
          <w:u w:val="single" w:color="auto"/>
          <w:color w:val="auto"/>
        </w:rPr>
        <w:t>Trademarks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B. </w:t>
      </w:r>
      <w:r>
        <w:rPr>
          <w:rFonts w:ascii="Arial" w:cs="Arial" w:eastAsia="Arial" w:hAnsi="Arial"/>
          <w:sz w:val="22"/>
          <w:szCs w:val="22"/>
          <w:u w:val="single" w:color="auto"/>
          <w:color w:val="auto"/>
        </w:rPr>
        <w:t>Trademark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662940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188" w:name="page189"/>
    <w:bookmarkEnd w:id="188"/>
    <w:p>
      <w:pPr>
        <w:jc w:val="center"/>
        <w:ind w:right="-1100"/>
        <w:spacing w:after="0"/>
        <w:rPr>
          <w:sz w:val="20"/>
          <w:szCs w:val="20"/>
          <w:color w:val="auto"/>
        </w:rPr>
      </w:pPr>
      <w:r>
        <w:rPr>
          <w:rFonts w:ascii="Arial" w:cs="Arial" w:eastAsia="Arial" w:hAnsi="Arial"/>
          <w:sz w:val="22"/>
          <w:szCs w:val="22"/>
          <w:color w:val="auto"/>
        </w:rPr>
        <w:t>SCHEDULE V</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to Security Agreement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A. </w:t>
      </w:r>
      <w:r>
        <w:rPr>
          <w:rFonts w:ascii="Arial" w:cs="Arial" w:eastAsia="Arial" w:hAnsi="Arial"/>
          <w:sz w:val="22"/>
          <w:szCs w:val="22"/>
          <w:u w:val="single" w:color="auto"/>
          <w:color w:val="auto"/>
        </w:rPr>
        <w:t>Copyrights/Mask Works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B. </w:t>
      </w:r>
      <w:r>
        <w:rPr>
          <w:rFonts w:ascii="Arial" w:cs="Arial" w:eastAsia="Arial" w:hAnsi="Arial"/>
          <w:sz w:val="22"/>
          <w:szCs w:val="22"/>
          <w:u w:val="single" w:color="auto"/>
          <w:color w:val="auto"/>
        </w:rPr>
        <w:t>Copyright/Mask Work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189" w:name="page190"/>
    <w:bookmarkEnd w:id="189"/>
    <w:p>
      <w:pPr>
        <w:jc w:val="center"/>
        <w:ind w:right="-1100"/>
        <w:spacing w:after="0"/>
        <w:rPr>
          <w:sz w:val="20"/>
          <w:szCs w:val="20"/>
          <w:color w:val="auto"/>
        </w:rPr>
      </w:pPr>
      <w:r>
        <w:rPr>
          <w:rFonts w:ascii="Arial" w:cs="Arial" w:eastAsia="Arial" w:hAnsi="Arial"/>
          <w:sz w:val="22"/>
          <w:szCs w:val="22"/>
          <w:color w:val="auto"/>
        </w:rPr>
        <w:t>SCHEDULE VI</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to Security Agreement</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Trade Secret or Know-How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388620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190" w:name="page191"/>
    <w:bookmarkEnd w:id="190"/>
    <w:p>
      <w:pPr>
        <w:jc w:val="right"/>
        <w:spacing w:after="0"/>
        <w:rPr>
          <w:sz w:val="20"/>
          <w:szCs w:val="20"/>
          <w:color w:val="auto"/>
        </w:rPr>
      </w:pPr>
      <w:r>
        <w:rPr>
          <w:rFonts w:ascii="Arial" w:cs="Arial" w:eastAsia="Arial" w:hAnsi="Arial"/>
          <w:sz w:val="20"/>
          <w:szCs w:val="20"/>
          <w:b w:val="1"/>
          <w:bCs w:val="1"/>
          <w:color w:val="3B4852"/>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822960" cy="9861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296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0" w:right="160" w:hanging="38"/>
        <w:spacing w:after="0" w:line="303" w:lineRule="auto"/>
        <w:rPr>
          <w:sz w:val="20"/>
          <w:szCs w:val="20"/>
          <w:color w:val="auto"/>
        </w:rPr>
      </w:pPr>
      <w:r>
        <w:rPr>
          <w:rFonts w:ascii="Arial" w:cs="Arial" w:eastAsia="Arial" w:hAnsi="Arial"/>
          <w:sz w:val="25"/>
          <w:szCs w:val="25"/>
          <w:b w:val="1"/>
          <w:bCs w:val="1"/>
          <w:color w:val="3B4852"/>
        </w:rPr>
        <w:t>AVITA Medical Announces Preliminary Third Quarter 2023 Financial Highlights and Secures up to $90 million of Non-Dilutive Debt Financing with OrbiMed to Support Growth Initiatives</w:t>
      </w:r>
    </w:p>
    <w:p>
      <w:pPr>
        <w:spacing w:after="0" w:line="178" w:lineRule="exact"/>
        <w:rPr>
          <w:sz w:val="20"/>
          <w:szCs w:val="20"/>
          <w:color w:val="auto"/>
        </w:rPr>
      </w:pPr>
    </w:p>
    <w:p>
      <w:pPr>
        <w:ind w:left="1140" w:hanging="383"/>
        <w:spacing w:after="0"/>
        <w:tabs>
          <w:tab w:leader="none" w:pos="1140" w:val="left"/>
        </w:tabs>
        <w:numPr>
          <w:ilvl w:val="0"/>
          <w:numId w:val="161"/>
        </w:numPr>
        <w:rPr>
          <w:rFonts w:ascii="Arial" w:cs="Arial" w:eastAsia="Arial" w:hAnsi="Arial"/>
          <w:sz w:val="20"/>
          <w:szCs w:val="20"/>
          <w:color w:val="auto"/>
        </w:rPr>
      </w:pPr>
      <w:r>
        <w:rPr>
          <w:rFonts w:ascii="Arial" w:cs="Arial" w:eastAsia="Arial" w:hAnsi="Arial"/>
          <w:sz w:val="20"/>
          <w:szCs w:val="20"/>
          <w:color w:val="3B4852"/>
        </w:rPr>
        <w:t>Preliminary commercial revenue of $13.5 million for the third quarter 2023; full year 2023 guidance confirmed</w:t>
      </w:r>
    </w:p>
    <w:p>
      <w:pPr>
        <w:spacing w:after="0" w:line="13" w:lineRule="exact"/>
        <w:rPr>
          <w:rFonts w:ascii="Arial" w:cs="Arial" w:eastAsia="Arial" w:hAnsi="Arial"/>
          <w:sz w:val="20"/>
          <w:szCs w:val="20"/>
          <w:color w:val="auto"/>
        </w:rPr>
      </w:pPr>
    </w:p>
    <w:p>
      <w:pPr>
        <w:ind w:left="1140" w:hanging="383"/>
        <w:spacing w:after="0" w:line="225" w:lineRule="auto"/>
        <w:tabs>
          <w:tab w:leader="none" w:pos="1140" w:val="left"/>
        </w:tabs>
        <w:numPr>
          <w:ilvl w:val="0"/>
          <w:numId w:val="161"/>
        </w:numPr>
        <w:rPr>
          <w:rFonts w:ascii="Arial" w:cs="Arial" w:eastAsia="Arial" w:hAnsi="Arial"/>
          <w:sz w:val="20"/>
          <w:szCs w:val="20"/>
          <w:color w:val="auto"/>
        </w:rPr>
      </w:pPr>
      <w:r>
        <w:rPr>
          <w:rFonts w:ascii="Arial" w:cs="Arial" w:eastAsia="Arial" w:hAnsi="Arial"/>
          <w:sz w:val="20"/>
          <w:szCs w:val="20"/>
          <w:color w:val="3B4852"/>
        </w:rPr>
        <w:t>$40 million funded at close; $50 million of additional non-dilutive capital available at the Company’s option, based on the achievement of certain revenue thresholds</w:t>
      </w:r>
    </w:p>
    <w:p>
      <w:pPr>
        <w:ind w:left="1140" w:hanging="383"/>
        <w:spacing w:after="0"/>
        <w:tabs>
          <w:tab w:leader="none" w:pos="1140" w:val="left"/>
        </w:tabs>
        <w:numPr>
          <w:ilvl w:val="0"/>
          <w:numId w:val="161"/>
        </w:numPr>
        <w:rPr>
          <w:rFonts w:ascii="Arial" w:cs="Arial" w:eastAsia="Arial" w:hAnsi="Arial"/>
          <w:sz w:val="20"/>
          <w:szCs w:val="20"/>
          <w:color w:val="auto"/>
        </w:rPr>
      </w:pPr>
      <w:r>
        <w:rPr>
          <w:rFonts w:ascii="Arial" w:cs="Arial" w:eastAsia="Arial" w:hAnsi="Arial"/>
          <w:sz w:val="20"/>
          <w:szCs w:val="20"/>
          <w:color w:val="3B4852"/>
        </w:rPr>
        <w:t>Capital from the transaction will support execution of strategic expansion and fuel continued growth</w:t>
      </w:r>
    </w:p>
    <w:p>
      <w:pPr>
        <w:spacing w:after="0" w:line="192"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b w:val="1"/>
          <w:bCs w:val="1"/>
          <w:color w:val="3B4852"/>
        </w:rPr>
        <w:t xml:space="preserve">VALENCIA, Calif., October 18, 2023 (GLOBE NEWSWIRE) </w:t>
      </w:r>
      <w:r>
        <w:rPr>
          <w:rFonts w:ascii="Arial" w:cs="Arial" w:eastAsia="Arial" w:hAnsi="Arial"/>
          <w:sz w:val="20"/>
          <w:szCs w:val="20"/>
          <w:color w:val="3B4852"/>
        </w:rPr>
        <w:t>— AVITA Medical, Inc. (NASDAQ: RCEL, ASX: AVH) (the</w:t>
      </w:r>
      <w:r>
        <w:rPr>
          <w:rFonts w:ascii="Arial" w:cs="Arial" w:eastAsia="Arial" w:hAnsi="Arial"/>
          <w:sz w:val="20"/>
          <w:szCs w:val="20"/>
          <w:b w:val="1"/>
          <w:bCs w:val="1"/>
          <w:color w:val="3B4852"/>
        </w:rPr>
        <w:t xml:space="preserve"> </w:t>
      </w:r>
      <w:r>
        <w:rPr>
          <w:rFonts w:ascii="Arial" w:cs="Arial" w:eastAsia="Arial" w:hAnsi="Arial"/>
          <w:sz w:val="20"/>
          <w:szCs w:val="20"/>
          <w:color w:val="3B4852"/>
        </w:rPr>
        <w:t>“Company”), a regenerative medicine company leading the development and commercialization of first-in-class devices and autologous cellular therapies for skin restoration, today announced third quarter 2023 financial highlights and the closing of a debt financing facility for up to $90 million with OrbiMed, a healthcare investment firm. The non-dilutive capital provides financial flexibility to support portfolio expansion, global initiatives, and the further development and commercialization of approved indications.</w:t>
      </w:r>
    </w:p>
    <w:p>
      <w:pPr>
        <w:spacing w:after="0" w:line="182" w:lineRule="exact"/>
        <w:rPr>
          <w:sz w:val="20"/>
          <w:szCs w:val="20"/>
          <w:color w:val="auto"/>
        </w:rPr>
      </w:pPr>
    </w:p>
    <w:p>
      <w:pPr>
        <w:ind w:right="140"/>
        <w:spacing w:after="0" w:line="255" w:lineRule="auto"/>
        <w:rPr>
          <w:sz w:val="20"/>
          <w:szCs w:val="20"/>
          <w:color w:val="auto"/>
        </w:rPr>
      </w:pPr>
      <w:r>
        <w:rPr>
          <w:rFonts w:ascii="Arial" w:cs="Arial" w:eastAsia="Arial" w:hAnsi="Arial"/>
          <w:sz w:val="19"/>
          <w:szCs w:val="19"/>
          <w:color w:val="3B4852"/>
        </w:rPr>
        <w:t>For the third quarter ended September 30, 2023, preliminary commercial revenue was $13.5 million, a 50% increase compared to approximately $9.0 million for the same period in 2022. Gross margin for the third quarter was approximately 84.5%. Guidance for full year 2023 commercial revenue remains unchanged and is expected to be in the range of $51 to $53 million.</w:t>
      </w:r>
    </w:p>
    <w:p>
      <w:pPr>
        <w:spacing w:after="0" w:line="168" w:lineRule="exact"/>
        <w:rPr>
          <w:sz w:val="20"/>
          <w:szCs w:val="20"/>
          <w:color w:val="auto"/>
        </w:rPr>
      </w:pPr>
    </w:p>
    <w:p>
      <w:pPr>
        <w:ind w:right="120"/>
        <w:spacing w:after="0" w:line="230" w:lineRule="auto"/>
        <w:rPr>
          <w:sz w:val="20"/>
          <w:szCs w:val="20"/>
          <w:color w:val="auto"/>
        </w:rPr>
      </w:pPr>
      <w:r>
        <w:rPr>
          <w:rFonts w:ascii="Arial" w:cs="Arial" w:eastAsia="Arial" w:hAnsi="Arial"/>
          <w:sz w:val="20"/>
          <w:szCs w:val="20"/>
          <w:color w:val="3B4852"/>
        </w:rPr>
        <w:t>Under the terms of the Credit Agreement (the “Credit Agreement”) with OrbiMed, the Company borrowed $40 million at closing. In addition, an aggregate of an additional $50 million is available in two tranches at the Company’s option, based on the achievement of certain revenue thresholds.</w:t>
      </w:r>
    </w:p>
    <w:p>
      <w:pPr>
        <w:spacing w:after="0" w:line="1" w:lineRule="exact"/>
        <w:rPr>
          <w:sz w:val="20"/>
          <w:szCs w:val="20"/>
          <w:color w:val="auto"/>
        </w:rPr>
      </w:pPr>
    </w:p>
    <w:p>
      <w:pPr>
        <w:ind w:right="520"/>
        <w:spacing w:after="0" w:line="236" w:lineRule="auto"/>
        <w:rPr>
          <w:sz w:val="20"/>
          <w:szCs w:val="20"/>
          <w:color w:val="auto"/>
        </w:rPr>
      </w:pPr>
      <w:r>
        <w:rPr>
          <w:rFonts w:ascii="Arial" w:cs="Arial" w:eastAsia="Arial" w:hAnsi="Arial"/>
          <w:sz w:val="20"/>
          <w:szCs w:val="20"/>
          <w:color w:val="3B4852"/>
        </w:rPr>
        <w:t>The Credit Agreement has a five-year term that matures in October 2028. AVITA Medical also issued OrbiMed a warrant to purchase 409,661 shares of the Company’s common stock, with an exercise price of $10.9847.</w:t>
      </w:r>
    </w:p>
    <w:p>
      <w:pPr>
        <w:spacing w:after="0" w:line="182"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3B4852"/>
        </w:rPr>
        <w:t>“After another strong quarter, we are excited to be partnering with OrbiMed,” said Jim Corbett, Chief Executive Officer of AVITA Medical. “This transaction provides us with the capital to execute strategic growth initiatives as we continue to transform our business. We believe this financing provides us with sufficient capital to meet our goals without the near-term need of equity financing and positions us to reach profitability during 2025.”</w:t>
      </w:r>
    </w:p>
    <w:p>
      <w:pPr>
        <w:spacing w:after="0" w:line="183"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3B4852"/>
        </w:rPr>
        <w:t>Matthew Rizzo, General Partner of OrbiMed, added, “We are excited to support AVITA Medical as they pursue their strategic objectives, providing them with the necessary capital for financial flexibility, enabling future portfolio expansion, global initiatives, and the continued advancement and commercialization of their approved indications, solidifying their position as a leader in regenerative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91" w:name="page192"/>
    <w:bookmarkEnd w:id="191"/>
    <w:p>
      <w:pPr>
        <w:ind w:right="60"/>
        <w:spacing w:after="0" w:line="237" w:lineRule="auto"/>
        <w:rPr>
          <w:sz w:val="20"/>
          <w:szCs w:val="20"/>
          <w:color w:val="auto"/>
        </w:rPr>
      </w:pPr>
      <w:r>
        <w:rPr>
          <w:rFonts w:ascii="Arial" w:cs="Arial" w:eastAsia="Arial" w:hAnsi="Arial"/>
          <w:sz w:val="20"/>
          <w:szCs w:val="20"/>
          <w:color w:val="3B4852"/>
        </w:rPr>
        <w:t>Further details regarding the Credit Agreement, Pledge and Security Agreement, and the Warrant are set out in a Form 8-K filed by the Company with the U.S. Securities and Exchange Commission on October 18, 2023 and disclosed on the Australian Securities Exchange.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3B4852"/>
        </w:rPr>
        <w:t>About AVITA Medical, Inc.</w:t>
      </w:r>
    </w:p>
    <w:p>
      <w:pPr>
        <w:spacing w:after="0" w:line="15" w:lineRule="exact"/>
        <w:rPr>
          <w:sz w:val="20"/>
          <w:szCs w:val="20"/>
          <w:color w:val="auto"/>
        </w:rPr>
      </w:pPr>
    </w:p>
    <w:p>
      <w:pPr>
        <w:ind w:right="40"/>
        <w:spacing w:after="0" w:line="207" w:lineRule="auto"/>
        <w:rPr>
          <w:sz w:val="20"/>
          <w:szCs w:val="20"/>
          <w:color w:val="auto"/>
        </w:rPr>
      </w:pPr>
      <w:r>
        <w:rPr>
          <w:rFonts w:ascii="Arial" w:cs="Arial" w:eastAsia="Arial" w:hAnsi="Arial"/>
          <w:sz w:val="20"/>
          <w:szCs w:val="20"/>
          <w:color w:val="3B4852"/>
        </w:rPr>
        <w:t>AVITA Medical</w:t>
      </w:r>
      <w:r>
        <w:rPr>
          <w:rFonts w:ascii="Arial" w:cs="Arial" w:eastAsia="Arial" w:hAnsi="Arial"/>
          <w:sz w:val="26"/>
          <w:szCs w:val="26"/>
          <w:color w:val="3B4852"/>
          <w:vertAlign w:val="superscript"/>
        </w:rPr>
        <w:t>®</w:t>
      </w:r>
      <w:r>
        <w:rPr>
          <w:rFonts w:ascii="Arial" w:cs="Arial" w:eastAsia="Arial" w:hAnsi="Arial"/>
          <w:sz w:val="20"/>
          <w:szCs w:val="20"/>
          <w:color w:val="3B4852"/>
        </w:rPr>
        <w:t xml:space="preserve"> is a regenerative medicine company leading the development and commercialization of devices and autologous cellular therapies for skin restoration. The RECELL</w:t>
      </w:r>
      <w:r>
        <w:rPr>
          <w:rFonts w:ascii="Arial" w:cs="Arial" w:eastAsia="Arial" w:hAnsi="Arial"/>
          <w:sz w:val="26"/>
          <w:szCs w:val="26"/>
          <w:color w:val="3B4852"/>
          <w:vertAlign w:val="superscript"/>
        </w:rPr>
        <w:t>®</w:t>
      </w:r>
      <w:r>
        <w:rPr>
          <w:rFonts w:ascii="Arial" w:cs="Arial" w:eastAsia="Arial" w:hAnsi="Arial"/>
          <w:sz w:val="20"/>
          <w:szCs w:val="20"/>
          <w:color w:val="3B4852"/>
        </w:rPr>
        <w:t xml:space="preserve"> System technology platform, approved by the Food and Drug Administration for the treatment of thermal burn wounds and full-thickness skin defects and for repigmentation of stable depigmented vitiligo lesions, harnesses the regenerative properties of a patient’s own skin to create Spray-On Skin</w:t>
      </w:r>
      <w:r>
        <w:rPr>
          <w:rFonts w:ascii="Arial" w:cs="Arial" w:eastAsia="Arial" w:hAnsi="Arial"/>
          <w:sz w:val="26"/>
          <w:szCs w:val="26"/>
          <w:color w:val="3B4852"/>
          <w:vertAlign w:val="superscript"/>
        </w:rPr>
        <w:t>™</w:t>
      </w:r>
      <w:r>
        <w:rPr>
          <w:rFonts w:ascii="Arial" w:cs="Arial" w:eastAsia="Arial" w:hAnsi="Arial"/>
          <w:sz w:val="20"/>
          <w:szCs w:val="20"/>
          <w:color w:val="3B4852"/>
        </w:rPr>
        <w:t xml:space="preserve"> cells. Delivered at the point-of-care, RECELL enables improved clinical outcomes. RECELL is the catalyst of a new treatment paradigm and AVITA Medical is leveraging its proven and differentiated capabilities to develop first-in-class cellular therapies for multiple indications.</w:t>
      </w:r>
    </w:p>
    <w:p>
      <w:pPr>
        <w:spacing w:after="0" w:line="182"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3B4852"/>
        </w:rPr>
        <w:t>In international markets, our products are approved under the RECELL System brand to promote skin healing in a wide range of applications including burns, full-thickness skin defects and vitiligo. The RECELL System is TGA-registered in Australia, received CE-mark approval in Europe and has PMDA approval in Japan.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3B4852"/>
        </w:rPr>
        <w:t>To learn more, visit </w:t>
      </w:r>
      <w:r>
        <w:rPr>
          <w:rFonts w:ascii="Arial" w:cs="Arial" w:eastAsia="Arial" w:hAnsi="Arial"/>
          <w:sz w:val="20"/>
          <w:szCs w:val="20"/>
          <w:color w:val="000000"/>
        </w:rPr>
        <w:t>www.avitamedical.com</w:t>
      </w:r>
      <w:r>
        <w:rPr>
          <w:rFonts w:ascii="Arial" w:cs="Arial" w:eastAsia="Arial" w:hAnsi="Arial"/>
          <w:sz w:val="20"/>
          <w:szCs w:val="20"/>
          <w:color w:val="3B4852"/>
        </w:rPr>
        <w: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3B4852"/>
        </w:rPr>
        <w:t>About OrbiMed</w:t>
      </w:r>
    </w:p>
    <w:p>
      <w:pPr>
        <w:spacing w:after="0" w:line="10"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3B4852"/>
        </w:rPr>
        <w:t>OrbiMed is a healthcare investment firm, with approximately $17 billion in assets under management. OrbiMed invests globally across the healthcare industry through a range of private equity funds, public equity funds, and royalty/credit funds. OrbiMed’s team of over 100 professionals is based in New York City, San Francisco, Shanghai, Hong Kong, Mumbai, London, Herzliya and other key global markets.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3B4852"/>
        </w:rPr>
        <w:t>Forward-Looking Statements</w:t>
      </w:r>
    </w:p>
    <w:p>
      <w:pPr>
        <w:spacing w:after="0" w:line="10" w:lineRule="exact"/>
        <w:rPr>
          <w:sz w:val="20"/>
          <w:szCs w:val="20"/>
          <w:color w:val="auto"/>
        </w:rPr>
      </w:pPr>
    </w:p>
    <w:p>
      <w:pPr>
        <w:spacing w:after="0" w:line="226" w:lineRule="auto"/>
        <w:rPr>
          <w:sz w:val="20"/>
          <w:szCs w:val="20"/>
          <w:color w:val="auto"/>
        </w:rPr>
      </w:pPr>
      <w:r>
        <w:rPr>
          <w:rFonts w:ascii="Arial" w:cs="Arial" w:eastAsia="Arial" w:hAnsi="Arial"/>
          <w:sz w:val="20"/>
          <w:szCs w:val="20"/>
          <w:i w:val="1"/>
          <w:iCs w:val="1"/>
          <w:color w:val="3B4852"/>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press release is subject to risks and uncertainties that could cause actual results to differ materially from those expressed or implied by such statements. Applicable risks and uncertainties include, among others, the timing and realization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3"/>
          <w:szCs w:val="13"/>
          <w:color w:val="2B3486"/>
        </w:rPr>
        <w:t xml:space="preserve">P </w:t>
      </w:r>
      <w:r>
        <w:rPr>
          <w:rFonts w:ascii="Arial" w:cs="Arial" w:eastAsia="Arial" w:hAnsi="Arial"/>
          <w:sz w:val="17"/>
          <w:szCs w:val="17"/>
          <w:color w:val="2B348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92" w:name="page193"/>
    <w:bookmarkEnd w:id="192"/>
    <w:p>
      <w:pPr>
        <w:spacing w:after="0"/>
        <w:rPr>
          <w:sz w:val="20"/>
          <w:szCs w:val="20"/>
          <w:color w:val="auto"/>
        </w:rPr>
      </w:pPr>
      <w:r>
        <w:rPr>
          <w:rFonts w:ascii="Arial" w:cs="Arial" w:eastAsia="Arial" w:hAnsi="Arial"/>
          <w:sz w:val="20"/>
          <w:szCs w:val="20"/>
          <w:b w:val="1"/>
          <w:bCs w:val="1"/>
          <w:color w:val="3B4852"/>
        </w:rPr>
        <w:t>Investor &amp; Media Contact:</w:t>
      </w:r>
    </w:p>
    <w:p>
      <w:pPr>
        <w:spacing w:after="0" w:line="235" w:lineRule="auto"/>
        <w:rPr>
          <w:sz w:val="20"/>
          <w:szCs w:val="20"/>
          <w:color w:val="auto"/>
        </w:rPr>
      </w:pPr>
      <w:r>
        <w:rPr>
          <w:rFonts w:ascii="Arial" w:cs="Arial" w:eastAsia="Arial" w:hAnsi="Arial"/>
          <w:sz w:val="20"/>
          <w:szCs w:val="20"/>
          <w:color w:val="3B4852"/>
        </w:rPr>
        <w:t>Jessica Ekeberg</w:t>
      </w:r>
    </w:p>
    <w:p>
      <w:pPr>
        <w:spacing w:after="0" w:line="226" w:lineRule="auto"/>
        <w:rPr>
          <w:sz w:val="20"/>
          <w:szCs w:val="20"/>
          <w:color w:val="auto"/>
        </w:rPr>
      </w:pPr>
      <w:r>
        <w:rPr>
          <w:rFonts w:ascii="Arial" w:cs="Arial" w:eastAsia="Arial" w:hAnsi="Arial"/>
          <w:sz w:val="20"/>
          <w:szCs w:val="20"/>
          <w:color w:val="3B4852"/>
        </w:rPr>
        <w:t>Phone +1-661-904-9269</w:t>
      </w:r>
    </w:p>
    <w:p>
      <w:pPr>
        <w:spacing w:after="0" w:line="225" w:lineRule="auto"/>
        <w:rPr>
          <w:sz w:val="20"/>
          <w:szCs w:val="20"/>
          <w:color w:val="auto"/>
        </w:rPr>
      </w:pPr>
      <w:r>
        <w:rPr>
          <w:rFonts w:ascii="Arial" w:cs="Arial" w:eastAsia="Arial" w:hAnsi="Arial"/>
          <w:sz w:val="20"/>
          <w:szCs w:val="20"/>
          <w:color w:val="3B4852"/>
        </w:rPr>
        <w:t>investor@avitamedical.com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3B4852"/>
        </w:rPr>
        <w:t>media@avitamedical.com</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3B4852"/>
        </w:rPr>
        <w:t>Authorized for release by the Chief Financial Officer of AVITA Medical, Inc.</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3"/>
          <w:szCs w:val="13"/>
          <w:color w:val="2B3486"/>
        </w:rPr>
        <w:t xml:space="preserve">P </w:t>
      </w:r>
      <w:r>
        <w:rPr>
          <w:rFonts w:ascii="Arial" w:cs="Arial" w:eastAsia="Arial" w:hAnsi="Arial"/>
          <w:sz w:val="17"/>
          <w:szCs w:val="17"/>
          <w:color w:val="2B348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93" w:name="page194"/>
    <w:bookmarkEnd w:id="1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1)"/>
      <w:numFmt w:val="decimal"/>
      <w:start w:val="10"/>
    </w:lvl>
  </w:abstractNum>
  <w:abstractNum w:abstractNumId="2">
    <w:nsid w:val="14330624"/>
    <w:multiLevelType w:val="hybridMultilevel"/>
    <w:lvl w:ilvl="0">
      <w:lvlJc w:val="left"/>
      <w:lvlText w:val="(%1)"/>
      <w:numFmt w:val="lowerLetter"/>
      <w:start w:val="1"/>
    </w:lvl>
    <w:lvl w:ilvl="1">
      <w:lvlJc w:val="left"/>
      <w:lvlText w:val="(%2)"/>
      <w:numFmt w:val="lowerRoman"/>
      <w:start w:val="1"/>
    </w:lvl>
  </w:abstractNum>
  <w:abstractNum w:abstractNumId="3">
    <w:nsid w:val="7FFFCA11"/>
    <w:multiLevelType w:val="hybridMultilevel"/>
    <w:lvl w:ilvl="0">
      <w:lvlJc w:val="left"/>
      <w:lvlText w:val="(%1)"/>
      <w:numFmt w:val="lowerLetter"/>
      <w:start w:val="2"/>
    </w:lvl>
    <w:lvl w:ilvl="1">
      <w:lvlJc w:val="left"/>
      <w:lvlText w:val="(%2)"/>
      <w:numFmt w:val="lowerRoman"/>
      <w:start w:val="1"/>
    </w:lvl>
  </w:abstractNum>
  <w:abstractNum w:abstractNumId="4">
    <w:nsid w:val="1A27709E"/>
    <w:multiLevelType w:val="hybridMultilevel"/>
    <w:lvl w:ilvl="0">
      <w:lvlJc w:val="left"/>
      <w:lvlText w:val="(%1)"/>
      <w:numFmt w:val="lowerLetter"/>
      <w:start w:val="3"/>
    </w:lvl>
  </w:abstractNum>
  <w:abstractNum w:abstractNumId="5">
    <w:nsid w:val="71EA1109"/>
    <w:multiLevelType w:val="hybridMultilevel"/>
    <w:lvl w:ilvl="0">
      <w:lvlJc w:val="left"/>
      <w:lvlText w:val="(%1)"/>
      <w:numFmt w:val="lowerLetter"/>
      <w:start w:val="6"/>
    </w:lvl>
    <w:lvl w:ilvl="1">
      <w:lvlJc w:val="left"/>
      <w:lvlText w:val="(%2)"/>
      <w:numFmt w:val="lowerRoman"/>
      <w:start w:val="1"/>
    </w:lvl>
  </w:abstractNum>
  <w:abstractNum w:abstractNumId="6">
    <w:nsid w:val="100F59DC"/>
    <w:multiLevelType w:val="hybridMultilevel"/>
    <w:lvl w:ilvl="0">
      <w:lvlJc w:val="left"/>
      <w:lvlText w:val="%1"/>
      <w:numFmt w:val="lowerLetter"/>
      <w:start w:val="1"/>
    </w:lvl>
    <w:lvl w:ilvl="1">
      <w:lvlJc w:val="left"/>
      <w:lvlText w:val="(%2)"/>
      <w:numFmt w:val="lowerLetter"/>
      <w:start w:val="61"/>
    </w:lvl>
  </w:abstractNum>
  <w:abstractNum w:abstractNumId="7">
    <w:nsid w:val="7FB7E0AA"/>
    <w:multiLevelType w:val="hybridMultilevel"/>
    <w:lvl w:ilvl="0">
      <w:lvlJc w:val="left"/>
      <w:lvlText w:val="(%1)"/>
      <w:numFmt w:val="lowerLetter"/>
      <w:start w:val="25"/>
    </w:lvl>
    <w:lvl w:ilvl="1">
      <w:lvlJc w:val="left"/>
      <w:lvlText w:val="%2"/>
      <w:numFmt w:val="lowerLetter"/>
      <w:start w:val="1"/>
    </w:lvl>
  </w:abstractNum>
  <w:abstractNum w:abstractNumId="8">
    <w:nsid w:val="6EB5BD4"/>
    <w:multiLevelType w:val="hybridMultilevel"/>
    <w:lvl w:ilvl="0">
      <w:lvlJc w:val="left"/>
      <w:lvlText w:val="%1"/>
      <w:numFmt w:val="lowerLetter"/>
      <w:start w:val="1"/>
    </w:lvl>
    <w:lvl w:ilvl="1">
      <w:lvlJc w:val="left"/>
      <w:lvlText w:val="(%2)"/>
      <w:numFmt w:val="lowerRoman"/>
      <w:start w:val="4"/>
    </w:lvl>
  </w:abstractNum>
  <w:abstractNum w:abstractNumId="9">
    <w:nsid w:val="6F6DD9AC"/>
    <w:multiLevelType w:val="hybridMultilevel"/>
    <w:lvl w:ilvl="0">
      <w:lvlJc w:val="left"/>
      <w:lvlText w:val="(%1)"/>
      <w:numFmt w:val="lowerLetter"/>
      <w:start w:val="8"/>
    </w:lvl>
    <w:lvl w:ilvl="1">
      <w:lvlJc w:val="left"/>
      <w:lvlText w:val="%2"/>
      <w:numFmt w:val="lowerRoman"/>
      <w:start w:val="1"/>
    </w:lvl>
  </w:abstractNum>
  <w:abstractNum w:abstractNumId="10">
    <w:nsid w:val="94211F2"/>
    <w:multiLevelType w:val="hybridMultilevel"/>
    <w:lvl w:ilvl="0">
      <w:lvlJc w:val="left"/>
      <w:lvlText w:val="%1"/>
      <w:numFmt w:val="lowerLetter"/>
      <w:start w:val="1"/>
    </w:lvl>
    <w:lvl w:ilvl="1">
      <w:lvlJc w:val="left"/>
      <w:lvlText w:val="(%2)"/>
      <w:numFmt w:val="lowerLetter"/>
      <w:start w:val="11"/>
    </w:lvl>
  </w:abstractNum>
  <w:abstractNum w:abstractNumId="11">
    <w:nsid w:val="885E1B"/>
    <w:multiLevelType w:val="hybridMultilevel"/>
    <w:lvl w:ilvl="0">
      <w:lvlJc w:val="left"/>
      <w:lvlText w:val="(%1)"/>
      <w:numFmt w:val="lowerLetter"/>
      <w:start w:val="35"/>
    </w:lvl>
    <w:lvl w:ilvl="1">
      <w:lvlJc w:val="left"/>
      <w:lvlText w:val="(%2)"/>
      <w:numFmt w:val="lowerLetter"/>
      <w:start w:val="12"/>
    </w:lvl>
  </w:abstractNum>
  <w:abstractNum w:abstractNumId="12">
    <w:nsid w:val="76272110"/>
    <w:multiLevelType w:val="hybridMultilevel"/>
    <w:lvl w:ilvl="0">
      <w:lvlJc w:val="left"/>
      <w:lvlText w:val="(%1)"/>
      <w:numFmt w:val="decimal"/>
      <w:start w:val="1"/>
    </w:lvl>
    <w:lvl w:ilvl="1">
      <w:lvlJc w:val="left"/>
      <w:lvlText w:val="(%2)"/>
      <w:numFmt w:val="lowerLetter"/>
      <w:start w:val="1"/>
    </w:lvl>
  </w:abstractNum>
  <w:abstractNum w:abstractNumId="13">
    <w:nsid w:val="4C04A8AF"/>
    <w:multiLevelType w:val="hybridMultilevel"/>
    <w:lvl w:ilvl="0">
      <w:lvlJc w:val="left"/>
      <w:lvlText w:val="(%1)"/>
      <w:numFmt w:val="lowerRoman"/>
      <w:start w:val="1"/>
    </w:lvl>
  </w:abstractNum>
  <w:abstractNum w:abstractNumId="14">
    <w:nsid w:val="1716703B"/>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5">
    <w:nsid w:val="14E17E3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6">
    <w:nsid w:val="3222E7CD"/>
    <w:multiLevelType w:val="hybridMultilevel"/>
    <w:lvl w:ilvl="0">
      <w:lvlJc w:val="left"/>
      <w:lvlText w:val="%1"/>
      <w:numFmt w:val="lowerLetter"/>
      <w:start w:val="1"/>
    </w:lvl>
    <w:lvl w:ilvl="1">
      <w:lvlJc w:val="left"/>
      <w:lvlText w:val="(%2)"/>
      <w:numFmt w:val="lowerLetter"/>
      <w:start w:val="35"/>
    </w:lvl>
  </w:abstractNum>
  <w:abstractNum w:abstractNumId="17">
    <w:nsid w:val="74DE0EE3"/>
    <w:multiLevelType w:val="hybridMultilevel"/>
    <w:lvl w:ilvl="0">
      <w:lvlJc w:val="left"/>
      <w:lvlText w:val="(%1)"/>
      <w:numFmt w:val="lowerLetter"/>
      <w:start w:val="5"/>
    </w:lvl>
    <w:lvl w:ilvl="1">
      <w:lvlJc w:val="left"/>
      <w:lvlText w:val="(%2)"/>
      <w:numFmt w:val="lowerLetter"/>
      <w:start w:val="9"/>
    </w:lvl>
  </w:abstractNum>
  <w:abstractNum w:abstractNumId="18">
    <w:nsid w:val="68EBC550"/>
    <w:multiLevelType w:val="hybridMultilevel"/>
    <w:lvl w:ilvl="0">
      <w:lvlJc w:val="left"/>
      <w:lvlText w:val="(%1)"/>
      <w:numFmt w:val="lowerRoman"/>
      <w:start w:val="2"/>
    </w:lvl>
  </w:abstractNum>
  <w:abstractNum w:abstractNumId="19">
    <w:nsid w:val="2DF6D648"/>
    <w:multiLevelType w:val="hybridMultilevel"/>
    <w:lvl w:ilvl="0">
      <w:lvlJc w:val="left"/>
      <w:lvlText w:val="(%1)"/>
      <w:numFmt w:val="decimal"/>
      <w:start w:val="2"/>
    </w:lvl>
  </w:abstractNum>
  <w:abstractNum w:abstractNumId="20">
    <w:nsid w:val="46B7D447"/>
    <w:multiLevelType w:val="hybridMultilevel"/>
    <w:lvl w:ilvl="0">
      <w:lvlJc w:val="left"/>
      <w:lvlText w:val="(%1)"/>
      <w:numFmt w:val="lowerLetter"/>
      <w:start w:val="1"/>
    </w:lvl>
  </w:abstractNum>
  <w:abstractNum w:abstractNumId="21">
    <w:nsid w:val="4A2AC315"/>
    <w:multiLevelType w:val="hybridMultilevel"/>
    <w:lvl w:ilvl="0">
      <w:lvlJc w:val="left"/>
      <w:lvlText w:val="(%1)"/>
      <w:numFmt w:val="lowerLetter"/>
      <w:start w:val="1"/>
    </w:lvl>
  </w:abstractNum>
  <w:abstractNum w:abstractNumId="22">
    <w:nsid w:val="39EE015C"/>
    <w:multiLevelType w:val="hybridMultilevel"/>
    <w:lvl w:ilvl="0">
      <w:lvlJc w:val="left"/>
      <w:lvlText w:val="(%1)"/>
      <w:numFmt w:val="lowerLetter"/>
      <w:start w:val="1"/>
    </w:lvl>
  </w:abstractNum>
  <w:abstractNum w:abstractNumId="23">
    <w:nsid w:val="57FC4FBB"/>
    <w:multiLevelType w:val="hybridMultilevel"/>
    <w:lvl w:ilvl="0">
      <w:lvlJc w:val="left"/>
      <w:lvlText w:val="(%1)"/>
      <w:numFmt w:val="lowerLetter"/>
      <w:start w:val="1"/>
    </w:lvl>
  </w:abstractNum>
  <w:abstractNum w:abstractNumId="24">
    <w:nsid w:val="CC1016F"/>
    <w:multiLevelType w:val="hybridMultilevel"/>
    <w:lvl w:ilvl="0">
      <w:lvlJc w:val="left"/>
      <w:lvlText w:val="(%1)"/>
      <w:numFmt w:val="lowerLetter"/>
      <w:start w:val="7"/>
    </w:lvl>
  </w:abstractNum>
  <w:abstractNum w:abstractNumId="25">
    <w:nsid w:val="43F18422"/>
    <w:multiLevelType w:val="hybridMultilevel"/>
    <w:lvl w:ilvl="0">
      <w:lvlJc w:val="left"/>
      <w:lvlText w:val="%1."/>
      <w:numFmt w:val="decimal"/>
      <w:start w:val="1"/>
    </w:lvl>
  </w:abstractNum>
  <w:abstractNum w:abstractNumId="26">
    <w:nsid w:val="60EF0119"/>
    <w:multiLevelType w:val="hybridMultilevel"/>
    <w:lvl w:ilvl="0">
      <w:lvlJc w:val="left"/>
      <w:lvlText w:val="(%1)"/>
      <w:numFmt w:val="lowerRoman"/>
      <w:start w:val="6"/>
    </w:lvl>
  </w:abstractNum>
  <w:abstractNum w:abstractNumId="27">
    <w:nsid w:val="26F324BA"/>
    <w:multiLevelType w:val="hybridMultilevel"/>
    <w:lvl w:ilvl="0">
      <w:lvlJc w:val="left"/>
      <w:lvlText w:val="(%1)"/>
      <w:numFmt w:val="lowerLetter"/>
      <w:start w:val="1"/>
    </w:lvl>
  </w:abstractNum>
  <w:abstractNum w:abstractNumId="28">
    <w:nsid w:val="7F01579B"/>
    <w:multiLevelType w:val="hybridMultilevel"/>
    <w:lvl w:ilvl="0">
      <w:lvlJc w:val="left"/>
      <w:lvlText w:val="(%1)"/>
      <w:numFmt w:val="lowerRoman"/>
      <w:start w:val="1"/>
    </w:lvl>
  </w:abstractNum>
  <w:abstractNum w:abstractNumId="29">
    <w:nsid w:val="49DA307D"/>
    <w:multiLevelType w:val="hybridMultilevel"/>
    <w:lvl w:ilvl="0">
      <w:lvlJc w:val="left"/>
      <w:lvlText w:val="(%1)"/>
      <w:numFmt w:val="lowerLetter"/>
      <w:start w:val="1"/>
    </w:lvl>
    <w:lvl w:ilvl="1">
      <w:lvlJc w:val="left"/>
      <w:lvlText w:val="-"/>
      <w:numFmt w:val="bullet"/>
      <w:start w:val="1"/>
    </w:lvl>
  </w:abstractNum>
  <w:abstractNum w:abstractNumId="30">
    <w:nsid w:val="7055A5F5"/>
    <w:multiLevelType w:val="hybridMultilevel"/>
    <w:lvl w:ilvl="0">
      <w:lvlJc w:val="left"/>
      <w:lvlText w:val="(%1)"/>
      <w:numFmt w:val="lowerRoman"/>
      <w:start w:val="2"/>
    </w:lvl>
    <w:lvl w:ilvl="1">
      <w:lvlJc w:val="left"/>
      <w:lvlText w:val="-"/>
      <w:numFmt w:val="bullet"/>
      <w:start w:val="1"/>
    </w:lvl>
  </w:abstractNum>
  <w:abstractNum w:abstractNumId="31">
    <w:nsid w:val="5FB8370B"/>
    <w:multiLevelType w:val="hybridMultilevel"/>
    <w:lvl w:ilvl="0">
      <w:lvlJc w:val="left"/>
      <w:lvlText w:val="(%1)"/>
      <w:numFmt w:val="decimal"/>
      <w:start w:val="10"/>
    </w:lvl>
  </w:abstractNum>
  <w:abstractNum w:abstractNumId="32">
    <w:nsid w:val="50801EE1"/>
    <w:multiLevelType w:val="hybridMultilevel"/>
    <w:lvl w:ilvl="0">
      <w:lvlJc w:val="left"/>
      <w:lvlText w:val="%1"/>
      <w:numFmt w:val="lowerLetter"/>
      <w:start w:val="1"/>
    </w:lvl>
    <w:lvl w:ilvl="1">
      <w:lvlJc w:val="left"/>
      <w:lvlText w:val="(%2)"/>
      <w:numFmt w:val="lowerLetter"/>
      <w:start w:val="1"/>
    </w:lvl>
  </w:abstractNum>
  <w:abstractNum w:abstractNumId="33">
    <w:nsid w:val="488AC1A"/>
    <w:multiLevelType w:val="hybridMultilevel"/>
    <w:lvl w:ilvl="0">
      <w:lvlJc w:val="left"/>
      <w:lvlText w:val="(%1)"/>
      <w:numFmt w:val="lowerLetter"/>
      <w:start w:val="35"/>
    </w:lvl>
    <w:lvl w:ilvl="1">
      <w:lvlJc w:val="left"/>
      <w:lvlText w:val="%2"/>
      <w:numFmt w:val="lowerLetter"/>
      <w:start w:val="1"/>
    </w:lvl>
  </w:abstractNum>
  <w:abstractNum w:abstractNumId="34">
    <w:nsid w:val="5FB8011C"/>
    <w:multiLevelType w:val="hybridMultilevel"/>
    <w:lvl w:ilvl="0">
      <w:lvlJc w:val="left"/>
      <w:lvlText w:val="(%1)"/>
      <w:numFmt w:val="lowerLetter"/>
      <w:start w:val="1"/>
    </w:lvl>
    <w:lvl w:ilvl="1">
      <w:lvlJc w:val="left"/>
      <w:lvlText w:val="-"/>
      <w:numFmt w:val="bullet"/>
      <w:start w:val="1"/>
    </w:lvl>
  </w:abstractNum>
  <w:abstractNum w:abstractNumId="35">
    <w:nsid w:val="6AA78F7F"/>
    <w:multiLevelType w:val="hybridMultilevel"/>
    <w:lvl w:ilvl="0">
      <w:lvlJc w:val="left"/>
      <w:lvlText w:val="(%1)"/>
      <w:numFmt w:val="lowerLetter"/>
      <w:start w:val="1"/>
    </w:lvl>
    <w:lvl w:ilvl="1">
      <w:lvlJc w:val="left"/>
      <w:lvlText w:val="-"/>
      <w:numFmt w:val="bullet"/>
      <w:start w:val="1"/>
    </w:lvl>
  </w:abstractNum>
  <w:abstractNum w:abstractNumId="36">
    <w:nsid w:val="7672BD23"/>
    <w:multiLevelType w:val="hybridMultilevel"/>
    <w:lvl w:ilvl="0">
      <w:lvlJc w:val="left"/>
      <w:lvlText w:val="(%1)"/>
      <w:numFmt w:val="lowerLetter"/>
      <w:start w:val="3"/>
    </w:lvl>
  </w:abstractNum>
  <w:abstractNum w:abstractNumId="37">
    <w:nsid w:val="6FC75AF8"/>
    <w:multiLevelType w:val="hybridMultilevel"/>
    <w:lvl w:ilvl="0">
      <w:lvlJc w:val="left"/>
      <w:lvlText w:val="(%1)"/>
      <w:numFmt w:val="lowerLetter"/>
      <w:start w:val="1"/>
    </w:lvl>
  </w:abstractNum>
  <w:abstractNum w:abstractNumId="38">
    <w:nsid w:val="6A5F7029"/>
    <w:multiLevelType w:val="hybridMultilevel"/>
    <w:lvl w:ilvl="0">
      <w:lvlJc w:val="left"/>
      <w:lvlText w:val="(%1)"/>
      <w:numFmt w:val="lowerLetter"/>
      <w:start w:val="1"/>
    </w:lvl>
  </w:abstractNum>
  <w:abstractNum w:abstractNumId="39">
    <w:nsid w:val="7D5E18F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0">
    <w:nsid w:val="5F3534A4"/>
    <w:multiLevelType w:val="hybridMultilevel"/>
    <w:lvl w:ilvl="0">
      <w:lvlJc w:val="left"/>
      <w:lvlText w:val="(%1)"/>
      <w:numFmt w:val="lowerLetter"/>
      <w:start w:val="5"/>
    </w:lvl>
  </w:abstractNum>
  <w:abstractNum w:abstractNumId="41">
    <w:nsid w:val="73A1821B"/>
    <w:multiLevelType w:val="hybridMultilevel"/>
    <w:lvl w:ilvl="0">
      <w:lvlJc w:val="left"/>
      <w:lvlText w:val="(%1)"/>
      <w:numFmt w:val="lowerLetter"/>
      <w:start w:val="1"/>
    </w:lvl>
    <w:lvl w:ilvl="1">
      <w:lvlJc w:val="left"/>
      <w:lvlText w:val="-"/>
      <w:numFmt w:val="bullet"/>
      <w:start w:val="1"/>
    </w:lvl>
  </w:abstractNum>
  <w:abstractNum w:abstractNumId="42">
    <w:nsid w:val="7DE67713"/>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43">
    <w:nsid w:val="555C55B5"/>
    <w:multiLevelType w:val="hybridMultilevel"/>
    <w:lvl w:ilvl="0">
      <w:lvlJc w:val="left"/>
      <w:lvlText w:val="(%1)"/>
      <w:numFmt w:val="lowerLetter"/>
      <w:start w:val="1"/>
    </w:lvl>
    <w:lvl w:ilvl="1">
      <w:lvlJc w:val="left"/>
      <w:lvlText w:val="-"/>
      <w:numFmt w:val="bullet"/>
      <w:start w:val="1"/>
    </w:lvl>
  </w:abstractNum>
  <w:abstractNum w:abstractNumId="44">
    <w:nsid w:val="3FA62ACA"/>
    <w:multiLevelType w:val="hybridMultilevel"/>
    <w:lvl w:ilvl="0">
      <w:lvlJc w:val="left"/>
      <w:lvlText w:val="(%1)"/>
      <w:numFmt w:val="lowerLetter"/>
      <w:start w:val="1"/>
    </w:lvl>
  </w:abstractNum>
  <w:abstractNum w:abstractNumId="45">
    <w:nsid w:val="14FCE74E"/>
    <w:multiLevelType w:val="hybridMultilevel"/>
    <w:lvl w:ilvl="0">
      <w:lvlJc w:val="left"/>
      <w:lvlText w:val="(%1)"/>
      <w:numFmt w:val="lowerLetter"/>
      <w:start w:val="1"/>
    </w:lvl>
    <w:lvl w:ilvl="1">
      <w:lvlJc w:val="left"/>
      <w:lvlText w:val="-"/>
      <w:numFmt w:val="bullet"/>
      <w:start w:val="1"/>
    </w:lvl>
  </w:abstractNum>
  <w:abstractNum w:abstractNumId="46">
    <w:nsid w:val="6A3DD3E8"/>
    <w:multiLevelType w:val="hybridMultilevel"/>
    <w:lvl w:ilvl="0">
      <w:lvlJc w:val="left"/>
      <w:lvlText w:val="(%1)"/>
      <w:numFmt w:val="lowerLetter"/>
      <w:start w:val="2"/>
    </w:lvl>
  </w:abstractNum>
  <w:abstractNum w:abstractNumId="47">
    <w:nsid w:val="71C91298"/>
    <w:multiLevelType w:val="hybridMultilevel"/>
    <w:lvl w:ilvl="0">
      <w:lvlJc w:val="left"/>
      <w:lvlText w:val="(%1)"/>
      <w:numFmt w:val="lowerLetter"/>
      <w:start w:val="1"/>
    </w:lvl>
    <w:lvl w:ilvl="1">
      <w:lvlJc w:val="left"/>
      <w:lvlText w:val="-"/>
      <w:numFmt w:val="bullet"/>
      <w:start w:val="1"/>
    </w:lvl>
  </w:abstractNum>
  <w:abstractNum w:abstractNumId="48">
    <w:nsid w:val="9DAF632"/>
    <w:multiLevelType w:val="hybridMultilevel"/>
    <w:lvl w:ilvl="0">
      <w:lvlJc w:val="left"/>
      <w:lvlText w:val="(%1)"/>
      <w:numFmt w:val="lowerLetter"/>
      <w:start w:val="35"/>
    </w:lvl>
    <w:lvl w:ilvl="1">
      <w:lvlJc w:val="left"/>
      <w:lvlText w:val="(%2)"/>
      <w:numFmt w:val="lowerLetter"/>
      <w:start w:val="4"/>
    </w:lvl>
  </w:abstractNum>
  <w:abstractNum w:abstractNumId="49">
    <w:nsid w:val="53299938"/>
    <w:multiLevelType w:val="hybridMultilevel"/>
    <w:lvl w:ilvl="0">
      <w:lvlJc w:val="left"/>
      <w:lvlText w:val="(%1)"/>
      <w:numFmt w:val="lowerLetter"/>
      <w:start w:val="1"/>
    </w:lvl>
  </w:abstractNum>
  <w:abstractNum w:abstractNumId="50">
    <w:nsid w:val="1FBFE8E0"/>
    <w:multiLevelType w:val="hybridMultilevel"/>
    <w:lvl w:ilvl="0">
      <w:lvlJc w:val="left"/>
      <w:lvlText w:val="(%1)"/>
      <w:numFmt w:val="lowerLetter"/>
      <w:start w:val="1"/>
    </w:lvl>
  </w:abstractNum>
  <w:abstractNum w:abstractNumId="51">
    <w:nsid w:val="5092CA79"/>
    <w:multiLevelType w:val="hybridMultilevel"/>
    <w:lvl w:ilvl="0">
      <w:lvlJc w:val="left"/>
      <w:lvlText w:val="(%1)"/>
      <w:numFmt w:val="lowerLetter"/>
      <w:start w:val="1"/>
    </w:lvl>
  </w:abstractNum>
  <w:abstractNum w:abstractNumId="52">
    <w:nsid w:val="1D545C4D"/>
    <w:multiLevelType w:val="hybridMultilevel"/>
    <w:lvl w:ilvl="0">
      <w:lvlJc w:val="left"/>
      <w:lvlText w:val="(%1)"/>
      <w:numFmt w:val="lowerLetter"/>
      <w:start w:val="1"/>
    </w:lvl>
  </w:abstractNum>
  <w:abstractNum w:abstractNumId="53">
    <w:nsid w:val="59ADEA3D"/>
    <w:multiLevelType w:val="hybridMultilevel"/>
    <w:lvl w:ilvl="0">
      <w:lvlJc w:val="left"/>
      <w:lvlText w:val="(%1)"/>
      <w:numFmt w:val="lowerLetter"/>
      <w:start w:val="1"/>
    </w:lvl>
    <w:lvl w:ilvl="1">
      <w:lvlJc w:val="left"/>
      <w:lvlText w:val="-"/>
      <w:numFmt w:val="bullet"/>
      <w:start w:val="1"/>
    </w:lvl>
  </w:abstractNum>
  <w:abstractNum w:abstractNumId="54">
    <w:nsid w:val="288F1A34"/>
    <w:multiLevelType w:val="hybridMultilevel"/>
    <w:lvl w:ilvl="0">
      <w:lvlJc w:val="left"/>
      <w:lvlText w:val="(%1)"/>
      <w:numFmt w:val="lowerLetter"/>
      <w:start w:val="2"/>
    </w:lvl>
    <w:lvl w:ilvl="1">
      <w:lvlJc w:val="left"/>
      <w:lvlText w:val="-"/>
      <w:numFmt w:val="bullet"/>
      <w:start w:val="1"/>
    </w:lvl>
  </w:abstractNum>
  <w:abstractNum w:abstractNumId="55">
    <w:nsid w:val="2A155DBC"/>
    <w:multiLevelType w:val="hybridMultilevel"/>
    <w:lvl w:ilvl="0">
      <w:lvlJc w:val="left"/>
      <w:lvlText w:val="(%1)"/>
      <w:numFmt w:val="lowerLetter"/>
      <w:start w:val="9"/>
    </w:lvl>
  </w:abstractNum>
  <w:abstractNum w:abstractNumId="56">
    <w:nsid w:val="1D9F6E5F"/>
    <w:multiLevelType w:val="hybridMultilevel"/>
    <w:lvl w:ilvl="0">
      <w:lvlJc w:val="left"/>
      <w:lvlText w:val="(%1)"/>
      <w:numFmt w:val="lowerLetter"/>
      <w:start w:val="1"/>
    </w:lvl>
    <w:lvl w:ilvl="1">
      <w:lvlJc w:val="left"/>
      <w:lvlText w:val="-"/>
      <w:numFmt w:val="bullet"/>
      <w:start w:val="1"/>
    </w:lvl>
  </w:abstractNum>
  <w:abstractNum w:abstractNumId="57">
    <w:nsid w:val="97E1B4E"/>
    <w:multiLevelType w:val="hybridMultilevel"/>
    <w:lvl w:ilvl="0">
      <w:lvlJc w:val="left"/>
      <w:lvlText w:val="(%1)"/>
      <w:numFmt w:val="lowerLetter"/>
      <w:start w:val="2"/>
    </w:lvl>
  </w:abstractNum>
  <w:abstractNum w:abstractNumId="58">
    <w:nsid w:val="51088277"/>
    <w:multiLevelType w:val="hybridMultilevel"/>
    <w:lvl w:ilvl="0">
      <w:lvlJc w:val="left"/>
      <w:lvlText w:val="(%1)"/>
      <w:numFmt w:val="lowerLetter"/>
      <w:start w:val="1"/>
    </w:lvl>
    <w:lvl w:ilvl="1">
      <w:lvlJc w:val="left"/>
      <w:lvlText w:val="-"/>
      <w:numFmt w:val="bullet"/>
      <w:start w:val="1"/>
    </w:lvl>
  </w:abstractNum>
  <w:abstractNum w:abstractNumId="59">
    <w:nsid w:val="1CA0C5FA"/>
    <w:multiLevelType w:val="hybridMultilevel"/>
    <w:lvl w:ilvl="0">
      <w:lvlJc w:val="left"/>
      <w:lvlText w:val="(%1)"/>
      <w:numFmt w:val="lowerLetter"/>
      <w:start w:val="4"/>
    </w:lvl>
    <w:lvl w:ilvl="1">
      <w:lvlJc w:val="left"/>
      <w:lvlText w:val="-"/>
      <w:numFmt w:val="bullet"/>
      <w:start w:val="1"/>
    </w:lvl>
  </w:abstractNum>
  <w:abstractNum w:abstractNumId="60">
    <w:nsid w:val="53584BCB"/>
    <w:multiLevelType w:val="hybridMultilevel"/>
    <w:lvl w:ilvl="0">
      <w:lvlJc w:val="left"/>
      <w:lvlText w:val="(%1)"/>
      <w:numFmt w:val="lowerLetter"/>
      <w:start w:val="8"/>
    </w:lvl>
    <w:lvl w:ilvl="1">
      <w:lvlJc w:val="left"/>
      <w:lvlText w:val="-"/>
      <w:numFmt w:val="bullet"/>
      <w:start w:val="1"/>
    </w:lvl>
  </w:abstractNum>
  <w:abstractNum w:abstractNumId="61">
    <w:nsid w:val="415E286C"/>
    <w:multiLevelType w:val="hybridMultilevel"/>
    <w:lvl w:ilvl="0">
      <w:lvlJc w:val="left"/>
      <w:lvlText w:val="(%1)"/>
      <w:numFmt w:val="lowerLetter"/>
      <w:start w:val="11"/>
    </w:lvl>
  </w:abstractNum>
  <w:abstractNum w:abstractNumId="62">
    <w:nsid w:val="7C58FD05"/>
    <w:multiLevelType w:val="hybridMultilevel"/>
    <w:lvl w:ilvl="0">
      <w:lvlJc w:val="left"/>
      <w:lvlText w:val="(%1)"/>
      <w:numFmt w:val="lowerLetter"/>
      <w:start w:val="1"/>
    </w:lvl>
    <w:lvl w:ilvl="1">
      <w:lvlJc w:val="left"/>
      <w:lvlText w:val="-"/>
      <w:numFmt w:val="bullet"/>
      <w:start w:val="1"/>
    </w:lvl>
  </w:abstractNum>
  <w:abstractNum w:abstractNumId="63">
    <w:nsid w:val="23D86AAC"/>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64">
    <w:nsid w:val="45E6D486"/>
    <w:multiLevelType w:val="hybridMultilevel"/>
    <w:lvl w:ilvl="0">
      <w:lvlJc w:val="left"/>
      <w:lvlText w:val="(%1)"/>
      <w:numFmt w:val="lowerLetter"/>
      <w:start w:val="61"/>
    </w:lvl>
    <w:lvl w:ilvl="1">
      <w:lvlJc w:val="left"/>
      <w:lvlText w:val="(%2)"/>
      <w:numFmt w:val="lowerLetter"/>
      <w:start w:val="3"/>
    </w:lvl>
    <w:lvl w:ilvl="2">
      <w:lvlJc w:val="left"/>
      <w:lvlText w:val="-"/>
      <w:numFmt w:val="bullet"/>
      <w:start w:val="1"/>
    </w:lvl>
  </w:abstractNum>
  <w:abstractNum w:abstractNumId="65">
    <w:nsid w:val="5C10FE21"/>
    <w:multiLevelType w:val="hybridMultilevel"/>
    <w:lvl w:ilvl="0">
      <w:lvlJc w:val="left"/>
      <w:lvlText w:val="(%1)"/>
      <w:numFmt w:val="lowerLetter"/>
      <w:start w:val="4"/>
    </w:lvl>
  </w:abstractNum>
  <w:abstractNum w:abstractNumId="66">
    <w:nsid w:val="E7FFA2B"/>
    <w:multiLevelType w:val="hybridMultilevel"/>
    <w:lvl w:ilvl="0">
      <w:lvlJc w:val="left"/>
      <w:lvlText w:val="(%1)"/>
      <w:numFmt w:val="lowerLetter"/>
      <w:start w:val="1"/>
    </w:lvl>
    <w:lvl w:ilvl="1">
      <w:lvlJc w:val="left"/>
      <w:lvlText w:val="-"/>
      <w:numFmt w:val="bullet"/>
      <w:start w:val="1"/>
    </w:lvl>
  </w:abstractNum>
  <w:abstractNum w:abstractNumId="67">
    <w:nsid w:val="3C5991AA"/>
    <w:multiLevelType w:val="hybridMultilevel"/>
    <w:lvl w:ilvl="0">
      <w:lvlJc w:val="left"/>
      <w:lvlText w:val="(%1)"/>
      <w:numFmt w:val="lowerLetter"/>
      <w:start w:val="2"/>
    </w:lvl>
    <w:lvl w:ilvl="1">
      <w:lvlJc w:val="left"/>
      <w:lvlText w:val="-"/>
      <w:numFmt w:val="bullet"/>
      <w:start w:val="1"/>
    </w:lvl>
  </w:abstractNum>
  <w:abstractNum w:abstractNumId="68">
    <w:nsid w:val="4BD8591A"/>
    <w:multiLevelType w:val="hybridMultilevel"/>
    <w:lvl w:ilvl="0">
      <w:lvlJc w:val="left"/>
      <w:lvlText w:val="%1"/>
      <w:numFmt w:val="upperLetter"/>
      <w:start w:val="1"/>
    </w:lvl>
    <w:lvl w:ilvl="1">
      <w:lvlJc w:val="left"/>
      <w:lvlText w:val="(%2)"/>
      <w:numFmt w:val="lowerLetter"/>
      <w:start w:val="5"/>
    </w:lvl>
    <w:lvl w:ilvl="2">
      <w:lvlJc w:val="left"/>
      <w:lvlText w:val="-"/>
      <w:numFmt w:val="bullet"/>
      <w:start w:val="1"/>
    </w:lvl>
  </w:abstractNum>
  <w:abstractNum w:abstractNumId="69">
    <w:nsid w:val="78DF6A55"/>
    <w:multiLevelType w:val="hybridMultilevel"/>
    <w:lvl w:ilvl="0">
      <w:lvlJc w:val="left"/>
      <w:lvlText w:val="%1)"/>
      <w:numFmt w:val="upperLetter"/>
      <w:start w:val="17"/>
    </w:lvl>
    <w:lvl w:ilvl="1">
      <w:lvlJc w:val="left"/>
      <w:lvlText w:val="(%2)"/>
      <w:numFmt w:val="lowerLetter"/>
      <w:start w:val="11"/>
    </w:lvl>
    <w:lvl w:ilvl="2">
      <w:lvlJc w:val="left"/>
      <w:lvlText w:val="-"/>
      <w:numFmt w:val="bullet"/>
      <w:start w:val="1"/>
    </w:lvl>
  </w:abstractNum>
  <w:abstractNum w:abstractNumId="70">
    <w:nsid w:val="39B7AAA2"/>
    <w:multiLevelType w:val="hybridMultilevel"/>
    <w:lvl w:ilvl="0">
      <w:lvlJc w:val="left"/>
      <w:lvlText w:val="%1"/>
      <w:numFmt w:val="upperLetter"/>
      <w:start w:val="1"/>
    </w:lvl>
    <w:lvl w:ilvl="1">
      <w:lvlJc w:val="left"/>
      <w:lvlText w:val="(%2)"/>
      <w:numFmt w:val="lowerLetter"/>
      <w:start w:val="12"/>
    </w:lvl>
  </w:abstractNum>
  <w:abstractNum w:abstractNumId="71">
    <w:nsid w:val="2B0D8DBE"/>
    <w:multiLevelType w:val="hybridMultilevel"/>
    <w:lvl w:ilvl="0">
      <w:lvlJc w:val="left"/>
      <w:lvlText w:val="(%1)"/>
      <w:numFmt w:val="upperLetter"/>
      <w:start w:val="3"/>
    </w:lvl>
    <w:lvl w:ilvl="1">
      <w:lvlJc w:val="left"/>
      <w:lvlText w:val="(%2)"/>
      <w:numFmt w:val="lowerLetter"/>
      <w:start w:val="14"/>
    </w:lvl>
  </w:abstractNum>
  <w:abstractNum w:abstractNumId="72">
    <w:nsid w:val="6C80EC70"/>
    <w:multiLevelType w:val="hybridMultilevel"/>
    <w:lvl w:ilvl="0">
      <w:lvlJc w:val="left"/>
      <w:lvlText w:val="(%1)"/>
      <w:numFmt w:val="lowerLetter"/>
      <w:start w:val="1"/>
    </w:lvl>
    <w:lvl w:ilvl="1">
      <w:lvlJc w:val="left"/>
      <w:lvlText w:val="-"/>
      <w:numFmt w:val="bullet"/>
      <w:start w:val="1"/>
    </w:lvl>
  </w:abstractNum>
  <w:abstractNum w:abstractNumId="73">
    <w:nsid w:val="379E21B5"/>
    <w:multiLevelType w:val="hybridMultilevel"/>
    <w:lvl w:ilvl="0">
      <w:lvlJc w:val="left"/>
      <w:lvlText w:val="(%1)"/>
      <w:numFmt w:val="lowerLetter"/>
      <w:start w:val="2"/>
    </w:lvl>
  </w:abstractNum>
  <w:abstractNum w:abstractNumId="74">
    <w:nsid w:val="69E373"/>
    <w:multiLevelType w:val="hybridMultilevel"/>
    <w:lvl w:ilvl="0">
      <w:lvlJc w:val="left"/>
      <w:lvlText w:val="(%1)"/>
      <w:numFmt w:val="lowerLetter"/>
      <w:start w:val="1"/>
    </w:lvl>
    <w:lvl w:ilvl="1">
      <w:lvlJc w:val="left"/>
      <w:lvlText w:val="-"/>
      <w:numFmt w:val="bullet"/>
      <w:start w:val="1"/>
    </w:lvl>
  </w:abstractNum>
  <w:abstractNum w:abstractNumId="75">
    <w:nsid w:val="2C27173B"/>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76">
    <w:nsid w:val="4C9B0904"/>
    <w:multiLevelType w:val="hybridMultilevel"/>
    <w:lvl w:ilvl="0">
      <w:lvlJc w:val="left"/>
      <w:lvlText w:val="%1"/>
      <w:numFmt w:val="lowerLetter"/>
      <w:start w:val="1"/>
    </w:lvl>
    <w:lvl w:ilvl="1">
      <w:lvlJc w:val="left"/>
      <w:lvlText w:val="(%2)"/>
      <w:numFmt w:val="lowerLetter"/>
      <w:start w:val="61"/>
    </w:lvl>
  </w:abstractNum>
  <w:abstractNum w:abstractNumId="77">
    <w:nsid w:val="6AA7B75C"/>
    <w:multiLevelType w:val="hybridMultilevel"/>
    <w:lvl w:ilvl="0">
      <w:lvlJc w:val="left"/>
      <w:lvlText w:val="(%1)"/>
      <w:numFmt w:val="lowerLetter"/>
      <w:start w:val="3"/>
    </w:lvl>
    <w:lvl w:ilvl="1">
      <w:lvlJc w:val="left"/>
      <w:lvlText w:val="%2"/>
      <w:numFmt w:val="lowerLetter"/>
      <w:start w:val="1"/>
    </w:lvl>
  </w:abstractNum>
  <w:abstractNum w:abstractNumId="78">
    <w:nsid w:val="1DF029D3"/>
    <w:multiLevelType w:val="hybridMultilevel"/>
    <w:lvl w:ilvl="0">
      <w:lvlJc w:val="left"/>
      <w:lvlText w:val="(%1)"/>
      <w:numFmt w:val="lowerLetter"/>
      <w:start w:val="1"/>
    </w:lvl>
    <w:lvl w:ilvl="1">
      <w:lvlJc w:val="left"/>
      <w:lvlText w:val="-"/>
      <w:numFmt w:val="bullet"/>
      <w:start w:val="1"/>
    </w:lvl>
  </w:abstractNum>
  <w:abstractNum w:abstractNumId="79">
    <w:nsid w:val="5675FF36"/>
    <w:multiLevelType w:val="hybridMultilevel"/>
    <w:lvl w:ilvl="0">
      <w:lvlJc w:val="left"/>
      <w:lvlText w:val="(%1)"/>
      <w:numFmt w:val="lowerLetter"/>
      <w:start w:val="3"/>
    </w:lvl>
  </w:abstractNum>
  <w:abstractNum w:abstractNumId="80">
    <w:nsid w:val="3DD15094"/>
    <w:multiLevelType w:val="hybridMultilevel"/>
    <w:lvl w:ilvl="0">
      <w:lvlJc w:val="left"/>
      <w:lvlText w:val="(%1)"/>
      <w:numFmt w:val="lowerLetter"/>
      <w:start w:val="1"/>
    </w:lvl>
    <w:lvl w:ilvl="1">
      <w:lvlJc w:val="left"/>
      <w:lvlText w:val="-"/>
      <w:numFmt w:val="bullet"/>
      <w:start w:val="1"/>
    </w:lvl>
  </w:abstractNum>
  <w:abstractNum w:abstractNumId="81">
    <w:nsid w:val="3DB012B3"/>
    <w:multiLevelType w:val="hybridMultilevel"/>
    <w:lvl w:ilvl="0">
      <w:lvlJc w:val="left"/>
      <w:lvlText w:val="(%1)"/>
      <w:numFmt w:val="lowerLetter"/>
      <w:start w:val="7"/>
    </w:lvl>
  </w:abstractNum>
  <w:abstractNum w:abstractNumId="82">
    <w:nsid w:val="2708C9AF"/>
    <w:multiLevelType w:val="hybridMultilevel"/>
    <w:lvl w:ilvl="0">
      <w:lvlJc w:val="left"/>
      <w:lvlText w:val="(%1)"/>
      <w:numFmt w:val="lowerLetter"/>
      <w:start w:val="1"/>
    </w:lvl>
    <w:lvl w:ilvl="1">
      <w:lvlJc w:val="left"/>
      <w:lvlText w:val="-"/>
      <w:numFmt w:val="bullet"/>
      <w:start w:val="1"/>
    </w:lvl>
  </w:abstractNum>
  <w:abstractNum w:abstractNumId="83">
    <w:nsid w:val="5B25ACE2"/>
    <w:multiLevelType w:val="hybridMultilevel"/>
    <w:lvl w:ilvl="0">
      <w:lvlJc w:val="left"/>
      <w:lvlText w:val="(%1)"/>
      <w:numFmt w:val="lowerLetter"/>
      <w:start w:val="8"/>
    </w:lvl>
  </w:abstractNum>
  <w:abstractNum w:abstractNumId="84">
    <w:nsid w:val="175DFCF0"/>
    <w:multiLevelType w:val="hybridMultilevel"/>
    <w:lvl w:ilvl="0">
      <w:lvlJc w:val="left"/>
      <w:lvlText w:val="(%1)"/>
      <w:numFmt w:val="lowerLetter"/>
      <w:start w:val="1"/>
    </w:lvl>
    <w:lvl w:ilvl="1">
      <w:lvlJc w:val="left"/>
      <w:lvlText w:val="-"/>
      <w:numFmt w:val="bullet"/>
      <w:start w:val="1"/>
    </w:lvl>
  </w:abstractNum>
  <w:abstractNum w:abstractNumId="85">
    <w:nsid w:val="4F97E3E4"/>
    <w:multiLevelType w:val="hybridMultilevel"/>
    <w:lvl w:ilvl="0">
      <w:lvlJc w:val="left"/>
      <w:lvlText w:val="(%1)"/>
      <w:numFmt w:val="lowerLetter"/>
      <w:start w:val="7"/>
    </w:lvl>
  </w:abstractNum>
  <w:abstractNum w:abstractNumId="86">
    <w:nsid w:val="53B0A9E"/>
    <w:multiLevelType w:val="hybridMultilevel"/>
    <w:lvl w:ilvl="0">
      <w:lvlJc w:val="left"/>
      <w:lvlText w:val="(%1)"/>
      <w:numFmt w:val="lowerLetter"/>
      <w:start w:val="1"/>
    </w:lvl>
    <w:lvl w:ilvl="1">
      <w:lvlJc w:val="left"/>
      <w:lvlText w:val="-"/>
      <w:numFmt w:val="bullet"/>
      <w:start w:val="1"/>
    </w:lvl>
  </w:abstractNum>
  <w:abstractNum w:abstractNumId="87">
    <w:nsid w:val="34FD6B4F"/>
    <w:multiLevelType w:val="hybridMultilevel"/>
    <w:lvl w:ilvl="0">
      <w:lvlJc w:val="left"/>
      <w:lvlText w:val="(%1)"/>
      <w:numFmt w:val="lowerLetter"/>
      <w:start w:val="7"/>
    </w:lvl>
  </w:abstractNum>
  <w:abstractNum w:abstractNumId="88">
    <w:nsid w:val="5915FF32"/>
    <w:multiLevelType w:val="hybridMultilevel"/>
    <w:lvl w:ilvl="0">
      <w:lvlJc w:val="left"/>
      <w:lvlText w:val="(%1)"/>
      <w:numFmt w:val="lowerLetter"/>
      <w:start w:val="1"/>
    </w:lvl>
  </w:abstractNum>
  <w:abstractNum w:abstractNumId="89">
    <w:nsid w:val="56438D15"/>
    <w:multiLevelType w:val="hybridMultilevel"/>
    <w:lvl w:ilvl="0">
      <w:lvlJc w:val="left"/>
      <w:lvlText w:val="(%1)"/>
      <w:numFmt w:val="lowerLetter"/>
      <w:start w:val="1"/>
    </w:lvl>
  </w:abstractNum>
  <w:abstractNum w:abstractNumId="90">
    <w:nsid w:val="519E3149"/>
    <w:multiLevelType w:val="hybridMultilevel"/>
    <w:lvl w:ilvl="0">
      <w:lvlJc w:val="left"/>
      <w:lvlText w:val="(%1)"/>
      <w:numFmt w:val="lowerLetter"/>
      <w:start w:val="61"/>
    </w:lvl>
  </w:abstractNum>
  <w:abstractNum w:abstractNumId="91">
    <w:nsid w:val="2C6E4AFD"/>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92">
    <w:nsid w:val="17A1B582"/>
    <w:multiLevelType w:val="hybridMultilevel"/>
    <w:lvl w:ilvl="0">
      <w:lvlJc w:val="left"/>
      <w:lvlText w:val="(%1)"/>
      <w:numFmt w:val="lowerLetter"/>
      <w:start w:val="9"/>
    </w:lvl>
    <w:lvl w:ilvl="1">
      <w:lvlJc w:val="left"/>
      <w:lvlText w:val="(%2)"/>
      <w:numFmt w:val="lowerLetter"/>
      <w:start w:val="5"/>
    </w:lvl>
    <w:lvl w:ilvl="2">
      <w:lvlJc w:val="left"/>
      <w:lvlText w:val="-"/>
      <w:numFmt w:val="bullet"/>
      <w:start w:val="1"/>
    </w:lvl>
  </w:abstractNum>
  <w:abstractNum w:abstractNumId="93">
    <w:nsid w:val="4DF72E4E"/>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94">
    <w:nsid w:val="5046B5A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lvl w:ilvl="3">
      <w:lvlJc w:val="left"/>
      <w:lvlText w:val="-"/>
      <w:numFmt w:val="bullet"/>
      <w:start w:val="1"/>
    </w:lvl>
  </w:abstractNum>
  <w:abstractNum w:abstractNumId="95">
    <w:nsid w:val="5D888A08"/>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1"/>
    </w:lvl>
    <w:lvl w:ilvl="3">
      <w:lvlJc w:val="left"/>
      <w:lvlText w:val="-"/>
      <w:numFmt w:val="bullet"/>
      <w:start w:val="1"/>
    </w:lvl>
  </w:abstractNum>
  <w:abstractNum w:abstractNumId="96">
    <w:nsid w:val="2A082C70"/>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97">
    <w:nsid w:val="5EC6AFD4"/>
    <w:multiLevelType w:val="hybridMultilevel"/>
    <w:lvl w:ilvl="0">
      <w:lvlJc w:val="left"/>
      <w:lvlText w:val="(%1)"/>
      <w:numFmt w:val="upperLetter"/>
      <w:start w:val="2"/>
    </w:lvl>
    <w:lvl w:ilvl="1">
      <w:lvlJc w:val="left"/>
      <w:lvlText w:val="(%2)"/>
      <w:numFmt w:val="lowerLetter"/>
      <w:start w:val="14"/>
    </w:lvl>
  </w:abstractNum>
  <w:abstractNum w:abstractNumId="98">
    <w:nsid w:val="19E21BB2"/>
    <w:multiLevelType w:val="hybridMultilevel"/>
    <w:lvl w:ilvl="0">
      <w:lvlJc w:val="left"/>
      <w:lvlText w:val="(%1)"/>
      <w:numFmt w:val="lowerLetter"/>
      <w:start w:val="1"/>
    </w:lvl>
    <w:lvl w:ilvl="1">
      <w:lvlJc w:val="left"/>
      <w:lvlText w:val="-"/>
      <w:numFmt w:val="bullet"/>
      <w:start w:val="1"/>
    </w:lvl>
  </w:abstractNum>
  <w:abstractNum w:abstractNumId="99">
    <w:nsid w:val="75E0858A"/>
    <w:multiLevelType w:val="hybridMultilevel"/>
    <w:lvl w:ilvl="0">
      <w:lvlJc w:val="left"/>
      <w:lvlText w:val="(%1)"/>
      <w:numFmt w:val="lowerLetter"/>
      <w:start w:val="1"/>
    </w:lvl>
  </w:abstractNum>
  <w:abstractNum w:abstractNumId="100">
    <w:nsid w:val="57A61A2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1">
    <w:nsid w:val="5399C654"/>
    <w:multiLevelType w:val="hybridMultilevel"/>
    <w:lvl w:ilvl="0">
      <w:lvlJc w:val="left"/>
      <w:lvlText w:val="%1"/>
      <w:numFmt w:val="lowerLetter"/>
      <w:start w:val="1"/>
    </w:lvl>
    <w:lvl w:ilvl="1">
      <w:lvlJc w:val="left"/>
      <w:lvlText w:val="(%2)"/>
      <w:numFmt w:val="lowerLetter"/>
      <w:start w:val="35"/>
    </w:lvl>
  </w:abstractNum>
  <w:abstractNum w:abstractNumId="102">
    <w:nsid w:val="20EE1348"/>
    <w:multiLevelType w:val="hybridMultilevel"/>
    <w:lvl w:ilvl="0">
      <w:lvlJc w:val="left"/>
      <w:lvlText w:val="(%1)"/>
      <w:numFmt w:val="lowerLetter"/>
      <w:start w:val="3"/>
    </w:lvl>
    <w:lvl w:ilvl="1">
      <w:lvlJc w:val="left"/>
      <w:lvlText w:val="%2"/>
      <w:numFmt w:val="lowerLetter"/>
      <w:start w:val="1"/>
    </w:lvl>
  </w:abstractNum>
  <w:abstractNum w:abstractNumId="103">
    <w:nsid w:val="4427069A"/>
    <w:multiLevelType w:val="hybridMultilevel"/>
    <w:lvl w:ilvl="0">
      <w:lvlJc w:val="left"/>
      <w:lvlText w:val="(%1)"/>
      <w:numFmt w:val="lowerLetter"/>
      <w:start w:val="1"/>
    </w:lvl>
    <w:lvl w:ilvl="1">
      <w:lvlJc w:val="left"/>
      <w:lvlText w:val="-"/>
      <w:numFmt w:val="bullet"/>
      <w:start w:val="1"/>
    </w:lvl>
  </w:abstractNum>
  <w:abstractNum w:abstractNumId="104">
    <w:nsid w:val="B37E80A"/>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05">
    <w:nsid w:val="2157F6BC"/>
    <w:multiLevelType w:val="hybridMultilevel"/>
    <w:lvl w:ilvl="0">
      <w:lvlJc w:val="left"/>
      <w:lvlText w:val="(%1)"/>
      <w:numFmt w:val="lowerLetter"/>
      <w:start w:val="5"/>
    </w:lvl>
  </w:abstractNum>
  <w:abstractNum w:abstractNumId="106">
    <w:nsid w:val="704E1DD5"/>
    <w:multiLevelType w:val="hybridMultilevel"/>
    <w:lvl w:ilvl="0">
      <w:lvlJc w:val="left"/>
      <w:lvlText w:val="(%1)"/>
      <w:numFmt w:val="lowerLetter"/>
      <w:start w:val="1"/>
    </w:lvl>
  </w:abstractNum>
  <w:abstractNum w:abstractNumId="107">
    <w:nsid w:val="57D2F10E"/>
    <w:multiLevelType w:val="hybridMultilevel"/>
    <w:lvl w:ilvl="0">
      <w:lvlJc w:val="left"/>
      <w:lvlText w:val="(%1)"/>
      <w:numFmt w:val="lowerLetter"/>
      <w:start w:val="2"/>
    </w:lvl>
  </w:abstractNum>
  <w:abstractNum w:abstractNumId="108">
    <w:nsid w:val="BFFAE18"/>
    <w:multiLevelType w:val="hybridMultilevel"/>
    <w:lvl w:ilvl="0">
      <w:lvlJc w:val="left"/>
      <w:lvlText w:val="(%1)"/>
      <w:numFmt w:val="lowerLetter"/>
      <w:start w:val="1"/>
    </w:lvl>
    <w:lvl w:ilvl="1">
      <w:lvlJc w:val="left"/>
      <w:lvlText w:val="-"/>
      <w:numFmt w:val="bullet"/>
      <w:start w:val="1"/>
    </w:lvl>
  </w:abstractNum>
  <w:abstractNum w:abstractNumId="109">
    <w:nsid w:val="E3E47A8"/>
    <w:multiLevelType w:val="hybridMultilevel"/>
    <w:lvl w:ilvl="0">
      <w:lvlJc w:val="left"/>
      <w:lvlText w:val="(%1)"/>
      <w:numFmt w:val="lowerLetter"/>
      <w:start w:val="1"/>
    </w:lvl>
  </w:abstractNum>
  <w:abstractNum w:abstractNumId="110">
    <w:nsid w:val="2E48F044"/>
    <w:multiLevelType w:val="hybridMultilevel"/>
    <w:lvl w:ilvl="0">
      <w:lvlJc w:val="left"/>
      <w:lvlText w:val="(%1)"/>
      <w:numFmt w:val="lowerLetter"/>
      <w:start w:val="1"/>
    </w:lvl>
  </w:abstractNum>
  <w:abstractNum w:abstractNumId="111">
    <w:nsid w:val="49D0FEAC"/>
    <w:multiLevelType w:val="hybridMultilevel"/>
    <w:lvl w:ilvl="0">
      <w:lvlJc w:val="left"/>
      <w:lvlText w:val="(%1)"/>
      <w:numFmt w:val="lowerLetter"/>
      <w:start w:val="1"/>
    </w:lvl>
  </w:abstractNum>
  <w:abstractNum w:abstractNumId="112">
    <w:nsid w:val="4BEE5A5B"/>
    <w:multiLevelType w:val="hybridMultilevel"/>
    <w:lvl w:ilvl="0">
      <w:lvlJc w:val="left"/>
      <w:lvlText w:val="(%1)"/>
      <w:numFmt w:val="lowerLetter"/>
      <w:start w:val="1"/>
    </w:lvl>
    <w:lvl w:ilvl="1">
      <w:lvlJc w:val="left"/>
      <w:lvlText w:val="-"/>
      <w:numFmt w:val="bullet"/>
      <w:start w:val="1"/>
    </w:lvl>
  </w:abstractNum>
  <w:abstractNum w:abstractNumId="113">
    <w:nsid w:val="5551B9F3"/>
    <w:multiLevelType w:val="hybridMultilevel"/>
    <w:lvl w:ilvl="0">
      <w:lvlJc w:val="left"/>
      <w:lvlText w:val="(%1)"/>
      <w:numFmt w:val="lowerLetter"/>
      <w:start w:val="2"/>
    </w:lvl>
  </w:abstractNum>
  <w:abstractNum w:abstractNumId="114">
    <w:nsid w:val="24F6AB8E"/>
    <w:multiLevelType w:val="hybridMultilevel"/>
    <w:lvl w:ilvl="0">
      <w:lvlJc w:val="left"/>
      <w:lvlText w:val="(%1)"/>
      <w:numFmt w:val="lowerLetter"/>
      <w:start w:val="1"/>
    </w:lvl>
    <w:lvl w:ilvl="1">
      <w:lvlJc w:val="left"/>
      <w:lvlText w:val="-"/>
      <w:numFmt w:val="bullet"/>
      <w:start w:val="1"/>
    </w:lvl>
  </w:abstractNum>
  <w:abstractNum w:abstractNumId="115">
    <w:nsid w:val="634C574C"/>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16">
    <w:nsid w:val="24E99DD7"/>
    <w:multiLevelType w:val="hybridMultilevel"/>
    <w:lvl w:ilvl="0">
      <w:lvlJc w:val="left"/>
      <w:lvlText w:val="(%1)"/>
      <w:numFmt w:val="lowerLetter"/>
      <w:start w:val="4"/>
    </w:lvl>
  </w:abstractNum>
  <w:abstractNum w:abstractNumId="117">
    <w:nsid w:val="2A31B62D"/>
    <w:multiLevelType w:val="hybridMultilevel"/>
    <w:lvl w:ilvl="0">
      <w:lvlJc w:val="left"/>
      <w:lvlText w:val="(%1)"/>
      <w:numFmt w:val="lowerLetter"/>
      <w:start w:val="1"/>
    </w:lvl>
  </w:abstractNum>
  <w:abstractNum w:abstractNumId="118">
    <w:nsid w:val="1849C29B"/>
    <w:multiLevelType w:val="hybridMultilevel"/>
    <w:lvl w:ilvl="0">
      <w:lvlJc w:val="left"/>
      <w:lvlText w:val="(%1)"/>
      <w:numFmt w:val="lowerLetter"/>
      <w:start w:val="1"/>
    </w:lvl>
  </w:abstractNum>
  <w:abstractNum w:abstractNumId="119">
    <w:nsid w:val="7DFF9D09"/>
    <w:multiLevelType w:val="hybridMultilevel"/>
    <w:lvl w:ilvl="0">
      <w:lvlJc w:val="left"/>
      <w:lvlText w:val="(%1)"/>
      <w:numFmt w:val="lowerLetter"/>
      <w:start w:val="1"/>
    </w:lvl>
  </w:abstractNum>
  <w:abstractNum w:abstractNumId="120">
    <w:nsid w:val="754342"/>
    <w:multiLevelType w:val="hybridMultilevel"/>
    <w:lvl w:ilvl="0">
      <w:lvlJc w:val="left"/>
      <w:lvlText w:val="(%1)"/>
      <w:numFmt w:val="lowerLetter"/>
      <w:start w:val="1"/>
    </w:lvl>
  </w:abstractNum>
  <w:abstractNum w:abstractNumId="121">
    <w:nsid w:val="69E7F3E5"/>
    <w:multiLevelType w:val="hybridMultilevel"/>
    <w:lvl w:ilvl="0">
      <w:lvlJc w:val="left"/>
      <w:lvlText w:val="(%1)"/>
      <w:numFmt w:val="lowerRoman"/>
      <w:start w:val="1"/>
    </w:lvl>
  </w:abstractNum>
  <w:abstractNum w:abstractNumId="122">
    <w:nsid w:val="2A6DE806"/>
    <w:multiLevelType w:val="hybridMultilevel"/>
    <w:lvl w:ilvl="0">
      <w:lvlJc w:val="left"/>
      <w:lvlText w:val="(%1)"/>
      <w:numFmt w:val="lowerRoman"/>
      <w:start w:val="5"/>
    </w:lvl>
  </w:abstractNum>
  <w:abstractNum w:abstractNumId="123">
    <w:nsid w:val="1816F8C4"/>
    <w:multiLevelType w:val="hybridMultilevel"/>
    <w:lvl w:ilvl="0">
      <w:lvlJc w:val="left"/>
      <w:lvlText w:val="(%1)"/>
      <w:numFmt w:val="lowerRoman"/>
      <w:start w:val="8"/>
    </w:lvl>
  </w:abstractNum>
  <w:abstractNum w:abstractNumId="124">
    <w:nsid w:val="37DF2233"/>
    <w:multiLevelType w:val="hybridMultilevel"/>
    <w:lvl w:ilvl="0">
      <w:lvlJc w:val="left"/>
      <w:lvlText w:val="(%1)"/>
      <w:numFmt w:val="lowerLetter"/>
      <w:start w:val="1"/>
    </w:lvl>
  </w:abstractNum>
  <w:abstractNum w:abstractNumId="125">
    <w:nsid w:val="7AB49DAF"/>
    <w:multiLevelType w:val="hybridMultilevel"/>
    <w:lvl w:ilvl="0">
      <w:lvlJc w:val="left"/>
      <w:lvlText w:val="(%1)"/>
      <w:numFmt w:val="lowerLetter"/>
      <w:start w:val="1"/>
    </w:lvl>
  </w:abstractNum>
  <w:abstractNum w:abstractNumId="126">
    <w:nsid w:val="759F82CD"/>
    <w:multiLevelType w:val="hybridMultilevel"/>
    <w:lvl w:ilvl="0">
      <w:lvlJc w:val="left"/>
      <w:lvlText w:val="(%1)"/>
      <w:numFmt w:val="lowerLetter"/>
      <w:start w:val="3"/>
    </w:lvl>
  </w:abstractNum>
  <w:abstractNum w:abstractNumId="127">
    <w:nsid w:val="61E74EA3"/>
    <w:multiLevelType w:val="hybridMultilevel"/>
    <w:lvl w:ilvl="0">
      <w:lvlJc w:val="left"/>
      <w:lvlText w:val="(%1)"/>
      <w:numFmt w:val="lowerLetter"/>
      <w:start w:val="1"/>
    </w:lvl>
    <w:lvl w:ilvl="1">
      <w:lvlJc w:val="left"/>
      <w:lvlText w:val="(%2)"/>
      <w:numFmt w:val="lowerRoman"/>
      <w:start w:val="1"/>
    </w:lvl>
  </w:abstractNum>
  <w:abstractNum w:abstractNumId="128">
    <w:nsid w:val="597B4D84"/>
    <w:multiLevelType w:val="hybridMultilevel"/>
    <w:lvl w:ilvl="0">
      <w:lvlJc w:val="left"/>
      <w:lvlText w:val="(%1)"/>
      <w:numFmt w:val="lowerLetter"/>
      <w:start w:val="25"/>
    </w:lvl>
    <w:lvl w:ilvl="1">
      <w:lvlJc w:val="left"/>
      <w:lvlText w:val="%2"/>
      <w:numFmt w:val="lowerRoman"/>
      <w:start w:val="1"/>
    </w:lvl>
  </w:abstractNum>
  <w:abstractNum w:abstractNumId="129">
    <w:nsid w:val="F819E7F"/>
    <w:multiLevelType w:val="hybridMultilevel"/>
    <w:lvl w:ilvl="0">
      <w:lvlJc w:val="left"/>
      <w:lvlText w:val="(%1)"/>
      <w:numFmt w:val="lowerLetter"/>
      <w:start w:val="2"/>
    </w:lvl>
    <w:lvl w:ilvl="1">
      <w:lvlJc w:val="left"/>
      <w:lvlText w:val="%2"/>
      <w:numFmt w:val="lowerRoman"/>
      <w:start w:val="1"/>
    </w:lvl>
  </w:abstractNum>
  <w:abstractNum w:abstractNumId="130">
    <w:nsid w:val="57C7D42D"/>
    <w:multiLevelType w:val="hybridMultilevel"/>
    <w:lvl w:ilvl="0">
      <w:lvlJc w:val="left"/>
      <w:lvlText w:val="(%1)"/>
      <w:numFmt w:val="lowerLetter"/>
      <w:start w:val="4"/>
    </w:lvl>
  </w:abstractNum>
  <w:abstractNum w:abstractNumId="131">
    <w:nsid w:val="312167AD"/>
    <w:multiLevelType w:val="hybridMultilevel"/>
    <w:lvl w:ilvl="0">
      <w:lvlJc w:val="left"/>
      <w:lvlText w:val="(%1)"/>
      <w:numFmt w:val="lowerLetter"/>
      <w:start w:val="1"/>
    </w:lvl>
  </w:abstractNum>
  <w:abstractNum w:abstractNumId="132">
    <w:nsid w:val="631B64D4"/>
    <w:multiLevelType w:val="hybridMultilevel"/>
    <w:lvl w:ilvl="0">
      <w:lvlJc w:val="left"/>
      <w:lvlText w:val="(%1)"/>
      <w:numFmt w:val="lowerRoman"/>
      <w:start w:val="1"/>
    </w:lvl>
  </w:abstractNum>
  <w:abstractNum w:abstractNumId="133">
    <w:nsid w:val="78B5E776"/>
    <w:multiLevelType w:val="hybridMultilevel"/>
    <w:lvl w:ilvl="0">
      <w:lvlJc w:val="left"/>
      <w:lvlText w:val="%1"/>
      <w:numFmt w:val="lowerLetter"/>
      <w:start w:val="1"/>
    </w:lvl>
    <w:lvl w:ilvl="1">
      <w:lvlJc w:val="left"/>
      <w:lvlText w:val="(%2)"/>
      <w:numFmt w:val="lowerLetter"/>
      <w:start w:val="1"/>
    </w:lvl>
  </w:abstractNum>
  <w:abstractNum w:abstractNumId="134">
    <w:nsid w:val="75486E47"/>
    <w:multiLevelType w:val="hybridMultilevel"/>
    <w:lvl w:ilvl="0">
      <w:lvlJc w:val="left"/>
      <w:lvlText w:val="(%1)"/>
      <w:numFmt w:val="lowerLetter"/>
      <w:start w:val="25"/>
    </w:lvl>
    <w:lvl w:ilvl="1">
      <w:lvlJc w:val="left"/>
      <w:lvlText w:val="(%2)"/>
      <w:numFmt w:val="lowerLetter"/>
      <w:start w:val="2"/>
    </w:lvl>
  </w:abstractNum>
  <w:abstractNum w:abstractNumId="135">
    <w:nsid w:val="6E534CDE"/>
    <w:multiLevelType w:val="hybridMultilevel"/>
    <w:lvl w:ilvl="0">
      <w:lvlJc w:val="left"/>
      <w:lvlText w:val="(%1)"/>
      <w:numFmt w:val="lowerLetter"/>
      <w:start w:val="1"/>
    </w:lvl>
  </w:abstractNum>
  <w:abstractNum w:abstractNumId="136">
    <w:nsid w:val="1A0DDE32"/>
    <w:multiLevelType w:val="hybridMultilevel"/>
    <w:lvl w:ilvl="0">
      <w:lvlJc w:val="left"/>
      <w:lvlText w:val="(%1)"/>
      <w:numFmt w:val="lowerLetter"/>
      <w:start w:val="7"/>
    </w:lvl>
  </w:abstractNum>
  <w:abstractNum w:abstractNumId="137">
    <w:nsid w:val="65968C1C"/>
    <w:multiLevelType w:val="hybridMultilevel"/>
    <w:lvl w:ilvl="0">
      <w:lvlJc w:val="left"/>
      <w:lvlText w:val="(%1)"/>
      <w:numFmt w:val="lowerLetter"/>
      <w:start w:val="1"/>
    </w:lvl>
  </w:abstractNum>
  <w:abstractNum w:abstractNumId="138">
    <w:nsid w:val="46263DEC"/>
    <w:multiLevelType w:val="hybridMultilevel"/>
    <w:lvl w:ilvl="0">
      <w:lvlJc w:val="left"/>
      <w:lvlText w:val="(%1)"/>
      <w:numFmt w:val="lowerLetter"/>
      <w:start w:val="1"/>
    </w:lvl>
  </w:abstractNum>
  <w:abstractNum w:abstractNumId="139">
    <w:nsid w:val="260D8C4A"/>
    <w:multiLevelType w:val="hybridMultilevel"/>
    <w:lvl w:ilvl="0">
      <w:lvlJc w:val="left"/>
      <w:lvlText w:val="%1"/>
      <w:numFmt w:val="lowerLetter"/>
      <w:start w:val="1"/>
    </w:lvl>
    <w:lvl w:ilvl="1">
      <w:lvlJc w:val="left"/>
      <w:lvlText w:val="(%2)"/>
      <w:numFmt w:val="lowerLetter"/>
      <w:start w:val="1"/>
    </w:lvl>
  </w:abstractNum>
  <w:abstractNum w:abstractNumId="140">
    <w:nsid w:val="73D4D3C4"/>
    <w:multiLevelType w:val="hybridMultilevel"/>
    <w:lvl w:ilvl="0">
      <w:lvlJc w:val="left"/>
      <w:lvlText w:val="(%1)"/>
      <w:numFmt w:val="lowerLetter"/>
      <w:start w:val="35"/>
    </w:lvl>
    <w:lvl w:ilvl="1">
      <w:lvlJc w:val="left"/>
      <w:lvlText w:val="(%2)"/>
      <w:numFmt w:val="lowerLetter"/>
      <w:start w:val="3"/>
    </w:lvl>
  </w:abstractNum>
  <w:abstractNum w:abstractNumId="141">
    <w:nsid w:val="746F2E30"/>
    <w:multiLevelType w:val="hybridMultilevel"/>
    <w:lvl w:ilvl="0">
      <w:lvlJc w:val="left"/>
      <w:lvlText w:val="(%1)"/>
      <w:numFmt w:val="lowerLetter"/>
      <w:start w:val="1"/>
    </w:lvl>
  </w:abstractNum>
  <w:abstractNum w:abstractNumId="142">
    <w:nsid w:val="6FDE8AF6"/>
    <w:multiLevelType w:val="hybridMultilevel"/>
    <w:lvl w:ilvl="0">
      <w:lvlJc w:val="left"/>
      <w:lvlText w:val="(%1)"/>
      <w:numFmt w:val="lowerLetter"/>
      <w:start w:val="1"/>
    </w:lvl>
    <w:lvl w:ilvl="1">
      <w:lvlJc w:val="left"/>
      <w:lvlText w:val="(%2)"/>
      <w:numFmt w:val="lowerRoman"/>
      <w:start w:val="1"/>
    </w:lvl>
  </w:abstractNum>
  <w:abstractNum w:abstractNumId="143">
    <w:nsid w:val="3FC32E20"/>
    <w:multiLevelType w:val="hybridMultilevel"/>
    <w:lvl w:ilvl="0">
      <w:lvlJc w:val="left"/>
      <w:lvlText w:val="(%1)"/>
      <w:numFmt w:val="lowerLetter"/>
      <w:start w:val="1"/>
    </w:lvl>
  </w:abstractNum>
  <w:abstractNum w:abstractNumId="144">
    <w:nsid w:val="49C0E823"/>
    <w:multiLevelType w:val="hybridMultilevel"/>
    <w:lvl w:ilvl="0">
      <w:lvlJc w:val="left"/>
      <w:lvlText w:val="(%1)"/>
      <w:numFmt w:val="lowerLetter"/>
      <w:start w:val="1"/>
    </w:lvl>
  </w:abstractNum>
  <w:abstractNum w:abstractNumId="145">
    <w:nsid w:val="14D53685"/>
    <w:multiLevelType w:val="hybridMultilevel"/>
    <w:lvl w:ilvl="0">
      <w:lvlJc w:val="left"/>
      <w:lvlText w:val="(%1)"/>
      <w:numFmt w:val="lowerLetter"/>
      <w:start w:val="2"/>
    </w:lvl>
  </w:abstractNum>
  <w:abstractNum w:abstractNumId="146">
    <w:nsid w:val="230F856C"/>
    <w:multiLevelType w:val="hybridMultilevel"/>
    <w:lvl w:ilvl="0">
      <w:lvlJc w:val="left"/>
      <w:lvlText w:val="(%1)"/>
      <w:numFmt w:val="lowerLetter"/>
      <w:start w:val="1"/>
    </w:lvl>
  </w:abstractNum>
  <w:abstractNum w:abstractNumId="147">
    <w:nsid w:val="6EAA85FB"/>
    <w:multiLevelType w:val="hybridMultilevel"/>
    <w:lvl w:ilvl="0">
      <w:lvlJc w:val="left"/>
      <w:lvlText w:val="(%1)"/>
      <w:numFmt w:val="lowerLetter"/>
      <w:start w:val="2"/>
    </w:lvl>
  </w:abstractNum>
  <w:abstractNum w:abstractNumId="148">
    <w:nsid w:val="3F06ECB2"/>
    <w:multiLevelType w:val="hybridMultilevel"/>
    <w:lvl w:ilvl="0">
      <w:lvlJc w:val="left"/>
      <w:lvlText w:val="(%1)"/>
      <w:numFmt w:val="lowerLetter"/>
      <w:start w:val="1"/>
    </w:lvl>
  </w:abstractNum>
  <w:abstractNum w:abstractNumId="149">
    <w:nsid w:val="3B594807"/>
    <w:multiLevelType w:val="hybridMultilevel"/>
    <w:lvl w:ilvl="0">
      <w:lvlJc w:val="left"/>
      <w:lvlText w:val="(%1)"/>
      <w:numFmt w:val="lowerLetter"/>
      <w:start w:val="1"/>
    </w:lvl>
  </w:abstractNum>
  <w:abstractNum w:abstractNumId="150">
    <w:nsid w:val="6CAA2304"/>
    <w:multiLevelType w:val="hybridMultilevel"/>
    <w:lvl w:ilvl="0">
      <w:lvlJc w:val="left"/>
      <w:lvlText w:val="(%1)"/>
      <w:numFmt w:val="lowerLetter"/>
      <w:start w:val="5"/>
    </w:lvl>
  </w:abstractNum>
  <w:abstractNum w:abstractNumId="151">
    <w:nsid w:val="3F7C2FF4"/>
    <w:multiLevelType w:val="hybridMultilevel"/>
    <w:lvl w:ilvl="0">
      <w:lvlJc w:val="left"/>
      <w:lvlText w:val="(%1)"/>
      <w:numFmt w:val="lowerLetter"/>
      <w:start w:val="1"/>
    </w:lvl>
  </w:abstractNum>
  <w:abstractNum w:abstractNumId="152">
    <w:nsid w:val="25413BEC"/>
    <w:multiLevelType w:val="hybridMultilevel"/>
    <w:lvl w:ilvl="0">
      <w:lvlJc w:val="left"/>
      <w:lvlText w:val="(%1)"/>
      <w:numFmt w:val="lowerLetter"/>
      <w:start w:val="3"/>
    </w:lvl>
  </w:abstractNum>
  <w:abstractNum w:abstractNumId="153">
    <w:nsid w:val="17180B0B"/>
    <w:multiLevelType w:val="hybridMultilevel"/>
    <w:lvl w:ilvl="0">
      <w:lvlJc w:val="left"/>
      <w:lvlText w:val="(%1)"/>
      <w:numFmt w:val="lowerLetter"/>
      <w:start w:val="1"/>
    </w:lvl>
  </w:abstractNum>
  <w:abstractNum w:abstractNumId="154">
    <w:nsid w:val="579328B9"/>
    <w:multiLevelType w:val="hybridMultilevel"/>
    <w:lvl w:ilvl="0">
      <w:lvlJc w:val="left"/>
      <w:lvlText w:val="(%1)"/>
      <w:numFmt w:val="lowerLetter"/>
      <w:start w:val="1"/>
    </w:lvl>
  </w:abstractNum>
  <w:abstractNum w:abstractNumId="155">
    <w:nsid w:val="5D205E20"/>
    <w:multiLevelType w:val="hybridMultilevel"/>
    <w:lvl w:ilvl="0">
      <w:lvlJc w:val="left"/>
      <w:lvlText w:val="(%1)"/>
      <w:numFmt w:val="lowerRoman"/>
      <w:start w:val="2"/>
    </w:lvl>
  </w:abstractNum>
  <w:abstractNum w:abstractNumId="156">
    <w:nsid w:val="11CCA8BA"/>
    <w:multiLevelType w:val="hybridMultilevel"/>
    <w:lvl w:ilvl="0">
      <w:lvlJc w:val="left"/>
      <w:lvlText w:val="(%1)"/>
      <w:numFmt w:val="lowerLetter"/>
      <w:start w:val="2"/>
    </w:lvl>
    <w:lvl w:ilvl="1">
      <w:lvlJc w:val="left"/>
      <w:lvlText w:val="(%2)"/>
      <w:numFmt w:val="lowerRoman"/>
      <w:start w:val="1"/>
    </w:lvl>
  </w:abstractNum>
  <w:abstractNum w:abstractNumId="157">
    <w:nsid w:val="4D32AB86"/>
    <w:multiLevelType w:val="hybridMultilevel"/>
    <w:lvl w:ilvl="0">
      <w:lvlJc w:val="left"/>
      <w:lvlText w:val="(%1)"/>
      <w:numFmt w:val="lowerRoman"/>
      <w:start w:val="5"/>
    </w:lvl>
  </w:abstractNum>
  <w:abstractNum w:abstractNumId="158">
    <w:nsid w:val="3F07ACC3"/>
    <w:multiLevelType w:val="hybridMultilevel"/>
    <w:lvl w:ilvl="0">
      <w:lvlJc w:val="left"/>
      <w:lvlText w:val="(%1)"/>
      <w:numFmt w:val="lowerLetter"/>
      <w:start w:val="1"/>
    </w:lvl>
  </w:abstractNum>
  <w:abstractNum w:abstractNumId="159">
    <w:nsid w:val="6B47F63E"/>
    <w:multiLevelType w:val="hybridMultilevel"/>
    <w:lvl w:ilvl="0">
      <w:lvlJc w:val="left"/>
      <w:lvlText w:val="["/>
      <w:numFmt w:val="bullet"/>
      <w:start w:val="1"/>
    </w:lvl>
  </w:abstractNum>
  <w:abstractNum w:abstractNumId="160">
    <w:nsid w:val="5CB44A0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2023-10-18T08:15:35Z</dcterms:created>
  <dcterms:modified xsi:type="dcterms:W3CDTF">2023-10-18T08:15:35Z</dcterms:modified>
</cp:coreProperties>
</file>