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21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gridSpan w:val="3"/>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PERRY MICHAEL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100" w:type="dxa"/>
            <w:vAlign w:val="bottom"/>
            <w:gridSpan w:val="4"/>
          </w:tcPr>
          <w:p>
            <w:pPr>
              <w:ind w:left="40"/>
              <w:spacing w:after="0"/>
              <w:rPr>
                <w:sz w:val="20"/>
                <w:szCs w:val="20"/>
                <w:color w:val="auto"/>
              </w:rPr>
            </w:pPr>
            <w:r>
              <w:rPr>
                <w:rFonts w:ascii="Arial" w:cs="Arial" w:eastAsia="Arial" w:hAnsi="Arial"/>
                <w:sz w:val="20"/>
                <w:szCs w:val="20"/>
                <w:color w:val="0000FF"/>
                <w:w w:val="98"/>
              </w:rPr>
              <w:t>C/O AVITA THERAPEUTICS,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28159 AVENUE STANFORD,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Avita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RCEL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Chief Executive Officer</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21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348,239</w:t>
            </w:r>
            <w:r>
              <w:rPr>
                <w:rFonts w:ascii="Arial" w:cs="Arial" w:eastAsia="Arial" w:hAnsi="Arial"/>
                <w:sz w:val="25"/>
                <w:szCs w:val="25"/>
                <w:color w:val="008000"/>
                <w:vertAlign w:val="superscript"/>
              </w:rPr>
              <w:t>(1)(2)</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7"/>
              </w:rPr>
              <w:t>Stock Options (Right to Buy)</w:t>
            </w:r>
            <w:r>
              <w:rPr>
                <w:rFonts w:ascii="Arial" w:cs="Arial" w:eastAsia="Arial" w:hAnsi="Arial"/>
                <w:sz w:val="25"/>
                <w:szCs w:val="25"/>
                <w:color w:val="008000"/>
                <w:w w:val="97"/>
                <w:vertAlign w:val="superscript"/>
              </w:rPr>
              <w:t>(3)</w:t>
            </w:r>
          </w:p>
        </w:tc>
        <w:tc>
          <w:tcPr>
            <w:tcW w:w="124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Borders>
              <w:bottom w:val="single" w:sz="8" w:color="2C2C2C"/>
            </w:tcBorders>
          </w:tcPr>
          <w:p>
            <w:pPr>
              <w:jc w:val="right"/>
              <w:ind w:right="25"/>
              <w:spacing w:after="0"/>
              <w:rPr>
                <w:sz w:val="20"/>
                <w:szCs w:val="20"/>
                <w:color w:val="auto"/>
              </w:rPr>
            </w:pPr>
            <w:r>
              <w:rPr>
                <w:rFonts w:ascii="Arial" w:cs="Arial" w:eastAsia="Arial" w:hAnsi="Arial"/>
                <w:sz w:val="15"/>
                <w:szCs w:val="15"/>
                <w:color w:val="0000FF"/>
              </w:rPr>
              <w:t>11/30/2028</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w w:val="94"/>
              </w:rPr>
              <w:t>125,000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5.99</w:t>
            </w:r>
            <w:r>
              <w:rPr>
                <w:rFonts w:ascii="Arial" w:cs="Arial" w:eastAsia="Arial" w:hAnsi="Arial"/>
                <w:sz w:val="25"/>
                <w:szCs w:val="25"/>
                <w:color w:val="008000"/>
                <w:vertAlign w:val="superscript"/>
              </w:rPr>
              <w:t>(5)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-1818640</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5" w:lineRule="exact"/>
        <w:rPr>
          <w:sz w:val="24"/>
          <w:szCs w:val="24"/>
          <w:color w:val="auto"/>
        </w:rPr>
      </w:pPr>
    </w:p>
    <w:p>
      <w:pPr>
        <w:ind w:left="40" w:right="10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Includes 1,266,125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1,266,125 CDIs, which translate into 253,225 of the shares of Common Stock set forth above.</w:t>
      </w:r>
    </w:p>
    <w:p>
      <w:pPr>
        <w:spacing w:after="0" w:line="36" w:lineRule="exact"/>
        <w:rPr>
          <w:rFonts w:ascii="Arial" w:cs="Arial" w:eastAsia="Arial" w:hAnsi="Arial"/>
          <w:sz w:val="15"/>
          <w:szCs w:val="15"/>
          <w:color w:val="008000"/>
        </w:rPr>
      </w:pPr>
    </w:p>
    <w:p>
      <w:pPr>
        <w:ind w:left="40" w:right="180" w:firstLine="5"/>
        <w:spacing w:after="0" w:line="236"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Includes 95,014 unvested Restricted Stock Units ("RSUs"), each representing a contingent right to be issued one share of Common Stock, that are subject to time-based vesting criteria. These RSUs were originally rights to receive ordinary shares of AVITA Medical, Ltd., an Australian public company and predecessor to the Issuer ("Predecessor"). Pursuant to a scheme of arrangement, completed on June 30, 2020 (the "Scheme"), the RSUs became rights to be issued shares of Common Stock of the Issuer in the ratio of one share of Common Stock for every 100 ordinary shares of Predecessor to which the holder would otherwise have been entitled. The RSUs vest in two equal installments on June 1, 2021 and 2022.</w:t>
      </w:r>
    </w:p>
    <w:p>
      <w:pPr>
        <w:spacing w:after="0" w:line="37" w:lineRule="exact"/>
        <w:rPr>
          <w:rFonts w:ascii="Arial" w:cs="Arial" w:eastAsia="Arial" w:hAnsi="Arial"/>
          <w:sz w:val="15"/>
          <w:szCs w:val="15"/>
          <w:color w:val="008000"/>
        </w:rPr>
      </w:pPr>
    </w:p>
    <w:p>
      <w:pPr>
        <w:ind w:left="40" w:right="140" w:firstLine="5"/>
        <w:spacing w:after="0" w:line="313" w:lineRule="auto"/>
        <w:tabs>
          <w:tab w:leader="none" w:pos="19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were originally exercisable for ordinary shares of Predecessor. Pursuant to the Scheme, the Stock Options became exercisable for shares of Common Stock of the Issuer in the ratio of one share of Common Stock for every 100 ordinary shares of Predecessor for which the Stock Options would otherwise be exercisable.</w:t>
      </w: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Stock Options became exercisable based on time-based vesting criteria.</w:t>
      </w:r>
    </w:p>
    <w:p>
      <w:pPr>
        <w:spacing w:after="0" w:line="52" w:lineRule="exact"/>
        <w:rPr>
          <w:rFonts w:ascii="Arial" w:cs="Arial" w:eastAsia="Arial" w:hAnsi="Arial"/>
          <w:sz w:val="15"/>
          <w:szCs w:val="15"/>
          <w:color w:val="008000"/>
        </w:rPr>
      </w:pPr>
    </w:p>
    <w:p>
      <w:pPr>
        <w:ind w:left="40" w:right="34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exercise price was converted from A$8.20, which reflects the 100:1 consolidation ratio applied in converting ordinary shares of Predecessor to shares of the Issuer's Common Stock, using the exchange rate as published by the Reserve Bank of Australia in effect on the date of grant (November 30, 2018). The actual exercise price will be the Australian dollar amount regardless of the exchange rate on the date of grant or of exercise.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21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21,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Michael Perry</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Michael Perry</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50379"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2020-07-10T15:28:18Z</dcterms:created>
  <dcterms:modified xsi:type="dcterms:W3CDTF">2020-07-10T15:28:18Z</dcterms:modified>
</cp:coreProperties>
</file>