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Avita Therapeutics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 and Chess Depositary Interest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05380C102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05380C102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493,884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890,654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505,675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1,396,329 *</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6.46%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Avita Therapeutics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28159 Avenue Stanford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220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Valencia, CA 91355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 and Chess Depositary Interest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05380C102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1,396,329 *</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493,884</w:t>
      </w:r>
    </w:p>
    <w:p>
      <w:pPr>
        <w:spacing w:after="0" w:line="223" w:lineRule="exact"/>
        <w:rPr>
          <w:rFonts w:ascii="Arial" w:cs="Arial" w:eastAsia="Arial" w:hAnsi="Arial"/>
          <w:sz w:val="17"/>
          <w:szCs w:val="17"/>
          <w:color w:val="auto"/>
        </w:rPr>
      </w:pPr>
    </w:p>
    <w:p>
      <w:pPr>
        <w:jc w:val="both"/>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890,654 (iv) shared power to dispose or to direct the disposition of: 505,675</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right="200" w:firstLine="224"/>
        <w:spacing w:after="0" w:line="274" w:lineRule="auto"/>
        <w:tabs>
          <w:tab w:leader="none" w:pos="3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Vanguard Group, Inc. held 5,268,523 Chess Depository Interests (“CDIs”) and 342,625 shares of Common Stock as of the date of event which requires this filing statement. Each CDI share held represents 0.2 shares of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June 17,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Letter"/>
      <w:start w:val="9"/>
    </w:lvl>
  </w:abstractNum>
  <w:abstractNum w:abstractNumId="9">
    <w:nsid w:val="1F16E9E8"/>
    <w:multiLevelType w:val="hybridMultilevel"/>
    <w:lvl w:ilvl="0">
      <w:lvlJc w:val="left"/>
      <w:lvlText w:val="(%1)"/>
      <w:numFmt w:val="lowerLetter"/>
      <w:start w:val="35"/>
    </w:lvl>
  </w:abstractNum>
  <w:abstractNum w:abstractNumId="10">
    <w:nsid w:val="1190CDE7"/>
    <w:multiLevelType w:val="hybridMultilevel"/>
    <w:lvl w:ilvl="0">
      <w:lvlJc w:val="left"/>
      <w:lvlText w:val="(%1)"/>
      <w:numFmt w:val="lowerLetter"/>
      <w:start w:val="6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2021-06-17T10:52:33Z</dcterms:created>
  <dcterms:modified xsi:type="dcterms:W3CDTF">2021-06-17T10:52:33Z</dcterms:modified>
</cp:coreProperties>
</file>