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6"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333-271276</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 the Prospectus dated April 25</w:t>
      </w:r>
      <w:r>
        <w:rPr>
          <w:rFonts w:ascii="Arial" w:cs="Arial" w:eastAsia="Arial" w:hAnsi="Arial"/>
          <w:sz w:val="18"/>
          <w:szCs w:val="18"/>
          <w:color w:val="auto"/>
        </w:rPr>
        <w:t xml:space="preserve">, </w:t>
      </w:r>
      <w:r>
        <w:rPr>
          <w:rFonts w:ascii="Arial" w:cs="Arial" w:eastAsia="Arial" w:hAnsi="Arial"/>
          <w:sz w:val="18"/>
          <w:szCs w:val="18"/>
          <w:b w:val="1"/>
          <w:bCs w:val="1"/>
          <w:color w:val="auto"/>
        </w:rPr>
        <w:t>2023</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5715</wp:posOffset>
            </wp:positionV>
            <wp:extent cx="1397000" cy="1671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000" cy="1671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80"/>
        <w:spacing w:after="0"/>
        <w:rPr>
          <w:sz w:val="20"/>
          <w:szCs w:val="20"/>
          <w:color w:val="auto"/>
        </w:rPr>
      </w:pPr>
      <w:r>
        <w:rPr>
          <w:rFonts w:ascii="Arial" w:cs="Arial" w:eastAsia="Arial" w:hAnsi="Arial"/>
          <w:sz w:val="43"/>
          <w:szCs w:val="43"/>
          <w:b w:val="1"/>
          <w:bCs w:val="1"/>
          <w:color w:val="auto"/>
        </w:rPr>
        <w:t>AVITA Medical,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Warrant to Purchase 409,661 Shares of Common Stock</w:t>
      </w:r>
    </w:p>
    <w:p>
      <w:pPr>
        <w:spacing w:after="0" w:line="237"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Pursuant to this prospectus supplement and the accompanying prospectus, we are offering a warrant to purchase an aggregate of 409,661 shares of common stock with an exercise price of $10.9847 per share (the “Warrant”) directly to an investor in consideration of debt financing being obtained by the Company from an affiliate of the investor and certain services performed in connection therewith. The Warrant is exercisable immediately as of the date of issuance and expires ten years from the date of issuance. The Warrant will not be listed on any securities exchange. We will not receive any proceeds from the issuance of the Warrant, but may receive proceeds upon exercise of the Warrant to the extent the Warrant is exercised for cash, in which case we could receive up to an aggregate of approximately $4.5 million. We are not paying any commissions or fees with respect to the Warrant or the underlying shares of common stock (the “Warrant Shares”).</w:t>
      </w:r>
    </w:p>
    <w:p>
      <w:pPr>
        <w:spacing w:after="0" w:line="195"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Our common stock trades on The Nasdaq Stock Market LLC under the symbol “RCEL.” Our CHESS Depositary Interests (“CDIs”) are listed on the Australian Securities Exchange (“ASX”) under the symbol “AVH” with five CDIs being equivalent to one share of our common stock. On October 16, 2023, the last reported sale price for our common stock on Nasdaq was $10.52 per share and the last reported sale price of our CDIs on the ASX was $3.31 per CDI.</w:t>
      </w:r>
    </w:p>
    <w:p>
      <w:pPr>
        <w:spacing w:after="0" w:line="187" w:lineRule="exact"/>
        <w:rPr>
          <w:sz w:val="24"/>
          <w:szCs w:val="24"/>
          <w:color w:val="auto"/>
        </w:rPr>
      </w:pPr>
    </w:p>
    <w:p>
      <w:pPr>
        <w:ind w:right="480"/>
        <w:spacing w:after="0" w:line="263" w:lineRule="auto"/>
        <w:rPr>
          <w:sz w:val="20"/>
          <w:szCs w:val="20"/>
          <w:color w:val="auto"/>
        </w:rPr>
      </w:pPr>
      <w:r>
        <w:rPr>
          <w:rFonts w:ascii="Arial" w:cs="Arial" w:eastAsia="Arial" w:hAnsi="Arial"/>
          <w:sz w:val="18"/>
          <w:szCs w:val="18"/>
          <w:color w:val="auto"/>
        </w:rPr>
        <w:t>We are an “emerging growth company” as that term is defined in the Jumpstart Our Business Startups Act of 2012 and, as such, are subject to certain reduced public company reporting requirements. See “The Company—Implications of Being an Emerging Growth Company” in the accompanying prospectus.</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color w:val="auto"/>
        </w:rPr>
        <w:t>Delivery of the Warrant is expected to be made on or about October 18, 2023.</w:t>
      </w:r>
    </w:p>
    <w:p>
      <w:pPr>
        <w:spacing w:after="0" w:line="221" w:lineRule="exact"/>
        <w:rPr>
          <w:sz w:val="24"/>
          <w:szCs w:val="24"/>
          <w:color w:val="auto"/>
        </w:rPr>
      </w:pPr>
    </w:p>
    <w:p>
      <w:pPr>
        <w:ind w:right="220"/>
        <w:spacing w:after="0" w:line="347" w:lineRule="auto"/>
        <w:rPr>
          <w:sz w:val="20"/>
          <w:szCs w:val="20"/>
          <w:color w:val="auto"/>
        </w:rPr>
      </w:pPr>
      <w:r>
        <w:rPr>
          <w:rFonts w:ascii="Arial" w:cs="Arial" w:eastAsia="Arial" w:hAnsi="Arial"/>
          <w:sz w:val="16"/>
          <w:szCs w:val="16"/>
          <w:b w:val="1"/>
          <w:bCs w:val="1"/>
          <w:color w:val="auto"/>
        </w:rPr>
        <w:t>Our business and an investment in our securities involve significant risks. Please read carefully the section entitled “</w:t>
      </w:r>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color w:val="auto"/>
        </w:rPr>
        <w:t>” beginning on page S-8 of this prospectus supplement and in the documents incorporated by reference into this prospectus supplement.</w:t>
      </w:r>
    </w:p>
    <w:p>
      <w:pPr>
        <w:spacing w:after="0" w:line="116" w:lineRule="exact"/>
        <w:rPr>
          <w:sz w:val="24"/>
          <w:szCs w:val="24"/>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0" w:lineRule="exact"/>
        <w:rPr>
          <w:sz w:val="24"/>
          <w:szCs w:val="24"/>
          <w:color w:val="auto"/>
        </w:rPr>
      </w:pPr>
    </w:p>
    <w:p>
      <w:pPr>
        <w:spacing w:after="0" w:line="27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The date of this prospectus supplement is October 18,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Page</w:t>
            </w:r>
          </w:p>
        </w:tc>
      </w:tr>
      <w:tr>
        <w:trPr>
          <w:trHeight w:val="183"/>
        </w:trPr>
        <w:tc>
          <w:tcPr>
            <w:tcW w:w="3440" w:type="dxa"/>
            <w:vAlign w:val="bottom"/>
            <w:tcBorders>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3"/>
              </w:rPr>
              <w:t>ABOUT THIS PROSPECTUS SUPPLEMENT</w:t>
            </w:r>
          </w:p>
        </w:tc>
        <w:tc>
          <w:tcPr>
            <w:tcW w:w="6540" w:type="dxa"/>
            <w:vAlign w:val="bottom"/>
            <w:gridSpan w:val="5"/>
          </w:tcPr>
          <w:p>
            <w:pPr>
              <w:spacing w:after="0"/>
              <w:rPr>
                <w:sz w:val="15"/>
                <w:szCs w:val="15"/>
                <w:color w:val="auto"/>
              </w:rPr>
            </w:pPr>
          </w:p>
        </w:tc>
        <w:tc>
          <w:tcPr>
            <w:tcW w:w="1140" w:type="dxa"/>
            <w:vAlign w:val="bottom"/>
          </w:tcPr>
          <w:p>
            <w:pPr>
              <w:ind w:left="340"/>
              <w:spacing w:after="0" w:line="182" w:lineRule="exact"/>
              <w:rPr>
                <w:sz w:val="20"/>
                <w:szCs w:val="20"/>
                <w:color w:val="auto"/>
              </w:rPr>
            </w:pPr>
            <w:r>
              <w:rPr>
                <w:rFonts w:ascii="Arial" w:cs="Arial" w:eastAsia="Arial" w:hAnsi="Arial"/>
                <w:sz w:val="18"/>
                <w:szCs w:val="18"/>
                <w:color w:val="auto"/>
              </w:rPr>
              <w:t>S-3</w:t>
            </w:r>
          </w:p>
        </w:tc>
      </w:tr>
      <w:tr>
        <w:trPr>
          <w:trHeight w:val="223"/>
        </w:trPr>
        <w:tc>
          <w:tcPr>
            <w:tcW w:w="5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5"/>
              </w:rPr>
              <w:t>SPECIAL NOTE REGARDING FORWARD-LOOKING STATEMENTS</w:t>
            </w:r>
          </w:p>
        </w:tc>
        <w:tc>
          <w:tcPr>
            <w:tcW w:w="4640" w:type="dxa"/>
            <w:vAlign w:val="bottom"/>
          </w:tcPr>
          <w:p>
            <w:pPr>
              <w:spacing w:after="0"/>
              <w:rPr>
                <w:sz w:val="19"/>
                <w:szCs w:val="19"/>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rPr>
              <w:t>S-4</w:t>
            </w:r>
          </w:p>
        </w:tc>
      </w:tr>
      <w:tr>
        <w:trPr>
          <w:trHeight w:val="223"/>
        </w:trPr>
        <w:tc>
          <w:tcPr>
            <w:tcW w:w="33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4"/>
              </w:rPr>
              <w:t>PROSPECTUS SUPPLEMENT SUMMARY</w:t>
            </w:r>
          </w:p>
        </w:tc>
        <w:tc>
          <w:tcPr>
            <w:tcW w:w="6680" w:type="dxa"/>
            <w:vAlign w:val="bottom"/>
            <w:gridSpan w:val="6"/>
          </w:tcPr>
          <w:p>
            <w:pPr>
              <w:spacing w:after="0"/>
              <w:rPr>
                <w:sz w:val="19"/>
                <w:szCs w:val="19"/>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rPr>
              <w:t>S-5</w:t>
            </w:r>
          </w:p>
        </w:tc>
      </w:tr>
      <w:tr>
        <w:trPr>
          <w:trHeight w:val="223"/>
        </w:trPr>
        <w:tc>
          <w:tcPr>
            <w:tcW w:w="9980" w:type="dxa"/>
            <w:vAlign w:val="bottom"/>
            <w:gridSpan w:val="13"/>
          </w:tcPr>
          <w:p>
            <w:pPr>
              <w:spacing w:after="0"/>
              <w:rPr>
                <w:sz w:val="20"/>
                <w:szCs w:val="20"/>
                <w:color w:val="auto"/>
              </w:rPr>
            </w:pPr>
            <w:r>
              <w:rPr>
                <w:rFonts w:ascii="Arial" w:cs="Arial" w:eastAsia="Arial" w:hAnsi="Arial"/>
                <w:sz w:val="18"/>
                <w:szCs w:val="18"/>
                <w:color w:val="0000FF"/>
              </w:rPr>
              <w:t>RISK FACTORS</w:t>
            </w:r>
          </w:p>
        </w:tc>
        <w:tc>
          <w:tcPr>
            <w:tcW w:w="1140" w:type="dxa"/>
            <w:vAlign w:val="bottom"/>
          </w:tcPr>
          <w:p>
            <w:pPr>
              <w:ind w:left="340"/>
              <w:spacing w:after="0"/>
              <w:rPr>
                <w:sz w:val="20"/>
                <w:szCs w:val="20"/>
                <w:color w:val="auto"/>
              </w:rPr>
            </w:pPr>
            <w:r>
              <w:rPr>
                <w:rFonts w:ascii="Arial" w:cs="Arial" w:eastAsia="Arial" w:hAnsi="Arial"/>
                <w:sz w:val="18"/>
                <w:szCs w:val="18"/>
                <w:color w:val="auto"/>
              </w:rPr>
              <w:t>S-8</w:t>
            </w:r>
          </w:p>
        </w:tc>
      </w:tr>
      <w:tr>
        <w:trPr>
          <w:trHeight w:val="20"/>
        </w:trPr>
        <w:tc>
          <w:tcPr>
            <w:tcW w:w="7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16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USE OF PROCEEDS</w:t>
            </w:r>
          </w:p>
        </w:tc>
        <w:tc>
          <w:tcPr>
            <w:tcW w:w="8380" w:type="dxa"/>
            <w:vAlign w:val="bottom"/>
            <w:gridSpan w:val="8"/>
          </w:tcPr>
          <w:p>
            <w:pPr>
              <w:spacing w:after="0"/>
              <w:rPr>
                <w:sz w:val="19"/>
                <w:szCs w:val="19"/>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rPr>
              <w:t>S-10</w:t>
            </w:r>
          </w:p>
        </w:tc>
      </w:tr>
      <w:tr>
        <w:trPr>
          <w:trHeight w:val="223"/>
        </w:trPr>
        <w:tc>
          <w:tcPr>
            <w:tcW w:w="15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DIVIDEND POLICY</w:t>
            </w:r>
          </w:p>
        </w:tc>
        <w:tc>
          <w:tcPr>
            <w:tcW w:w="8400" w:type="dxa"/>
            <w:vAlign w:val="bottom"/>
            <w:gridSpan w:val="9"/>
          </w:tcPr>
          <w:p>
            <w:pPr>
              <w:spacing w:after="0"/>
              <w:rPr>
                <w:sz w:val="19"/>
                <w:szCs w:val="19"/>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rPr>
              <w:t>S-11</w:t>
            </w:r>
          </w:p>
        </w:tc>
      </w:tr>
      <w:tr>
        <w:trPr>
          <w:trHeight w:val="223"/>
        </w:trPr>
        <w:tc>
          <w:tcPr>
            <w:tcW w:w="42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3"/>
              </w:rPr>
              <w:t>DESCRIPTION OF SECURITIES TO BE REGISTERED</w:t>
            </w:r>
          </w:p>
        </w:tc>
        <w:tc>
          <w:tcPr>
            <w:tcW w:w="5760" w:type="dxa"/>
            <w:vAlign w:val="bottom"/>
            <w:gridSpan w:val="3"/>
          </w:tcPr>
          <w:p>
            <w:pPr>
              <w:spacing w:after="0"/>
              <w:rPr>
                <w:sz w:val="19"/>
                <w:szCs w:val="19"/>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rPr>
              <w:t>S-12</w:t>
            </w:r>
          </w:p>
        </w:tc>
      </w:tr>
      <w:tr>
        <w:trPr>
          <w:trHeight w:val="223"/>
        </w:trPr>
        <w:tc>
          <w:tcPr>
            <w:tcW w:w="20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7"/>
              </w:rPr>
              <w:t>PLAN OF DISTRIBUTION</w:t>
            </w:r>
          </w:p>
        </w:tc>
        <w:tc>
          <w:tcPr>
            <w:tcW w:w="7920" w:type="dxa"/>
            <w:vAlign w:val="bottom"/>
            <w:gridSpan w:val="7"/>
          </w:tcPr>
          <w:p>
            <w:pPr>
              <w:spacing w:after="0"/>
              <w:rPr>
                <w:sz w:val="19"/>
                <w:szCs w:val="19"/>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rPr>
              <w:t>S-13</w:t>
            </w:r>
          </w:p>
        </w:tc>
      </w:tr>
      <w:tr>
        <w:trPr>
          <w:trHeight w:val="223"/>
        </w:trPr>
        <w:tc>
          <w:tcPr>
            <w:tcW w:w="14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6"/>
              </w:rPr>
              <w:t>LEGAL MATTERS</w:t>
            </w:r>
          </w:p>
        </w:tc>
        <w:tc>
          <w:tcPr>
            <w:tcW w:w="8520" w:type="dxa"/>
            <w:vAlign w:val="bottom"/>
            <w:gridSpan w:val="10"/>
          </w:tcPr>
          <w:p>
            <w:pPr>
              <w:spacing w:after="0"/>
              <w:rPr>
                <w:sz w:val="19"/>
                <w:szCs w:val="19"/>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rPr>
              <w:t>S-14</w:t>
            </w:r>
          </w:p>
        </w:tc>
      </w:tr>
      <w:tr>
        <w:trPr>
          <w:trHeight w:val="223"/>
        </w:trPr>
        <w:tc>
          <w:tcPr>
            <w:tcW w:w="7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EXPERTS</w:t>
            </w:r>
          </w:p>
        </w:tc>
        <w:tc>
          <w:tcPr>
            <w:tcW w:w="9200" w:type="dxa"/>
            <w:vAlign w:val="bottom"/>
            <w:gridSpan w:val="12"/>
          </w:tcPr>
          <w:p>
            <w:pPr>
              <w:spacing w:after="0"/>
              <w:rPr>
                <w:sz w:val="19"/>
                <w:szCs w:val="19"/>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rPr>
              <w:t>S-14</w:t>
            </w:r>
          </w:p>
        </w:tc>
      </w:tr>
      <w:tr>
        <w:trPr>
          <w:trHeight w:val="223"/>
        </w:trPr>
        <w:tc>
          <w:tcPr>
            <w:tcW w:w="38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7"/>
              </w:rPr>
              <w:t>WHERE YOU CAN FIND MORE INFORMATION</w:t>
            </w:r>
          </w:p>
        </w:tc>
        <w:tc>
          <w:tcPr>
            <w:tcW w:w="6160" w:type="dxa"/>
            <w:vAlign w:val="bottom"/>
            <w:gridSpan w:val="4"/>
          </w:tcPr>
          <w:p>
            <w:pPr>
              <w:spacing w:after="0"/>
              <w:rPr>
                <w:sz w:val="19"/>
                <w:szCs w:val="19"/>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rPr>
              <w:t>S-14</w:t>
            </w:r>
          </w:p>
        </w:tc>
      </w:tr>
      <w:tr>
        <w:trPr>
          <w:trHeight w:val="223"/>
        </w:trPr>
        <w:tc>
          <w:tcPr>
            <w:tcW w:w="51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5"/>
              </w:rPr>
              <w:t>INCORPORATION OF CERTAIN INFORMATION BY REFERENCE</w:t>
            </w:r>
          </w:p>
        </w:tc>
        <w:tc>
          <w:tcPr>
            <w:tcW w:w="4800" w:type="dxa"/>
            <w:vAlign w:val="bottom"/>
            <w:gridSpan w:val="2"/>
          </w:tcPr>
          <w:p>
            <w:pPr>
              <w:spacing w:after="0"/>
              <w:rPr>
                <w:sz w:val="19"/>
                <w:szCs w:val="19"/>
                <w:color w:val="auto"/>
              </w:rPr>
            </w:pPr>
          </w:p>
        </w:tc>
        <w:tc>
          <w:tcPr>
            <w:tcW w:w="1140" w:type="dxa"/>
            <w:vAlign w:val="bottom"/>
          </w:tcPr>
          <w:p>
            <w:pPr>
              <w:ind w:left="340"/>
              <w:spacing w:after="0"/>
              <w:rPr>
                <w:sz w:val="20"/>
                <w:szCs w:val="20"/>
                <w:color w:val="auto"/>
              </w:rPr>
            </w:pPr>
            <w:r>
              <w:rPr>
                <w:rFonts w:ascii="Arial" w:cs="Arial" w:eastAsia="Arial" w:hAnsi="Arial"/>
                <w:sz w:val="18"/>
                <w:szCs w:val="18"/>
                <w:color w:val="auto"/>
              </w:rPr>
              <w:t>S-14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18"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and certain other matters relating to us, which may also, where applicable, add to and update information contained in the accompanying prospectus and the documents incorporated by reference into this prospectus supplement and the accompanying prospectus. The second part, the accompanying prospectus, dated April 25, 2023, including the documents incorporated by reference therein and included as part of our registration statement on Form S-3 (333-271276), gives more general information about securities we may offer from time to time, some of which does not apply to this offering. Generally, when we refer to this prospectus, we are referring to both parts of this document combined together with all documents incorporated by reference. If information in this prospectus supplement is inconsistent with the accompanying prospectus, you should rely on the information contained in this prospectus supplement. However, if any statement in one of these documents is inconsistent with a statement in another document having a later date — for example, a document incorporated by reference into this prospectus supplement or the accompanying prospectus — the statement in the document having the later date modifies or supersedes the earlier statement as our business, financial condition, results of operations and prospects may have changed since the earlier date.</w:t>
      </w:r>
    </w:p>
    <w:p>
      <w:pPr>
        <w:spacing w:after="0" w:line="16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not authorized anyone to provide you with any information or to make any representation, other than those contained or incorporated by reference in this prospectus supplement, the accompanying prospectus or any free writing prospectus we have prepared by or on behalf of us or to which we have referred you relating to this offering. We take no responsibility for, and provide no assurance as to the reliability of, any other information that others may give you. The information contained in, or incorporated by reference into, this prospectus supplement and the accompanying prospectus is accurate only as of the date thereof, regardless of the time of delivery of this prospectus supplement and the accompanying prospectus or of any sale of securities. It is important for you to read and consider all information contained in this prospectus supplement and the accompanying prospectus, including the documents incorporated by reference herein and therein, in making your investment decision.</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not offering to sell, nor seeking offers to buy, securities in any jurisdictions where such offers and sales are not permitted. The distribution of this prospectus supplement and the accompanying prospectus and the offering of securities in certain jurisdictions or to certain persons within such jurisdictions may be restricted by law. Persons outside the United States who come into possession of this prospectus supplement and the accompanying prospectus must inform themselves about and observe any restrictions relating to the offering of securities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You should also read and consider the information in the documents to which we have referred you in the sections entitled “Where You Can Find More Information” and “Incorporation of Certain Information by Reference” in this prospectus supplement.</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context otherwise indicates, references in this prospectus supplement to “AVITA,” “we,” “our,” “us” and “the Company” refer, collectively, to AVITA Medical, Inc., a Delaware corporation, and its consolidated subsidiaries.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prospectus supplement and the accompanying prospectus, including the documents that we incorporate by reference herein and therein, contain forward-looking statements within the meaning of Section 27A of the Securities Act and Section 21E of the Securities Exchange Act. The words “anticipate,” “believe,” “ensure,” “expect,” “if,” “intend,” “estimate,” “probable,” “project,” “forecasts,” “predict,” “outlook,” “aim,” “will,” “could,” “should,” “would,” “may,” “likely” and similar expressions, and the negative thereof, are intended to identify forward-looking statements. These forward-looking statements include, but are not limited to, statements about:</w:t>
      </w:r>
    </w:p>
    <w:p>
      <w:pPr>
        <w:spacing w:after="0" w:line="188" w:lineRule="exact"/>
        <w:rPr>
          <w:sz w:val="20"/>
          <w:szCs w:val="20"/>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expectations regarding the benefits of our RECELL System;</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ongoing clinical trials;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rate and degree of market acceptance of our RECELL System;</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estimates of our expenses, future revenue and capital requirements;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additional funds for our operations;</w:t>
      </w:r>
    </w:p>
    <w:p>
      <w:pPr>
        <w:spacing w:after="0" w:line="225"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technologies and our ability to operate our business without infringing the intellectual property rights of others;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third-party supply and manufacturing partners to supply the materials and components for our products;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attract and retain qualified key management and technical personnel;</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operational and management restructuring activities (including implementation of methodologies and changes in the board of directors)</w:t>
      </w:r>
    </w:p>
    <w:p>
      <w:pPr>
        <w:spacing w:after="0" w:line="236" w:lineRule="exact"/>
        <w:rPr>
          <w:rFonts w:ascii="Arial" w:cs="Arial" w:eastAsia="Arial" w:hAnsi="Arial"/>
          <w:sz w:val="17"/>
          <w:szCs w:val="17"/>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existing and new governmental laws and regulations;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sales, marketing and distribution capabilities and strategy;</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expand our sales organization to address effectively existing and new markets that we intend to target;</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financial performance, future working capital, costs, revenues, business opportunities, cash flows, margins, earnings and growth;</w:t>
      </w:r>
    </w:p>
    <w:p>
      <w:pPr>
        <w:spacing w:after="0" w:line="236" w:lineRule="exact"/>
        <w:rPr>
          <w:rFonts w:ascii="Arial" w:cs="Arial" w:eastAsia="Arial" w:hAnsi="Arial"/>
          <w:sz w:val="17"/>
          <w:szCs w:val="17"/>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relating to our competitors or our industry; and</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inflationary pressures on the U.S. and global economy and rising interest rates.</w:t>
      </w:r>
    </w:p>
    <w:p>
      <w:pPr>
        <w:spacing w:after="0" w:line="22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Our forward-looking statements are based on assumptions that we believe to be reasonable but that may not prove to be accurate. The statements do not include the potential impact of future transactions, such as an acquisition, disposition, merger, joint venture or other transaction that could occur. We undertake no obligation to publicly update or revise any forward-looking statement, except as required by law.</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All of our forward-looking information is subject to risks and uncertainties that could cause actual results to differ materially from the results expected. Although it is not possible to identify all factors, these risks and uncertainties include the risk factors and the timing of any of those risk factors described in our most recent Annual Report on Form 10-K and any subsequently filed Quarterly Reports on Form 10-Q. These documents are available through the SEC’s Electronic Data Gathering and Analysis Retrieval System at </w:t>
      </w:r>
      <w:r>
        <w:rPr>
          <w:rFonts w:ascii="Arial" w:cs="Arial" w:eastAsia="Arial" w:hAnsi="Arial"/>
          <w:sz w:val="18"/>
          <w:szCs w:val="18"/>
          <w:u w:val="single" w:color="auto"/>
          <w:color w:val="auto"/>
        </w:rPr>
        <w:t>http://www.sec.gov</w:t>
      </w:r>
      <w:r>
        <w:rPr>
          <w:rFonts w:ascii="Arial" w:cs="Arial" w:eastAsia="Arial" w:hAnsi="Arial"/>
          <w:sz w:val="18"/>
          <w:szCs w:val="18"/>
          <w:color w:val="auto"/>
        </w:rPr>
        <w: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85058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505825"/>
                    </a:xfrm>
                    <a:prstGeom prst="rect">
                      <a:avLst/>
                    </a:prstGeom>
                    <a:noFill/>
                  </pic:spPr>
                </pic:pic>
              </a:graphicData>
            </a:graphic>
          </wp:anchor>
        </w:drawing>
        <w:t>Table of Contents</w:t>
      </w:r>
    </w:p>
    <w:p>
      <w:pPr>
        <w:spacing w:after="0" w:line="200" w:lineRule="exact"/>
        <w:rPr>
          <w:sz w:val="20"/>
          <w:szCs w:val="20"/>
          <w:color w:val="auto"/>
        </w:rPr>
      </w:pPr>
    </w:p>
    <w:p>
      <w:pPr>
        <w:spacing w:after="0" w:line="33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i w:val="1"/>
          <w:iCs w:val="1"/>
          <w:color w:val="auto"/>
        </w:rPr>
        <w:t>This summary highlights information contained elsewhere or incorporated by reference into this prospectus supplement and the accompanying prospectus. This summary does not contain all of the information that you should consider before deciding to invest in our securities. You should read this entire prospectus supplement and the accompanying prospectus carefully, including the information incorporated by reference herein and therein, including the information set forth under the heading “Risk Factors” in this prospectus supplement and incorporated by reference from our Annual Report on Form 10-K for the year ended December 31, 2022, as well as our consolidated financial statements and the related notes and the other documents incorporated by reference into this prospectus supplement and the accompanying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AVITA Medical, Inc. (collectively, including its subsidiaries, “</w:t>
      </w:r>
      <w:r>
        <w:rPr>
          <w:rFonts w:ascii="Arial" w:cs="Arial" w:eastAsia="Arial" w:hAnsi="Arial"/>
          <w:sz w:val="18"/>
          <w:szCs w:val="18"/>
          <w:b w:val="1"/>
          <w:bCs w:val="1"/>
          <w:color w:val="auto"/>
        </w:rPr>
        <w:t>AVITA Medical</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is a regenerative medicine company leading the development and commercialization of devices and autologous cellular therapies for skin restoration. Our patented and proprietary RECELL® System technology platform harnesses the regenerative properties of a patient’s own skin to create Spray-On Skin</w:t>
      </w:r>
      <w:r>
        <w:rPr>
          <w:rFonts w:ascii="Arial" w:cs="Arial" w:eastAsia="Arial" w:hAnsi="Arial"/>
          <w:sz w:val="24"/>
          <w:szCs w:val="24"/>
          <w:color w:val="auto"/>
          <w:vertAlign w:val="superscript"/>
        </w:rPr>
        <w:t>™</w:t>
      </w:r>
      <w:r>
        <w:rPr>
          <w:rFonts w:ascii="Arial" w:cs="Arial" w:eastAsia="Arial" w:hAnsi="Arial"/>
          <w:sz w:val="18"/>
          <w:szCs w:val="18"/>
          <w:color w:val="auto"/>
        </w:rPr>
        <w:t>Cells, an autologous skin cell suspension that is sprayed onto the patient to regenerate natural healthy skin.</w:t>
      </w:r>
    </w:p>
    <w:p>
      <w:pPr>
        <w:spacing w:after="0" w:line="20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RECELL System has a long-established safety profile, and clear potential for clinical and health-economic value propositions across a range of skin-related clinical indications. The patented and proprietary platform technology underlying Spray-On Skin™ Cells originated in Australia, based on the seminal work of Professor Fiona Wood and fellow scientist Marie Stoner. RECELL was initially launched in the European Union in 2005, and then in Australia in 2006, ahead of pivotal outcomes data demonstrating clinical performance relative to standard care. Pivotal trials were conducted in the U.S. beginning in 2010. In September 2018, the U.S. Food and Drug Administration (“</w:t>
      </w:r>
      <w:r>
        <w:rPr>
          <w:rFonts w:ascii="Arial" w:cs="Arial" w:eastAsia="Arial" w:hAnsi="Arial"/>
          <w:sz w:val="16"/>
          <w:szCs w:val="16"/>
          <w:b w:val="1"/>
          <w:bCs w:val="1"/>
          <w:color w:val="auto"/>
        </w:rPr>
        <w:t>FDA</w:t>
      </w:r>
      <w:r>
        <w:rPr>
          <w:rFonts w:ascii="Arial" w:cs="Arial" w:eastAsia="Arial" w:hAnsi="Arial"/>
          <w:sz w:val="16"/>
          <w:szCs w:val="16"/>
          <w:color w:val="auto"/>
        </w:rPr>
        <w:t>”) approved RECELL as a Class 3 device through a premarket approval (“</w:t>
      </w:r>
      <w:r>
        <w:rPr>
          <w:rFonts w:ascii="Arial" w:cs="Arial" w:eastAsia="Arial" w:hAnsi="Arial"/>
          <w:sz w:val="16"/>
          <w:szCs w:val="16"/>
          <w:b w:val="1"/>
          <w:bCs w:val="1"/>
          <w:color w:val="auto"/>
        </w:rPr>
        <w:t>PMA</w:t>
      </w:r>
      <w:r>
        <w:rPr>
          <w:rFonts w:ascii="Arial" w:cs="Arial" w:eastAsia="Arial" w:hAnsi="Arial"/>
          <w:sz w:val="16"/>
          <w:szCs w:val="16"/>
          <w:color w:val="auto"/>
        </w:rPr>
        <w:t>”) for the treatment of acute thermal burn injuries in patients 18 years and older. Following receipt of our original PMA, we commenced commercialization of the RECELL System in January 2019 in the United States. RECELL is a first-of-kind medical device approved through FDA’s Center for Biologics Evaluation and Research, and the first Class 3 device approved for use in burn care in over 20 years.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840"/>
        <w:spacing w:after="0" w:line="263" w:lineRule="auto"/>
        <w:rPr>
          <w:sz w:val="20"/>
          <w:szCs w:val="20"/>
          <w:color w:val="auto"/>
        </w:rPr>
      </w:pPr>
      <w:r>
        <w:rPr>
          <w:rFonts w:ascii="Arial" w:cs="Arial" w:eastAsia="Arial" w:hAnsi="Arial"/>
          <w:sz w:val="18"/>
          <w:szCs w:val="18"/>
          <w:color w:val="auto"/>
        </w:rPr>
        <w:t>On June 7, 2023, the FDA approved a PMA supplement for full-thickness skin defects based on results of our trial for soft tissue repair and reconstruction. Following this approval, we initiated the commercial launch of full-thickness skin defects, along with additional eligible burn procedures, with our expanded U.S. commercial organization on June 8, 2023.</w:t>
      </w:r>
    </w:p>
    <w:p>
      <w:pPr>
        <w:spacing w:after="0" w:line="184"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On June 16, 2023, the FDA approved a PMA application for the repigmentation of stable depigmented vitiligo lesions. We plan to commence a full commercial launch following the expected receipt of in-office reimbursement for the use of RECELL in the physician office setting, which we anticipate in 2025.</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July 1, 2023, we initiated a post-market study to demonstrate both the repigmentation and mental health benefits after treatment of stable vitiligo lesions using RECELL.</w:t>
      </w:r>
    </w:p>
    <w:p>
      <w:pPr>
        <w:spacing w:after="0" w:line="1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June 30, 2023, we submitted a PMA supplement application to the FDA for our automated cell disaggregation device, RECELL GO™. RECELL GO maintains the FDA Breakthrough Device designation from predecessor devices. The submission initiated a prioritized, interactive review of the PMA under the FDA’s Breakthrough Device program, which follows a 180-day review cycle.</w:t>
      </w:r>
    </w:p>
    <w:p>
      <w:pPr>
        <w:spacing w:after="0" w:line="184"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On September 29, 2023, we received notice from the FDA that additional information regarding the PMA supplement for RECELL GO is required for the continuation of a substantive review. Upon the Company’s submission of a complete response to the FDA’s request, the application will reenter the 180-day cycle, with 90 days remaining in the review period. This timing would imply an expected product launch between May 1 and July 1, 2024.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Financing</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issuance of the Warrant, the Company is entering into a Credit Agreement (the “Credit Agreement”), by and between the Company, as borrower, and ORCO IV LLC, an affiliate of OrbiMed Advisors, LLC (“OrbiMed”), as the lender and administrative agent. The Credit Agreement provides for a five-year senior secured credit facility in an aggregate principal amount of up to $90.0 million, of which $40.0 million is being made available on the closing date and two term loans, each up to $25 million, will be made available on or prior to December 31, 2024 and June 30, 2025, respectively, subject to certain revenue requirements. The indebtedness under the Credit Agreement will be secured by substantially all of our assets and will accrue interest at a rate equal to the greater of (a) forward-looking one-month term SOFR rate and (b) four percent (4%) per annum, plus eight percent (8%). In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139065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540"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2325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325370"/>
                    </a:xfrm>
                    <a:prstGeom prst="rect">
                      <a:avLst/>
                    </a:prstGeom>
                    <a:noFill/>
                  </pic:spPr>
                </pic:pic>
              </a:graphicData>
            </a:graphic>
          </wp:anchor>
        </w:drawing>
        <w:t>Table of Contents</w:t>
      </w:r>
    </w:p>
    <w:p>
      <w:pPr>
        <w:spacing w:after="0" w:line="200" w:lineRule="exact"/>
        <w:rPr>
          <w:sz w:val="20"/>
          <w:szCs w:val="20"/>
          <w:color w:val="auto"/>
        </w:rPr>
      </w:pPr>
    </w:p>
    <w:p>
      <w:pPr>
        <w:spacing w:after="0" w:line="3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event that the Company does not meet certain twelve-month trailing revenue targets at the end of certain fiscal quarters, the outstanding balance of the loan must be repaid in equal quarterly installments of 5% of the funded amount through the maturity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Our principal executive offices are located at 28159 Avenue Stanford, Suite 220, Valencia, CA 91355. Our telephone number is (661) 367-9170. Our website address is www.avitamedical.com. The information on, or that can be accessed through, our website is not part of this prospectus supplement and is not incorporated by reference in this prospectus supplement.</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147955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460" w:top="540" w:right="619" w:bottom="1440" w:gutter="0" w:footer="0" w:header="0"/>
        </w:sectPr>
      </w:pPr>
    </w:p>
    <w:bookmarkStart w:id="6" w:name="page7"/>
    <w:bookmarkEnd w:id="6"/>
    <w:p>
      <w:pPr>
        <w:ind w:left="140"/>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5977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5977255"/>
                    </a:xfrm>
                    <a:prstGeom prst="rect">
                      <a:avLst/>
                    </a:prstGeom>
                    <a:noFill/>
                  </pic:spPr>
                </pic:pic>
              </a:graphicData>
            </a:graphic>
          </wp:anchor>
        </w:drawing>
        <w:t>Table of Contents</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140" w:right="200"/>
        <w:spacing w:after="0" w:line="259" w:lineRule="auto"/>
        <w:rPr>
          <w:sz w:val="20"/>
          <w:szCs w:val="20"/>
          <w:color w:val="auto"/>
        </w:rPr>
      </w:pPr>
      <w:r>
        <w:rPr>
          <w:rFonts w:ascii="Arial" w:cs="Arial" w:eastAsia="Arial" w:hAnsi="Arial"/>
          <w:sz w:val="18"/>
          <w:szCs w:val="18"/>
          <w:i w:val="1"/>
          <w:iCs w:val="1"/>
          <w:color w:val="auto"/>
        </w:rPr>
        <w:t>The following is a brief summary of some of the terms of the offering and is qualified in its entirety by reference to the more detailed information appearing elsewhere in this prospectus supplement and the accompanying prospectus. For a more complete description of the terms of the warrant and the underlying common stock, see “Description of Common Stock We May Offer” in the accompanying prospectus and "Description of Securities to be Registered" in this prospectus.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0" w:type="dxa"/>
            <w:vAlign w:val="bottom"/>
          </w:tcPr>
          <w:p>
            <w:pPr>
              <w:ind w:left="140"/>
              <w:spacing w:after="0"/>
              <w:rPr>
                <w:sz w:val="20"/>
                <w:szCs w:val="20"/>
                <w:color w:val="auto"/>
              </w:rPr>
            </w:pPr>
            <w:r>
              <w:rPr>
                <w:rFonts w:ascii="Arial" w:cs="Arial" w:eastAsia="Arial" w:hAnsi="Arial"/>
                <w:sz w:val="18"/>
                <w:szCs w:val="18"/>
                <w:b w:val="1"/>
                <w:bCs w:val="1"/>
                <w:color w:val="auto"/>
              </w:rPr>
              <w:t>Warrant</w:t>
            </w:r>
          </w:p>
        </w:tc>
        <w:tc>
          <w:tcPr>
            <w:tcW w:w="8240" w:type="dxa"/>
            <w:vAlign w:val="bottom"/>
          </w:tcPr>
          <w:p>
            <w:pPr>
              <w:ind w:left="120"/>
              <w:spacing w:after="0"/>
              <w:rPr>
                <w:sz w:val="20"/>
                <w:szCs w:val="20"/>
                <w:color w:val="auto"/>
              </w:rPr>
            </w:pPr>
            <w:r>
              <w:rPr>
                <w:rFonts w:ascii="Arial" w:cs="Arial" w:eastAsia="Arial" w:hAnsi="Arial"/>
                <w:sz w:val="18"/>
                <w:szCs w:val="18"/>
                <w:color w:val="auto"/>
                <w:w w:val="95"/>
              </w:rPr>
              <w:t>A warrant to purchase 409,661 shares of common stock is being issued in this offering (the “Warrant”). The</w:t>
            </w:r>
          </w:p>
        </w:tc>
      </w:tr>
      <w:tr>
        <w:trPr>
          <w:trHeight w:val="216"/>
        </w:trPr>
        <w:tc>
          <w:tcPr>
            <w:tcW w:w="30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Arial" w:cs="Arial" w:eastAsia="Arial" w:hAnsi="Arial"/>
                <w:sz w:val="18"/>
                <w:szCs w:val="18"/>
                <w:color w:val="auto"/>
                <w:w w:val="99"/>
              </w:rPr>
              <w:t>Warrant may be exercised at any time on or after the date of issuance until the tenth anniversary of the</w:t>
            </w:r>
          </w:p>
        </w:tc>
      </w:tr>
      <w:tr>
        <w:trPr>
          <w:trHeight w:val="216"/>
        </w:trPr>
        <w:tc>
          <w:tcPr>
            <w:tcW w:w="30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Arial" w:cs="Arial" w:eastAsia="Arial" w:hAnsi="Arial"/>
                <w:sz w:val="18"/>
                <w:szCs w:val="18"/>
                <w:color w:val="auto"/>
                <w:w w:val="90"/>
              </w:rPr>
              <w:t>issuance of the Warrant. The Warrant shall have a per share exercise price of $10.9847. There is no established</w:t>
            </w:r>
          </w:p>
        </w:tc>
      </w:tr>
      <w:tr>
        <w:trPr>
          <w:trHeight w:val="216"/>
        </w:trPr>
        <w:tc>
          <w:tcPr>
            <w:tcW w:w="30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Arial" w:cs="Arial" w:eastAsia="Arial" w:hAnsi="Arial"/>
                <w:sz w:val="18"/>
                <w:szCs w:val="18"/>
                <w:color w:val="auto"/>
                <w:w w:val="92"/>
              </w:rPr>
              <w:t>public trading market for the Warrant, and we do not expect a market to develop. In addition, we do not intend</w:t>
            </w:r>
          </w:p>
        </w:tc>
      </w:tr>
      <w:tr>
        <w:trPr>
          <w:trHeight w:val="230"/>
        </w:trPr>
        <w:tc>
          <w:tcPr>
            <w:tcW w:w="3000" w:type="dxa"/>
            <w:vAlign w:val="bottom"/>
          </w:tcPr>
          <w:p>
            <w:pPr>
              <w:spacing w:after="0"/>
              <w:rPr>
                <w:sz w:val="20"/>
                <w:szCs w:val="20"/>
                <w:color w:val="auto"/>
              </w:rPr>
            </w:pPr>
          </w:p>
        </w:tc>
        <w:tc>
          <w:tcPr>
            <w:tcW w:w="8240" w:type="dxa"/>
            <w:vAlign w:val="bottom"/>
          </w:tcPr>
          <w:p>
            <w:pPr>
              <w:ind w:left="120"/>
              <w:spacing w:after="0"/>
              <w:rPr>
                <w:sz w:val="20"/>
                <w:szCs w:val="20"/>
                <w:color w:val="auto"/>
              </w:rPr>
            </w:pPr>
            <w:r>
              <w:rPr>
                <w:rFonts w:ascii="Arial" w:cs="Arial" w:eastAsia="Arial" w:hAnsi="Arial"/>
                <w:sz w:val="18"/>
                <w:szCs w:val="18"/>
                <w:color w:val="auto"/>
              </w:rPr>
              <w:t>to apply to list the Warrant on any securities exchange.</w:t>
            </w:r>
          </w:p>
        </w:tc>
      </w:tr>
      <w:tr>
        <w:trPr>
          <w:trHeight w:val="472"/>
        </w:trPr>
        <w:tc>
          <w:tcPr>
            <w:tcW w:w="3000" w:type="dxa"/>
            <w:vAlign w:val="bottom"/>
          </w:tcPr>
          <w:p>
            <w:pPr>
              <w:ind w:left="140"/>
              <w:spacing w:after="0"/>
              <w:rPr>
                <w:sz w:val="20"/>
                <w:szCs w:val="20"/>
                <w:color w:val="auto"/>
              </w:rPr>
            </w:pPr>
            <w:r>
              <w:rPr>
                <w:rFonts w:ascii="Arial" w:cs="Arial" w:eastAsia="Arial" w:hAnsi="Arial"/>
                <w:sz w:val="18"/>
                <w:szCs w:val="18"/>
                <w:b w:val="1"/>
                <w:bCs w:val="1"/>
                <w:color w:val="auto"/>
              </w:rPr>
              <w:t>Use of Proceeds</w:t>
            </w:r>
          </w:p>
        </w:tc>
        <w:tc>
          <w:tcPr>
            <w:tcW w:w="8240" w:type="dxa"/>
            <w:vAlign w:val="bottom"/>
          </w:tcPr>
          <w:p>
            <w:pPr>
              <w:ind w:left="120"/>
              <w:spacing w:after="0"/>
              <w:rPr>
                <w:sz w:val="20"/>
                <w:szCs w:val="20"/>
                <w:color w:val="auto"/>
              </w:rPr>
            </w:pPr>
            <w:r>
              <w:rPr>
                <w:rFonts w:ascii="Arial" w:cs="Arial" w:eastAsia="Arial" w:hAnsi="Arial"/>
                <w:sz w:val="18"/>
                <w:szCs w:val="18"/>
                <w:color w:val="auto"/>
              </w:rPr>
              <w:t>We will only receive proceeds from the issuance of the Warrant if and when the holder of the Warrant</w:t>
            </w:r>
          </w:p>
        </w:tc>
      </w:tr>
      <w:tr>
        <w:trPr>
          <w:trHeight w:val="216"/>
        </w:trPr>
        <w:tc>
          <w:tcPr>
            <w:tcW w:w="30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Arial" w:cs="Arial" w:eastAsia="Arial" w:hAnsi="Arial"/>
                <w:sz w:val="18"/>
                <w:szCs w:val="18"/>
                <w:color w:val="auto"/>
                <w:w w:val="99"/>
              </w:rPr>
              <w:t>exercises the Warrant and if the Warrant is exercised for cash. We could receive up to an aggregate of</w:t>
            </w:r>
          </w:p>
        </w:tc>
      </w:tr>
      <w:tr>
        <w:trPr>
          <w:trHeight w:val="216"/>
        </w:trPr>
        <w:tc>
          <w:tcPr>
            <w:tcW w:w="30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Arial" w:cs="Arial" w:eastAsia="Arial" w:hAnsi="Arial"/>
                <w:sz w:val="18"/>
                <w:szCs w:val="18"/>
                <w:color w:val="auto"/>
                <w:w w:val="97"/>
              </w:rPr>
              <w:t>approximately $4.5 million in cash proceeds if the Warrant is fully exercised for cash. The exercise of the</w:t>
            </w:r>
          </w:p>
        </w:tc>
      </w:tr>
      <w:tr>
        <w:trPr>
          <w:trHeight w:val="216"/>
        </w:trPr>
        <w:tc>
          <w:tcPr>
            <w:tcW w:w="30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Arial" w:cs="Arial" w:eastAsia="Arial" w:hAnsi="Arial"/>
                <w:sz w:val="18"/>
                <w:szCs w:val="18"/>
                <w:color w:val="auto"/>
                <w:w w:val="92"/>
              </w:rPr>
              <w:t>Warrant, and any proceeds we may receive from its exercise, are highly dependent on the trading price of our</w:t>
            </w:r>
          </w:p>
        </w:tc>
      </w:tr>
      <w:tr>
        <w:trPr>
          <w:trHeight w:val="216"/>
        </w:trPr>
        <w:tc>
          <w:tcPr>
            <w:tcW w:w="30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Arial" w:cs="Arial" w:eastAsia="Arial" w:hAnsi="Arial"/>
                <w:sz w:val="18"/>
                <w:szCs w:val="18"/>
                <w:color w:val="auto"/>
                <w:w w:val="92"/>
              </w:rPr>
              <w:t>common stock and the spread between the exercise price of the Warrant and the trading price of our common</w:t>
            </w:r>
          </w:p>
        </w:tc>
      </w:tr>
      <w:tr>
        <w:trPr>
          <w:trHeight w:val="216"/>
        </w:trPr>
        <w:tc>
          <w:tcPr>
            <w:tcW w:w="30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Arial" w:cs="Arial" w:eastAsia="Arial" w:hAnsi="Arial"/>
                <w:sz w:val="18"/>
                <w:szCs w:val="18"/>
                <w:color w:val="auto"/>
                <w:w w:val="93"/>
              </w:rPr>
              <w:t>stock at the time of exercise. To the extent that any portion of the Warrant is exercised on a “cashless basis,”</w:t>
            </w:r>
          </w:p>
        </w:tc>
      </w:tr>
      <w:tr>
        <w:trPr>
          <w:trHeight w:val="216"/>
        </w:trPr>
        <w:tc>
          <w:tcPr>
            <w:tcW w:w="30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Arial" w:cs="Arial" w:eastAsia="Arial" w:hAnsi="Arial"/>
                <w:sz w:val="18"/>
                <w:szCs w:val="18"/>
                <w:color w:val="auto"/>
                <w:w w:val="94"/>
              </w:rPr>
              <w:t>the amount of cash we would receive from the exercise of the Warrant will decrease, or we may not receive</w:t>
            </w:r>
          </w:p>
        </w:tc>
      </w:tr>
      <w:tr>
        <w:trPr>
          <w:trHeight w:val="230"/>
        </w:trPr>
        <w:tc>
          <w:tcPr>
            <w:tcW w:w="3000" w:type="dxa"/>
            <w:vAlign w:val="bottom"/>
          </w:tcPr>
          <w:p>
            <w:pPr>
              <w:spacing w:after="0"/>
              <w:rPr>
                <w:sz w:val="20"/>
                <w:szCs w:val="20"/>
                <w:color w:val="auto"/>
              </w:rPr>
            </w:pPr>
          </w:p>
        </w:tc>
        <w:tc>
          <w:tcPr>
            <w:tcW w:w="8240" w:type="dxa"/>
            <w:vAlign w:val="bottom"/>
          </w:tcPr>
          <w:p>
            <w:pPr>
              <w:ind w:left="120"/>
              <w:spacing w:after="0"/>
              <w:rPr>
                <w:sz w:val="20"/>
                <w:szCs w:val="20"/>
                <w:color w:val="auto"/>
              </w:rPr>
            </w:pPr>
            <w:r>
              <w:rPr>
                <w:rFonts w:ascii="Arial" w:cs="Arial" w:eastAsia="Arial" w:hAnsi="Arial"/>
                <w:sz w:val="18"/>
                <w:szCs w:val="18"/>
                <w:color w:val="auto"/>
                <w:w w:val="92"/>
              </w:rPr>
              <w:t>any cash proceeds at all. We do not expect to rely on the cash exercise of the Warrant to fund our operations.</w:t>
            </w:r>
          </w:p>
        </w:tc>
      </w:tr>
      <w:tr>
        <w:trPr>
          <w:trHeight w:val="472"/>
        </w:trPr>
        <w:tc>
          <w:tcPr>
            <w:tcW w:w="3000" w:type="dxa"/>
            <w:vAlign w:val="bottom"/>
          </w:tcPr>
          <w:p>
            <w:pPr>
              <w:ind w:left="140"/>
              <w:spacing w:after="0"/>
              <w:rPr>
                <w:sz w:val="20"/>
                <w:szCs w:val="20"/>
                <w:color w:val="auto"/>
              </w:rPr>
            </w:pPr>
            <w:r>
              <w:rPr>
                <w:rFonts w:ascii="Arial" w:cs="Arial" w:eastAsia="Arial" w:hAnsi="Arial"/>
                <w:sz w:val="18"/>
                <w:szCs w:val="18"/>
                <w:b w:val="1"/>
                <w:bCs w:val="1"/>
                <w:color w:val="auto"/>
              </w:rPr>
              <w:t>Risk Factors</w:t>
            </w:r>
          </w:p>
        </w:tc>
        <w:tc>
          <w:tcPr>
            <w:tcW w:w="8240" w:type="dxa"/>
            <w:vAlign w:val="bottom"/>
          </w:tcPr>
          <w:p>
            <w:pPr>
              <w:ind w:left="120"/>
              <w:spacing w:after="0"/>
              <w:rPr>
                <w:sz w:val="20"/>
                <w:szCs w:val="20"/>
                <w:color w:val="auto"/>
              </w:rPr>
            </w:pPr>
            <w:r>
              <w:rPr>
                <w:rFonts w:ascii="Arial" w:cs="Arial" w:eastAsia="Arial" w:hAnsi="Arial"/>
                <w:sz w:val="18"/>
                <w:szCs w:val="18"/>
                <w:color w:val="auto"/>
                <w:w w:val="93"/>
              </w:rPr>
              <w:t>Investing in our securities involves certain risks. See “Risk Factors” beginning on page S-8 of this prospectus</w:t>
            </w:r>
          </w:p>
        </w:tc>
      </w:tr>
      <w:tr>
        <w:trPr>
          <w:trHeight w:val="216"/>
        </w:trPr>
        <w:tc>
          <w:tcPr>
            <w:tcW w:w="30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Arial" w:cs="Arial" w:eastAsia="Arial" w:hAnsi="Arial"/>
                <w:sz w:val="18"/>
                <w:szCs w:val="18"/>
                <w:color w:val="auto"/>
                <w:w w:val="92"/>
              </w:rPr>
              <w:t>supplement and the risk factors set forth in our Annual Report on Form 10-K for the year ended December 31,</w:t>
            </w:r>
          </w:p>
        </w:tc>
      </w:tr>
      <w:tr>
        <w:trPr>
          <w:trHeight w:val="216"/>
        </w:trPr>
        <w:tc>
          <w:tcPr>
            <w:tcW w:w="300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Arial" w:cs="Arial" w:eastAsia="Arial" w:hAnsi="Arial"/>
                <w:sz w:val="18"/>
                <w:szCs w:val="18"/>
                <w:color w:val="auto"/>
                <w:w w:val="95"/>
              </w:rPr>
              <w:t>2022 and subsequently filed Quarterly Reports on Form 10-Q, which are incorporated by reference into this</w:t>
            </w:r>
          </w:p>
        </w:tc>
      </w:tr>
      <w:tr>
        <w:trPr>
          <w:trHeight w:val="230"/>
        </w:trPr>
        <w:tc>
          <w:tcPr>
            <w:tcW w:w="3000" w:type="dxa"/>
            <w:vAlign w:val="bottom"/>
          </w:tcPr>
          <w:p>
            <w:pPr>
              <w:spacing w:after="0"/>
              <w:rPr>
                <w:sz w:val="20"/>
                <w:szCs w:val="20"/>
                <w:color w:val="auto"/>
              </w:rPr>
            </w:pPr>
          </w:p>
        </w:tc>
        <w:tc>
          <w:tcPr>
            <w:tcW w:w="8240" w:type="dxa"/>
            <w:vAlign w:val="bottom"/>
          </w:tcPr>
          <w:p>
            <w:pPr>
              <w:ind w:left="120"/>
              <w:spacing w:after="0"/>
              <w:rPr>
                <w:sz w:val="20"/>
                <w:szCs w:val="20"/>
                <w:color w:val="auto"/>
              </w:rPr>
            </w:pPr>
            <w:r>
              <w:rPr>
                <w:rFonts w:ascii="Arial" w:cs="Arial" w:eastAsia="Arial" w:hAnsi="Arial"/>
                <w:sz w:val="18"/>
                <w:szCs w:val="18"/>
                <w:color w:val="auto"/>
              </w:rPr>
              <w:t>prospectus supplement.</w:t>
            </w:r>
          </w:p>
        </w:tc>
      </w:tr>
      <w:tr>
        <w:trPr>
          <w:trHeight w:val="468"/>
        </w:trPr>
        <w:tc>
          <w:tcPr>
            <w:tcW w:w="3000" w:type="dxa"/>
            <w:vAlign w:val="bottom"/>
          </w:tcPr>
          <w:p>
            <w:pPr>
              <w:ind w:left="140"/>
              <w:spacing w:after="0"/>
              <w:rPr>
                <w:sz w:val="20"/>
                <w:szCs w:val="20"/>
                <w:color w:val="auto"/>
              </w:rPr>
            </w:pPr>
            <w:r>
              <w:rPr>
                <w:rFonts w:ascii="Arial" w:cs="Arial" w:eastAsia="Arial" w:hAnsi="Arial"/>
                <w:sz w:val="18"/>
                <w:szCs w:val="18"/>
                <w:b w:val="1"/>
                <w:bCs w:val="1"/>
                <w:color w:val="auto"/>
              </w:rPr>
              <w:t>The Nasdaq Stock Market LLC</w:t>
            </w:r>
          </w:p>
        </w:tc>
        <w:tc>
          <w:tcPr>
            <w:tcW w:w="8240" w:type="dxa"/>
            <w:vAlign w:val="bottom"/>
          </w:tcPr>
          <w:p>
            <w:pPr>
              <w:ind w:left="120"/>
              <w:spacing w:after="0"/>
              <w:rPr>
                <w:sz w:val="20"/>
                <w:szCs w:val="20"/>
                <w:color w:val="auto"/>
              </w:rPr>
            </w:pPr>
            <w:r>
              <w:rPr>
                <w:rFonts w:ascii="Arial" w:cs="Arial" w:eastAsia="Arial" w:hAnsi="Arial"/>
                <w:sz w:val="18"/>
                <w:szCs w:val="18"/>
                <w:color w:val="auto"/>
              </w:rPr>
              <w:t>“RCEL”</w:t>
            </w:r>
          </w:p>
        </w:tc>
      </w:tr>
      <w:tr>
        <w:trPr>
          <w:trHeight w:val="234"/>
        </w:trPr>
        <w:tc>
          <w:tcPr>
            <w:tcW w:w="3000" w:type="dxa"/>
            <w:vAlign w:val="bottom"/>
          </w:tcPr>
          <w:p>
            <w:pPr>
              <w:ind w:left="140"/>
              <w:spacing w:after="0"/>
              <w:rPr>
                <w:sz w:val="20"/>
                <w:szCs w:val="20"/>
                <w:color w:val="auto"/>
              </w:rPr>
            </w:pPr>
            <w:r>
              <w:rPr>
                <w:rFonts w:ascii="Arial" w:cs="Arial" w:eastAsia="Arial" w:hAnsi="Arial"/>
                <w:sz w:val="18"/>
                <w:szCs w:val="18"/>
                <w:b w:val="1"/>
                <w:bCs w:val="1"/>
                <w:color w:val="auto"/>
                <w:w w:val="94"/>
              </w:rPr>
              <w:t>Trading Symbol for Common Stock</w:t>
            </w:r>
          </w:p>
        </w:tc>
        <w:tc>
          <w:tcPr>
            <w:tcW w:w="8240" w:type="dxa"/>
            <w:vAlign w:val="bottom"/>
          </w:tcPr>
          <w:p>
            <w:pPr>
              <w:spacing w:after="0"/>
              <w:rPr>
                <w:sz w:val="20"/>
                <w:szCs w:val="20"/>
                <w:color w:val="auto"/>
              </w:rPr>
            </w:pPr>
          </w:p>
        </w:tc>
      </w:tr>
      <w:tr>
        <w:trPr>
          <w:trHeight w:val="468"/>
        </w:trPr>
        <w:tc>
          <w:tcPr>
            <w:tcW w:w="3000" w:type="dxa"/>
            <w:vAlign w:val="bottom"/>
          </w:tcPr>
          <w:p>
            <w:pPr>
              <w:ind w:left="140"/>
              <w:spacing w:after="0"/>
              <w:rPr>
                <w:sz w:val="20"/>
                <w:szCs w:val="20"/>
                <w:color w:val="auto"/>
              </w:rPr>
            </w:pPr>
            <w:r>
              <w:rPr>
                <w:rFonts w:ascii="Arial" w:cs="Arial" w:eastAsia="Arial" w:hAnsi="Arial"/>
                <w:sz w:val="18"/>
                <w:szCs w:val="18"/>
                <w:b w:val="1"/>
                <w:bCs w:val="1"/>
                <w:color w:val="auto"/>
              </w:rPr>
              <w:t>Australian Securities Exchange</w:t>
            </w:r>
          </w:p>
        </w:tc>
        <w:tc>
          <w:tcPr>
            <w:tcW w:w="8240" w:type="dxa"/>
            <w:vAlign w:val="bottom"/>
          </w:tcPr>
          <w:p>
            <w:pPr>
              <w:ind w:left="120"/>
              <w:spacing w:after="0"/>
              <w:rPr>
                <w:sz w:val="20"/>
                <w:szCs w:val="20"/>
                <w:color w:val="auto"/>
              </w:rPr>
            </w:pPr>
            <w:r>
              <w:rPr>
                <w:rFonts w:ascii="Arial" w:cs="Arial" w:eastAsia="Arial" w:hAnsi="Arial"/>
                <w:sz w:val="18"/>
                <w:szCs w:val="18"/>
                <w:color w:val="auto"/>
              </w:rPr>
              <w:t>“AVH”</w:t>
            </w:r>
          </w:p>
        </w:tc>
      </w:tr>
      <w:tr>
        <w:trPr>
          <w:trHeight w:val="234"/>
        </w:trPr>
        <w:tc>
          <w:tcPr>
            <w:tcW w:w="3000" w:type="dxa"/>
            <w:vAlign w:val="bottom"/>
          </w:tcPr>
          <w:p>
            <w:pPr>
              <w:ind w:left="140"/>
              <w:spacing w:after="0"/>
              <w:rPr>
                <w:sz w:val="20"/>
                <w:szCs w:val="20"/>
                <w:color w:val="auto"/>
              </w:rPr>
            </w:pPr>
            <w:r>
              <w:rPr>
                <w:rFonts w:ascii="Arial" w:cs="Arial" w:eastAsia="Arial" w:hAnsi="Arial"/>
                <w:sz w:val="18"/>
                <w:szCs w:val="18"/>
                <w:b w:val="1"/>
                <w:bCs w:val="1"/>
                <w:color w:val="auto"/>
              </w:rPr>
              <w:t>Trading Symbol for CDIs</w:t>
            </w:r>
          </w:p>
        </w:tc>
        <w:tc>
          <w:tcPr>
            <w:tcW w:w="8240" w:type="dxa"/>
            <w:vAlign w:val="bottom"/>
          </w:tcPr>
          <w:p>
            <w:pPr>
              <w:spacing w:after="0"/>
              <w:rPr>
                <w:sz w:val="20"/>
                <w:szCs w:val="20"/>
                <w:color w:val="auto"/>
              </w:rPr>
            </w:pPr>
          </w:p>
        </w:tc>
      </w:tr>
      <w:tr>
        <w:trPr>
          <w:trHeight w:val="958"/>
        </w:trPr>
        <w:tc>
          <w:tcPr>
            <w:tcW w:w="3000" w:type="dxa"/>
            <w:vAlign w:val="bottom"/>
          </w:tcPr>
          <w:p>
            <w:pPr>
              <w:spacing w:after="0"/>
              <w:rPr>
                <w:sz w:val="24"/>
                <w:szCs w:val="24"/>
                <w:color w:val="auto"/>
              </w:rPr>
            </w:pPr>
          </w:p>
        </w:tc>
        <w:tc>
          <w:tcPr>
            <w:tcW w:w="8240" w:type="dxa"/>
            <w:vAlign w:val="bottom"/>
          </w:tcPr>
          <w:p>
            <w:pPr>
              <w:ind w:left="2500"/>
              <w:spacing w:after="0"/>
              <w:rPr>
                <w:sz w:val="20"/>
                <w:szCs w:val="20"/>
                <w:color w:val="auto"/>
              </w:rPr>
            </w:pPr>
            <w:r>
              <w:rPr>
                <w:rFonts w:ascii="Arial" w:cs="Arial" w:eastAsia="Arial" w:hAnsi="Arial"/>
                <w:sz w:val="18"/>
                <w:szCs w:val="18"/>
                <w:color w:val="auto"/>
              </w:rPr>
              <w:t>S-7</w:t>
            </w:r>
          </w:p>
        </w:tc>
      </w:tr>
      <w:tr>
        <w:trPr>
          <w:trHeight w:val="236"/>
        </w:trPr>
        <w:tc>
          <w:tcPr>
            <w:tcW w:w="3000" w:type="dxa"/>
            <w:vAlign w:val="bottom"/>
            <w:tcBorders>
              <w:bottom w:val="single" w:sz="8" w:color="9A9A9A"/>
            </w:tcBorders>
          </w:tcPr>
          <w:p>
            <w:pPr>
              <w:spacing w:after="0"/>
              <w:rPr>
                <w:sz w:val="20"/>
                <w:szCs w:val="20"/>
                <w:color w:val="auto"/>
              </w:rPr>
            </w:pPr>
          </w:p>
        </w:tc>
        <w:tc>
          <w:tcPr>
            <w:tcW w:w="824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i w:val="1"/>
          <w:iCs w:val="1"/>
          <w:color w:val="auto"/>
        </w:rPr>
        <w:t>Investing in our securities involves a high degree of risk. You should carefully consider the following risk factors, as well as the risk factors set forth in our Annual Report on Form 10-K for the year ended December 31, 2022, as updated by our subsequent filings under the Securities Exchange Act of 1934, as amended, which are incorporated by reference into this prospectus supplement and the accompanying prospectus, before you make an investment decision. Additional risks we are not presently aware of or that we currently believe are immaterial may also impair our business operations. If any of the following events actually occur, our business, operating results, prospects or financial condition could be materially and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Relating to this Offering</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Servicing our debt requires a significant amount of cash and we are subject to a number of restrictive covenants relating to our indebtedness, which may restrict our business and financing activities.</w:t>
      </w:r>
    </w:p>
    <w:p>
      <w:pPr>
        <w:spacing w:after="0" w:line="17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Pursuant to the Credit Agreement we are entering into concurrently with this offering, we are incurring $40.0 million of indebtedness secured by substantially all of our assets. This level of debt could have significant consequences on future operations, including increasing our vulnerability to adverse economic and industry conditions and limiting our flexibility in planning for, or reacting to, changes in our business and the markets in which we compete.</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ability to make scheduled payments of interest depends on our future performance, which is subject to economic, financial, competitive and other factors beyond our control. Our business may not generate cash flow from operations in the future sufficient to service our debt in cash and make necessary capital expenditures. In addition, if the Company’s net revenue does not equal or exceed a certain amount for upcoming fiscal periods as set forth in the Credit Agreement, then the Company will be required to repay in equal quarterly installments of five percent of the outstanding principal amount of its indebtedness along with a repayment fee and a prepayment fee.</w:t>
      </w:r>
    </w:p>
    <w:p>
      <w:pPr>
        <w:spacing w:after="0" w:line="188"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If we are unable to generate sufficient cash flow to satisfy payment obligations under the Credit Agreement, we may be required to adopt one or more alternatives, such as obtaining additional equity capital on terms that may be onerous or highly dilutive. We may not be able to engage in any of these activities or engage in these activities on desirable terms, which could result in a default on our debt obligations.</w:t>
      </w:r>
    </w:p>
    <w:p>
      <w:pPr>
        <w:spacing w:after="0" w:line="16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restrictions and covenants in the Credit Agreement may also prevent us from taking actions that we believe would be in the best interests of our business, and may make it difficult for us to successfully execute our business strategy or effectively compete with companies that are not similarly restricted. Our ability to comply with these covenants in future periods will largely depend on the success of our products, and our ability to successfully implement our overall business strategy. We cannot assure you that we will be granted waivers or amendments to restrictions and covenants in the agreements. The breach of any of these covenants and restrictions could result in a default under the Credit Agreement, which could result in an acceleration the repayment of our indebtedness.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securities could incur substantial losses.</w:t>
      </w:r>
    </w:p>
    <w:p>
      <w:pPr>
        <w:spacing w:after="0" w:line="22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Our stock price has been volatile. The market price for our common stock may be influenced by many factors, including the other risks described in this section titled “Risk Factors,” the risk factors set forth in our Annual Report on Form 10-K for the year ended December 31, 2022, subsequently filed Quarterly Reports on Form 10-Q, additional SEC filings we incorporate by reference herein and the following:</w:t>
      </w:r>
    </w:p>
    <w:p>
      <w:pPr>
        <w:spacing w:after="0" w:line="165" w:lineRule="exact"/>
        <w:rPr>
          <w:sz w:val="20"/>
          <w:szCs w:val="20"/>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actual or expected fluctuations in our operating results;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actual or expected changes in our growth rates or our competitors’ growth rates;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 and announcements by competitors of related regulatory approvals;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expand our sales organization to address effectively existing and new markets that we intend to target;</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reports of one or more patient serious adverse events;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publication of research reports by securities analysts about us or our competitors in the industry;</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236" w:lineRule="exact"/>
        <w:rPr>
          <w:rFonts w:ascii="Arial" w:cs="Arial" w:eastAsia="Arial" w:hAnsi="Arial"/>
          <w:sz w:val="17"/>
          <w:szCs w:val="17"/>
          <w:color w:val="auto"/>
        </w:rPr>
      </w:pPr>
    </w:p>
    <w:p>
      <w:pPr>
        <w:ind w:left="1020" w:right="2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inflation, interest rates and the war in Ukraine, as well as other global economic and social events on the capital markets and equity share prices;</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of exchange rates between the U.S. dollar and the Australian dollar;</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issuances by us of debt or equity securities;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involving our company, including shareholder litigation;</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investigations or audits by regulators into the operations of our company;</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proceedings initiated by our competitors or clients;</w:t>
      </w:r>
    </w:p>
    <w:p>
      <w:pPr>
        <w:spacing w:after="0" w:line="225"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17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sales or perceived potential sales of the common stock or CDIs by us, our directors, senior management or our stockholders in the future;</w:t>
      </w:r>
    </w:p>
    <w:p>
      <w:pPr>
        <w:spacing w:after="0" w:line="248"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 selling or other market manipulation activities;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disasters and other calamities;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raise additional capital;</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market prices for our product or for our raw materials;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key personnel for us or our competitors;</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25"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or proposed changes in laws and regulations affecting our industry; and</w:t>
      </w:r>
    </w:p>
    <w:p>
      <w:pPr>
        <w:spacing w:after="0" w:line="225"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financial markets in general or changes in general economic conditions, including inflationary pressures on the U.S. and global economy and rising interest rates.</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the stock markets in general, and the markets for pharmaceutical, biopharmaceutical and biotechnology stocks in particular, have experienced extreme volatility that has often been unrelated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operating performance.</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18"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Warrant is being issued to an investor in consideration of a debt financing being obtained by the Company from an affiliate of the investor and certain services performed in connection therewith and consequently, we will not receive any proceeds from the issuance of the Warrant pursuant to this prospectus. We will only receive proceeds upon exercise of the Warrant to the extent the Warrant is exercised for cash. We could receive up to an aggregate of approximately $4.5 million in cash proceeds if the Warrant is fully exercised for cash. The exercise of the Warrant, and any proceeds we may receive from its exercise, are highly dependent on the trading price of our common stock and the spread between the exercise price of the Warrant and the trading price of our common stock at the time of exercise. To the extent that any portion of the Warrant is exercised on a “cashless basis,” the amount of cash we would receive from the exercise of the Warrant will decrease, or we may not receive any cash proceeds at all. We do not expect to rely on the cash exercise of the Warrant to fund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our future earnings, if any, for use in our business and therefore do not anticipate paying cash dividends in the foreseeable future. Payment of future dividends, if any, will be at the discretion of our board of directors after taking into account various factors, including our financial condition, operating results, current and anticipated cash needs and plans for expansion.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418" w:right="6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 TO BE REGISTERED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For a description of the common stock underlying the Warrant, please see “Description of Common Stock We May Offer” in the accompanying 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The material terms and provisions of the Warrant being offered pursuant to this prospectus supplement are summarized below. The Warrant to be issued will be filed as an exhibit to a Current Report on Form 8-K with the SEC in connection with this offering.</w:t>
      </w:r>
    </w:p>
    <w:p>
      <w:pPr>
        <w:spacing w:after="0" w:line="170"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i w:val="1"/>
          <w:iCs w:val="1"/>
          <w:color w:val="auto"/>
        </w:rPr>
        <w:t xml:space="preserve">Exercise Price: </w:t>
      </w:r>
      <w:r>
        <w:rPr>
          <w:rFonts w:ascii="Arial" w:cs="Arial" w:eastAsia="Arial" w:hAnsi="Arial"/>
          <w:sz w:val="18"/>
          <w:szCs w:val="18"/>
          <w:color w:val="auto"/>
        </w:rPr>
        <w:t>The Warrant will have an exercise price of $10.9847 per share of our common stock. The Warrant is exercisable on or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issuance and will terminate on the tenth anniversary of the date of issuance.</w:t>
      </w:r>
    </w:p>
    <w:p>
      <w:pPr>
        <w:spacing w:after="0" w:line="170"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i w:val="1"/>
          <w:iCs w:val="1"/>
          <w:color w:val="auto"/>
        </w:rPr>
        <w:t>Exercisability</w:t>
      </w:r>
      <w:r>
        <w:rPr>
          <w:rFonts w:ascii="Arial" w:cs="Arial" w:eastAsia="Arial" w:hAnsi="Arial"/>
          <w:sz w:val="18"/>
          <w:szCs w:val="18"/>
          <w:color w:val="auto"/>
        </w:rPr>
        <w:t>. Upon the holder’s exercise of the Warrant, we will issue the shares of common stock within five business days of our receipt of</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exercise and payment of the aggregate exercise price. The holder of the Warrant may exercise the warrant to purchase shares of our common stock on or before the termination date by delivering an exercise notice, appropriately completed and duly signed, and payment of the exercise price for the number of shares for which the Warrant is being exercised in cash or by instructing the Company to withhold a number of shares underlying the Warrant with an aggregate fair market value equal to the exercise price.</w:t>
      </w:r>
    </w:p>
    <w:p>
      <w:pPr>
        <w:spacing w:after="0" w:line="188"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i w:val="1"/>
          <w:iCs w:val="1"/>
          <w:color w:val="auto"/>
        </w:rPr>
        <w:t>Automatic Cashless Exercise</w:t>
      </w:r>
      <w:r>
        <w:rPr>
          <w:rFonts w:ascii="Arial" w:cs="Arial" w:eastAsia="Arial" w:hAnsi="Arial"/>
          <w:sz w:val="18"/>
          <w:szCs w:val="18"/>
          <w:color w:val="auto"/>
        </w:rPr>
        <w:t>. To the extent the Warrant has not been exercised in full prior to the earlier of (i) the occurrence of the expiration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Warrant, and (ii) the date on which a sale of the Company is consummated, any portion of the Warrant that remains unexercised on such date will be deemed to have been exercised automatically pursuant to a cashless exercise, in whole (and not in part), on the business day immediately preceding such date; provided, that such an automatic cashless exercise will not occur if the per share fair market value of a Warrant share is less than the exercise price per Warrant share.</w:t>
      </w:r>
    </w:p>
    <w:p>
      <w:pPr>
        <w:spacing w:after="0" w:line="188" w:lineRule="exact"/>
        <w:rPr>
          <w:sz w:val="20"/>
          <w:szCs w:val="20"/>
          <w:color w:val="auto"/>
        </w:rPr>
      </w:pPr>
    </w:p>
    <w:p>
      <w:pPr>
        <w:ind w:right="260" w:firstLine="749"/>
        <w:spacing w:after="0" w:line="263" w:lineRule="auto"/>
        <w:rPr>
          <w:sz w:val="20"/>
          <w:szCs w:val="20"/>
          <w:color w:val="auto"/>
        </w:rPr>
      </w:pPr>
      <w:r>
        <w:rPr>
          <w:rFonts w:ascii="Arial" w:cs="Arial" w:eastAsia="Arial" w:hAnsi="Arial"/>
          <w:sz w:val="18"/>
          <w:szCs w:val="18"/>
          <w:i w:val="1"/>
          <w:iCs w:val="1"/>
          <w:color w:val="auto"/>
        </w:rPr>
        <w:t>Adjustments upon Reorganizations, Reclassifications, etc</w:t>
      </w:r>
      <w:r>
        <w:rPr>
          <w:rFonts w:ascii="Arial" w:cs="Arial" w:eastAsia="Arial" w:hAnsi="Arial"/>
          <w:sz w:val="18"/>
          <w:szCs w:val="18"/>
          <w:color w:val="auto"/>
        </w:rPr>
        <w:t>. The exercise price and number of shares of common stock issuable upon exercise is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appropriate adjustment in the event of stock dividends, stock splits, reorganizations or similar events affecting our common stock and the exercise price.</w:t>
      </w:r>
    </w:p>
    <w:p>
      <w:pPr>
        <w:spacing w:after="0" w:line="184" w:lineRule="exact"/>
        <w:rPr>
          <w:sz w:val="20"/>
          <w:szCs w:val="20"/>
          <w:color w:val="auto"/>
        </w:rPr>
      </w:pPr>
    </w:p>
    <w:p>
      <w:pPr>
        <w:ind w:right="240" w:firstLine="749"/>
        <w:spacing w:after="0" w:line="273" w:lineRule="auto"/>
        <w:rPr>
          <w:sz w:val="20"/>
          <w:szCs w:val="20"/>
          <w:color w:val="auto"/>
        </w:rPr>
      </w:pPr>
      <w:r>
        <w:rPr>
          <w:rFonts w:ascii="Arial" w:cs="Arial" w:eastAsia="Arial" w:hAnsi="Arial"/>
          <w:sz w:val="17"/>
          <w:szCs w:val="17"/>
          <w:i w:val="1"/>
          <w:iCs w:val="1"/>
          <w:color w:val="auto"/>
        </w:rPr>
        <w:t>Anti-Dilution Adjustments</w:t>
      </w:r>
      <w:r>
        <w:rPr>
          <w:rFonts w:ascii="Arial" w:cs="Arial" w:eastAsia="Arial" w:hAnsi="Arial"/>
          <w:sz w:val="17"/>
          <w:szCs w:val="17"/>
          <w:color w:val="auto"/>
        </w:rPr>
        <w:t>. The exercise price of the Warrant is subject to adjustment in the event that the Company issues or sells its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for a price per share that is less than the then current exercise price, in which case the exercise price will be reduced to a price determined by multiplying the then-current exercise price by a fraction, the numerator of which will be the sum of (i) the number of shares of common stock deemed outstanding immediately prior to such issuance or sale multiplied by the exercise price then in effect, plus (ii) the consideration, if any, received by the Company upon such issuance or sale, and the denominator of which shall be the product of (a) the total number of shares of common stock deemed outstanding immediately after such issuance or sale multiplied by (b) the exercise price then in effect.</w:t>
      </w:r>
    </w:p>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Subject to applicable laws, the Warrant may be offered for sale, sold, transferred or assigned without our consent.</w:t>
      </w:r>
    </w:p>
    <w:p>
      <w:pPr>
        <w:spacing w:after="0" w:line="225" w:lineRule="exact"/>
        <w:rPr>
          <w:sz w:val="20"/>
          <w:szCs w:val="20"/>
          <w:color w:val="auto"/>
        </w:rPr>
      </w:pPr>
    </w:p>
    <w:p>
      <w:pPr>
        <w:ind w:right="160" w:firstLine="749"/>
        <w:spacing w:after="0" w:line="277" w:lineRule="auto"/>
        <w:rPr>
          <w:sz w:val="20"/>
          <w:szCs w:val="20"/>
          <w:color w:val="auto"/>
        </w:rPr>
      </w:pPr>
      <w:r>
        <w:rPr>
          <w:rFonts w:ascii="Arial" w:cs="Arial" w:eastAsia="Arial" w:hAnsi="Arial"/>
          <w:sz w:val="18"/>
          <w:szCs w:val="18"/>
          <w:i w:val="1"/>
          <w:iCs w:val="1"/>
          <w:color w:val="auto"/>
        </w:rPr>
        <w:t>Exchange Listing</w:t>
      </w:r>
      <w:r>
        <w:rPr>
          <w:rFonts w:ascii="Arial" w:cs="Arial" w:eastAsia="Arial" w:hAnsi="Arial"/>
          <w:sz w:val="18"/>
          <w:szCs w:val="18"/>
          <w:color w:val="auto"/>
        </w:rPr>
        <w:t>. There is no established public trading market for the Warrant, and we do not expect a market to develop. We do not intend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to list the Warrant on any securities exchange. Without an active market, the liquidity of the Warrant will be limited.</w:t>
      </w:r>
    </w:p>
    <w:p>
      <w:pPr>
        <w:spacing w:after="0" w:line="170" w:lineRule="exact"/>
        <w:rPr>
          <w:sz w:val="20"/>
          <w:szCs w:val="20"/>
          <w:color w:val="auto"/>
        </w:rPr>
      </w:pPr>
    </w:p>
    <w:p>
      <w:pPr>
        <w:ind w:right="120" w:firstLine="630"/>
        <w:spacing w:after="0" w:line="296" w:lineRule="auto"/>
        <w:rPr>
          <w:sz w:val="20"/>
          <w:szCs w:val="20"/>
          <w:color w:val="auto"/>
        </w:rPr>
      </w:pPr>
      <w:r>
        <w:rPr>
          <w:rFonts w:ascii="Arial" w:cs="Arial" w:eastAsia="Arial" w:hAnsi="Arial"/>
          <w:sz w:val="16"/>
          <w:szCs w:val="16"/>
          <w:i w:val="1"/>
          <w:iCs w:val="1"/>
          <w:color w:val="auto"/>
        </w:rPr>
        <w:t>Rights as a Stockholder</w:t>
      </w:r>
      <w:r>
        <w:rPr>
          <w:rFonts w:ascii="Arial" w:cs="Arial" w:eastAsia="Arial" w:hAnsi="Arial"/>
          <w:sz w:val="16"/>
          <w:szCs w:val="16"/>
          <w:color w:val="auto"/>
        </w:rPr>
        <w:t>. Except as described below or by virtue of the holder’s ownership of our common shares, the holder of the Warrant does</w:t>
      </w:r>
      <w:r>
        <w:rPr>
          <w:rFonts w:ascii="Arial" w:cs="Arial" w:eastAsia="Arial" w:hAnsi="Arial"/>
          <w:sz w:val="16"/>
          <w:szCs w:val="16"/>
          <w:i w:val="1"/>
          <w:iCs w:val="1"/>
          <w:color w:val="auto"/>
        </w:rPr>
        <w:t xml:space="preserve"> </w:t>
      </w:r>
      <w:r>
        <w:rPr>
          <w:rFonts w:ascii="Arial" w:cs="Arial" w:eastAsia="Arial" w:hAnsi="Arial"/>
          <w:sz w:val="16"/>
          <w:szCs w:val="16"/>
          <w:color w:val="auto"/>
        </w:rPr>
        <w:t>not have the rights or privileges of a holder of our common shares, including any voting rights, until the holder exercises the Warrant. However, if the Company declares or pays a dividend or distribution on its common shares, the Company will provide sufficient advance notice of such dividend or distribution to enable the holder of the Warrant to determine whether to exercise the Warrant, and take all steps necessary or desirable to deliver the shares underlying the Warrant within two business days of receiving the exercise certificate and payment of the exercise price from the holder.</w:t>
      </w:r>
    </w:p>
    <w:p>
      <w:pPr>
        <w:spacing w:after="0" w:line="161" w:lineRule="exact"/>
        <w:rPr>
          <w:sz w:val="20"/>
          <w:szCs w:val="20"/>
          <w:color w:val="auto"/>
        </w:rPr>
      </w:pPr>
    </w:p>
    <w:p>
      <w:pPr>
        <w:jc w:val="both"/>
        <w:ind w:right="260" w:firstLine="749"/>
        <w:spacing w:after="0" w:line="263" w:lineRule="auto"/>
        <w:rPr>
          <w:sz w:val="20"/>
          <w:szCs w:val="20"/>
          <w:color w:val="auto"/>
        </w:rPr>
      </w:pPr>
      <w:r>
        <w:rPr>
          <w:rFonts w:ascii="Arial" w:cs="Arial" w:eastAsia="Arial" w:hAnsi="Arial"/>
          <w:sz w:val="18"/>
          <w:szCs w:val="18"/>
          <w:i w:val="1"/>
          <w:iCs w:val="1"/>
          <w:color w:val="auto"/>
        </w:rPr>
        <w:t>Limits on Exercise</w:t>
      </w:r>
      <w:r>
        <w:rPr>
          <w:rFonts w:ascii="Arial" w:cs="Arial" w:eastAsia="Arial" w:hAnsi="Arial"/>
          <w:sz w:val="18"/>
          <w:szCs w:val="18"/>
          <w:color w:val="auto"/>
        </w:rPr>
        <w:t>. The exercisability or exchangeability of the Warrant may be limited in certain circumstances if, after giving effect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or exchange, the holder or any of its affiliates would beneficially own (as determined pursuant to Section 13(d) of the Exchange Act) more than 9.99% of our total common stock issued and outstanding.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Financing</w:t>
      </w:r>
    </w:p>
    <w:p>
      <w:pPr>
        <w:spacing w:after="0" w:line="229"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The Company is entering into a Credit Agreement (the “Credit Agreement”), by and between the Company, as borrower, and ORCO IV LLC, an affiliate of OrbiMed Advisors, LLC (“OrbiMed”), as the lender and administrative agent. The Warrant is being issued to an affiliate of OrbiMed as consideration for entering into the Credit Agreement and for certain services performed in connection therewith. The Credit Agreement contains representations, warranties and covenants customary for transactions of this type. These representations, warranties and covenants were made solely for purposes of the Credit Agreement and should not be relied upon by any other of our investors, nor should any investor rely upon any descriptions thereof as characterizations of the actual state of facts or condition. Our stockholders are not third party beneficiaries under the Credit Agreement. The exercise price for the warrant was determined based on negotiations with the investor based on current market factors.</w:t>
      </w:r>
    </w:p>
    <w:p>
      <w:pPr>
        <w:spacing w:after="0" w:line="177"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The offer of the Warrant and the underlying shares of common stock under the Credit Agreement are registered pursuant to our shelf registration statement on Form S-3 (File Number 333-271276) and as to which this prospectus supplement relates.</w:t>
      </w:r>
    </w:p>
    <w:p>
      <w:pPr>
        <w:spacing w:after="0" w:line="170"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The foregoing description of the Credit Agreement is only a summary, does not purport to be complete and is qualified in its entirety by reference to the Credit Agreement, a copy of which will be attached as an exhibit to our Current Report on Form 8-K, which will be filed with the SEC in connection with this offering.</w:t>
      </w:r>
    </w:p>
    <w:p>
      <w:pPr>
        <w:spacing w:after="0" w:line="184" w:lineRule="exact"/>
        <w:rPr>
          <w:sz w:val="20"/>
          <w:szCs w:val="20"/>
          <w:color w:val="auto"/>
        </w:rPr>
      </w:pPr>
    </w:p>
    <w:p>
      <w:pPr>
        <w:jc w:val="both"/>
        <w:ind w:right="520" w:firstLine="749"/>
        <w:spacing w:after="0" w:line="263" w:lineRule="auto"/>
        <w:rPr>
          <w:sz w:val="20"/>
          <w:szCs w:val="20"/>
          <w:color w:val="auto"/>
        </w:rPr>
      </w:pPr>
      <w:r>
        <w:rPr>
          <w:rFonts w:ascii="Arial" w:cs="Arial" w:eastAsia="Arial" w:hAnsi="Arial"/>
          <w:sz w:val="18"/>
          <w:szCs w:val="18"/>
          <w:color w:val="auto"/>
        </w:rPr>
        <w:t>This prospectus supplement is being distributed to OrbiMed and its affiliates in connection with our offer and sale of the securities to such investor. We currently anticipate that closing of the sale of the Warrant to purchase 409,661 shares of our common stock pursuant to this prospectus supplement will take place on or about October 18, 2023, subject to certain closing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ASX Listing Rules</w:t>
      </w:r>
    </w:p>
    <w:p>
      <w:pPr>
        <w:spacing w:after="0" w:line="229" w:lineRule="exact"/>
        <w:rPr>
          <w:sz w:val="20"/>
          <w:szCs w:val="20"/>
          <w:color w:val="auto"/>
        </w:rPr>
      </w:pPr>
    </w:p>
    <w:p>
      <w:pPr>
        <w:jc w:val="both"/>
        <w:ind w:right="220" w:firstLine="749"/>
        <w:spacing w:after="0" w:line="263" w:lineRule="auto"/>
        <w:rPr>
          <w:sz w:val="20"/>
          <w:szCs w:val="20"/>
          <w:color w:val="auto"/>
        </w:rPr>
      </w:pPr>
      <w:r>
        <w:rPr>
          <w:rFonts w:ascii="Arial" w:cs="Arial" w:eastAsia="Arial" w:hAnsi="Arial"/>
          <w:sz w:val="18"/>
          <w:szCs w:val="18"/>
          <w:color w:val="auto"/>
        </w:rPr>
        <w:t>ASX Listing Rules may impose limits on the number of shares that we can issue without shareholder approval. In particular, Listing Rule 7.1 provides that a company may not, without prior shareholder approval, issue, or agree to issue, an amount of equity securities in any twelve-month period exceeding 15% of the number of shares outstanding at the commencement of that 12-month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and Transfer Agent</w:t>
      </w:r>
    </w:p>
    <w:p>
      <w:pPr>
        <w:spacing w:after="0" w:line="229" w:lineRule="exact"/>
        <w:rPr>
          <w:sz w:val="20"/>
          <w:szCs w:val="20"/>
          <w:color w:val="auto"/>
        </w:rPr>
      </w:pPr>
    </w:p>
    <w:p>
      <w:pPr>
        <w:ind w:right="100" w:firstLine="749"/>
        <w:spacing w:after="0" w:line="263" w:lineRule="auto"/>
        <w:rPr>
          <w:sz w:val="20"/>
          <w:szCs w:val="20"/>
          <w:color w:val="auto"/>
        </w:rPr>
      </w:pPr>
      <w:r>
        <w:rPr>
          <w:rFonts w:ascii="Arial" w:cs="Arial" w:eastAsia="Arial" w:hAnsi="Arial"/>
          <w:sz w:val="18"/>
          <w:szCs w:val="18"/>
          <w:color w:val="auto"/>
        </w:rPr>
        <w:t>Our common stock is listed on The Nasdaq Stock Market LLC and trades under the symbol “RCEL” The transfer agent of our common stock is Computershare Trust Company, N.A. Our CDIs are listed on the ASX under the symbol “AVH” with five CDIs being equivalent to one share of our common stock.</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validity of the issuance of the securities offered hereby will be passed upon for us by K&amp;L Gates LLP, Seattle, Washington.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This prospectus supplement is part of a registration statement on Form S-3 we filed with the SEC under the Securities Act. This prospectus supplement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SEC’s website.</w:t>
      </w:r>
    </w:p>
    <w:p>
      <w:pPr>
        <w:spacing w:after="0" w:line="19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Because we are subject to the information and reporting requirements of the Exchange Act, we file annual, quarterly and special reports, proxy statements and other information with the SEC. Our SEC filings are available to the public over the Internet at the SEC’s website at www.sec.gov.</w:t>
      </w:r>
    </w:p>
    <w:p>
      <w:pPr>
        <w:spacing w:after="0" w:line="14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also maintain a website at www.avitamedical.com. The information set forth on, or accessible through, our website is not part of this prospectus supplement.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SEC permits us to “incorporate by reference” the information and reports we file with it. This means that we can disclose important information to you by referring to another document. The information that we incorporate by reference is considered to be part of this prospectus supplement, and later information that we file with the SEC automatically updates and supersedes this information. We incorporate by reference the documents listed below, except to the extent information in those documents is different from the information contained in this prospectus supplement, and all future documents filed with the SEC under Sections 13(a), 13(c), 14, or 15(d) of the Exchange Act until we terminate the offering of these securities (unless otherwise noted, the SEC file number for each of the documents listed below is 001-39059):</w:t>
      </w:r>
    </w:p>
    <w:p>
      <w:pPr>
        <w:spacing w:after="0" w:line="178"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7">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2022, filed with the SEC on February 23, 2023;</w:t>
      </w:r>
    </w:p>
    <w:p>
      <w:pPr>
        <w:spacing w:after="0" w:line="23" w:lineRule="exact"/>
        <w:rPr>
          <w:rFonts w:ascii="Arial" w:cs="Arial" w:eastAsia="Arial" w:hAnsi="Arial"/>
          <w:sz w:val="18"/>
          <w:szCs w:val="18"/>
          <w:color w:val="auto"/>
        </w:rPr>
      </w:pPr>
    </w:p>
    <w:p>
      <w:pPr>
        <w:ind w:left="1020" w:right="340" w:hanging="503"/>
        <w:spacing w:after="0" w:line="250" w:lineRule="auto"/>
        <w:tabs>
          <w:tab w:leader="none" w:pos="1020" w:val="left"/>
        </w:tabs>
        <w:numPr>
          <w:ilvl w:val="0"/>
          <w:numId w:val="4"/>
        </w:numPr>
        <w:rPr>
          <w:rFonts w:ascii="Arial" w:cs="Arial" w:eastAsia="Arial" w:hAnsi="Arial"/>
          <w:sz w:val="18"/>
          <w:szCs w:val="18"/>
          <w:color w:val="0000FF"/>
        </w:rPr>
      </w:pPr>
      <w:r>
        <w:rPr>
          <w:rFonts w:ascii="Arial" w:cs="Arial" w:eastAsia="Arial" w:hAnsi="Arial"/>
          <w:sz w:val="18"/>
          <w:szCs w:val="18"/>
          <w:color w:val="auto"/>
        </w:rPr>
        <w:t xml:space="preserve">Our Quarterly Reports on Form 10-Q for the quarters ended March 31, 2023 and June 30, 2023, filed with the SEC on </w:t>
      </w:r>
      <w:hyperlink r:id="rId28">
        <w:r>
          <w:rPr>
            <w:rFonts w:ascii="Arial" w:cs="Arial" w:eastAsia="Arial" w:hAnsi="Arial"/>
            <w:sz w:val="18"/>
            <w:szCs w:val="18"/>
            <w:u w:val="single" w:color="auto"/>
            <w:color w:val="0000FF"/>
          </w:rPr>
          <w:t>May 11, 2023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9">
        <w:r>
          <w:rPr>
            <w:rFonts w:ascii="Arial" w:cs="Arial" w:eastAsia="Arial" w:hAnsi="Arial"/>
            <w:sz w:val="18"/>
            <w:szCs w:val="18"/>
            <w:u w:val="single" w:color="auto"/>
            <w:color w:val="0000FF"/>
          </w:rPr>
          <w:t>August 10, 2023</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respectively;</w:t>
      </w:r>
    </w:p>
    <w:p>
      <w:pPr>
        <w:ind w:left="1020" w:hanging="503"/>
        <w:spacing w:after="0" w:line="250" w:lineRule="auto"/>
        <w:tabs>
          <w:tab w:leader="none" w:pos="1020" w:val="left"/>
        </w:tabs>
        <w:numPr>
          <w:ilvl w:val="0"/>
          <w:numId w:val="4"/>
        </w:numPr>
        <w:rPr>
          <w:rFonts w:ascii="Arial" w:cs="Arial" w:eastAsia="Arial" w:hAnsi="Arial"/>
          <w:sz w:val="18"/>
          <w:szCs w:val="18"/>
          <w:color w:val="0000FF"/>
        </w:rPr>
      </w:pPr>
      <w:r>
        <w:rPr>
          <w:rFonts w:ascii="Arial" w:cs="Arial" w:eastAsia="Arial" w:hAnsi="Arial"/>
          <w:sz w:val="18"/>
          <w:szCs w:val="18"/>
          <w:color w:val="auto"/>
        </w:rPr>
        <w:t xml:space="preserve">Our Current Reports on Form 8-K filed with the SEC on </w:t>
      </w:r>
      <w:hyperlink r:id="rId30">
        <w:r>
          <w:rPr>
            <w:rFonts w:ascii="Arial" w:cs="Arial" w:eastAsia="Arial" w:hAnsi="Arial"/>
            <w:sz w:val="18"/>
            <w:szCs w:val="18"/>
            <w:u w:val="single" w:color="auto"/>
            <w:color w:val="0000FF"/>
          </w:rPr>
          <w:t>January 20, 2023</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FF"/>
          </w:rPr>
          <w:t>March 21, 2023</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FF"/>
          </w:rPr>
          <w:t>March 22, 2023</w:t>
        </w:r>
      </w:hyperlink>
      <w:r>
        <w:rPr>
          <w:rFonts w:ascii="Arial" w:cs="Arial" w:eastAsia="Arial" w:hAnsi="Arial"/>
          <w:sz w:val="18"/>
          <w:szCs w:val="18"/>
          <w:color w:val="auto"/>
        </w:rPr>
        <w:t xml:space="preserve">, </w:t>
      </w:r>
      <w:hyperlink r:id="rId33">
        <w:r>
          <w:rPr>
            <w:rFonts w:ascii="Arial" w:cs="Arial" w:eastAsia="Arial" w:hAnsi="Arial"/>
            <w:sz w:val="18"/>
            <w:szCs w:val="18"/>
            <w:u w:val="single" w:color="auto"/>
            <w:color w:val="0000FF"/>
          </w:rPr>
          <w:t>March 27, 2023</w:t>
        </w:r>
      </w:hyperlink>
      <w:r>
        <w:rPr>
          <w:rFonts w:ascii="Arial" w:cs="Arial" w:eastAsia="Arial" w:hAnsi="Arial"/>
          <w:sz w:val="18"/>
          <w:szCs w:val="18"/>
          <w:color w:val="auto"/>
        </w:rPr>
        <w:t xml:space="preserve">, </w:t>
      </w:r>
      <w:hyperlink r:id="rId34">
        <w:r>
          <w:rPr>
            <w:rFonts w:ascii="Arial" w:cs="Arial" w:eastAsia="Arial" w:hAnsi="Arial"/>
            <w:sz w:val="18"/>
            <w:szCs w:val="18"/>
            <w:u w:val="single" w:color="auto"/>
            <w:color w:val="0000FF"/>
          </w:rPr>
          <w:t>May 12, 2023</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FF"/>
          </w:rPr>
          <w:t>June 7, 2023</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r:id="rId36">
        <w:r>
          <w:rPr>
            <w:rFonts w:ascii="Arial" w:cs="Arial" w:eastAsia="Arial" w:hAnsi="Arial"/>
            <w:sz w:val="18"/>
            <w:szCs w:val="18"/>
            <w:u w:val="single" w:color="auto"/>
            <w:color w:val="0000FF"/>
          </w:rPr>
          <w:t>June 16, 2023</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hyperlink r:id="rId37">
        <w:r>
          <w:rPr>
            <w:rFonts w:ascii="Arial" w:cs="Arial" w:eastAsia="Arial" w:hAnsi="Arial"/>
            <w:sz w:val="18"/>
            <w:szCs w:val="18"/>
            <w:u w:val="single" w:color="auto"/>
            <w:color w:val="0000FF"/>
          </w:rPr>
          <w:t>October 2, 2023</w:t>
        </w:r>
      </w:hyperlink>
      <w:r>
        <w:rPr>
          <w:rFonts w:ascii="Arial" w:cs="Arial" w:eastAsia="Arial" w:hAnsi="Arial"/>
          <w:sz w:val="18"/>
          <w:szCs w:val="18"/>
          <w:color w:val="000000"/>
        </w:rPr>
        <w:t>;</w:t>
      </w:r>
    </w:p>
    <w:p>
      <w:pPr>
        <w:ind w:left="1020" w:right="400" w:hanging="503"/>
        <w:spacing w:after="0" w:line="250"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 description of our common stock contained in </w:t>
      </w:r>
      <w:hyperlink r:id="rId38">
        <w:r>
          <w:rPr>
            <w:rFonts w:ascii="Arial" w:cs="Arial" w:eastAsia="Arial" w:hAnsi="Arial"/>
            <w:sz w:val="18"/>
            <w:szCs w:val="18"/>
            <w:u w:val="single" w:color="auto"/>
            <w:color w:val="0000FF"/>
          </w:rPr>
          <w:t>Exhibit 4.1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filed February 23, 2022, including any amendment or reports filed for the purpose of updating this description; and</w:t>
      </w:r>
    </w:p>
    <w:p>
      <w:pPr>
        <w:ind w:left="1020" w:hanging="503"/>
        <w:spacing w:after="0" w:line="255"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reports and other documents subsequently filed by us pursuant to Sections 13(a), 13(c), 14 or 15(d) of the Exchange Act prior to the termination of this offering (other than information furnished under Item 2.02 or Item 7.01 of any Form 8-K which information is not deemed filed under the Exchange Act).</w:t>
      </w:r>
    </w:p>
    <w:p>
      <w:pPr>
        <w:spacing w:after="0" w:line="190" w:lineRule="exact"/>
        <w:rPr>
          <w:rFonts w:ascii="Arial" w:cs="Arial" w:eastAsia="Arial" w:hAnsi="Arial"/>
          <w:sz w:val="18"/>
          <w:szCs w:val="18"/>
          <w:color w:val="0000FF"/>
        </w:rPr>
      </w:pPr>
    </w:p>
    <w:p>
      <w:pPr>
        <w:jc w:val="both"/>
        <w:ind w:right="60"/>
        <w:spacing w:after="0" w:line="263" w:lineRule="auto"/>
        <w:rPr>
          <w:sz w:val="20"/>
          <w:szCs w:val="20"/>
          <w:color w:val="auto"/>
        </w:rPr>
      </w:pPr>
      <w:r>
        <w:rPr>
          <w:rFonts w:ascii="Arial" w:cs="Arial" w:eastAsia="Arial" w:hAnsi="Arial"/>
          <w:sz w:val="18"/>
          <w:szCs w:val="18"/>
          <w:color w:val="auto"/>
        </w:rPr>
        <w:t>You may request and obtain a copy of any or all of the documents that are incorporated by reference into this prospectus supplement but not delivered with the prospectus supplement, including exhibits that are specifically incorporated by reference into such documents, at no cost, by writing or telephoning us at the following address or phone number:</w:t>
      </w:r>
    </w:p>
    <w:p>
      <w:pPr>
        <w:spacing w:after="0" w:line="184" w:lineRule="exact"/>
        <w:rPr>
          <w:rFonts w:ascii="Arial" w:cs="Arial" w:eastAsia="Arial" w:hAnsi="Arial"/>
          <w:sz w:val="18"/>
          <w:szCs w:val="18"/>
          <w:color w:val="0000FF"/>
        </w:rPr>
      </w:pPr>
    </w:p>
    <w:p>
      <w:pPr>
        <w:ind w:left="4840"/>
        <w:spacing w:after="0"/>
        <w:rPr>
          <w:sz w:val="20"/>
          <w:szCs w:val="20"/>
          <w:color w:val="auto"/>
        </w:rPr>
      </w:pPr>
      <w:r>
        <w:rPr>
          <w:rFonts w:ascii="Arial" w:cs="Arial" w:eastAsia="Arial" w:hAnsi="Arial"/>
          <w:sz w:val="18"/>
          <w:szCs w:val="18"/>
          <w:color w:val="auto"/>
        </w:rPr>
        <w:t>AVITA Medical, Inc.</w:t>
      </w:r>
    </w:p>
    <w:p>
      <w:pPr>
        <w:spacing w:after="0" w:line="23" w:lineRule="exact"/>
        <w:rPr>
          <w:rFonts w:ascii="Arial" w:cs="Arial" w:eastAsia="Arial" w:hAnsi="Arial"/>
          <w:sz w:val="18"/>
          <w:szCs w:val="18"/>
          <w:color w:val="0000FF"/>
        </w:rPr>
      </w:pPr>
    </w:p>
    <w:p>
      <w:pPr>
        <w:ind w:left="4740"/>
        <w:spacing w:after="0"/>
        <w:rPr>
          <w:sz w:val="20"/>
          <w:szCs w:val="20"/>
          <w:color w:val="auto"/>
        </w:rPr>
      </w:pPr>
      <w:r>
        <w:rPr>
          <w:rFonts w:ascii="Arial" w:cs="Arial" w:eastAsia="Arial" w:hAnsi="Arial"/>
          <w:sz w:val="18"/>
          <w:szCs w:val="18"/>
          <w:color w:val="auto"/>
        </w:rPr>
        <w:t>28159 Avenue Stanford</w:t>
      </w:r>
    </w:p>
    <w:p>
      <w:pPr>
        <w:spacing w:after="0" w:line="9" w:lineRule="exact"/>
        <w:rPr>
          <w:rFonts w:ascii="Arial" w:cs="Arial" w:eastAsia="Arial" w:hAnsi="Arial"/>
          <w:sz w:val="18"/>
          <w:szCs w:val="18"/>
          <w:color w:val="0000FF"/>
        </w:rPr>
      </w:pPr>
    </w:p>
    <w:p>
      <w:pPr>
        <w:ind w:left="5260"/>
        <w:spacing w:after="0"/>
        <w:rPr>
          <w:sz w:val="20"/>
          <w:szCs w:val="20"/>
          <w:color w:val="auto"/>
        </w:rPr>
      </w:pPr>
      <w:r>
        <w:rPr>
          <w:rFonts w:ascii="Arial" w:cs="Arial" w:eastAsia="Arial" w:hAnsi="Arial"/>
          <w:sz w:val="18"/>
          <w:szCs w:val="18"/>
          <w:color w:val="auto"/>
        </w:rPr>
        <w:t>Suite 220</w:t>
      </w:r>
    </w:p>
    <w:p>
      <w:pPr>
        <w:spacing w:after="0" w:line="9" w:lineRule="exact"/>
        <w:rPr>
          <w:rFonts w:ascii="Arial" w:cs="Arial" w:eastAsia="Arial" w:hAnsi="Arial"/>
          <w:sz w:val="18"/>
          <w:szCs w:val="18"/>
          <w:color w:val="0000FF"/>
        </w:rPr>
      </w:pPr>
    </w:p>
    <w:p>
      <w:pPr>
        <w:ind w:left="4880"/>
        <w:spacing w:after="0"/>
        <w:rPr>
          <w:sz w:val="20"/>
          <w:szCs w:val="20"/>
          <w:color w:val="auto"/>
        </w:rPr>
      </w:pPr>
      <w:r>
        <w:rPr>
          <w:rFonts w:ascii="Arial" w:cs="Arial" w:eastAsia="Arial" w:hAnsi="Arial"/>
          <w:sz w:val="18"/>
          <w:szCs w:val="18"/>
          <w:color w:val="auto"/>
        </w:rPr>
        <w:t>Valencia, CA 91355</w:t>
      </w:r>
    </w:p>
    <w:p>
      <w:pPr>
        <w:spacing w:after="0" w:line="9" w:lineRule="exact"/>
        <w:rPr>
          <w:rFonts w:ascii="Arial" w:cs="Arial" w:eastAsia="Arial" w:hAnsi="Arial"/>
          <w:sz w:val="18"/>
          <w:szCs w:val="18"/>
          <w:color w:val="0000FF"/>
        </w:rPr>
      </w:pPr>
    </w:p>
    <w:p>
      <w:pPr>
        <w:ind w:left="5060"/>
        <w:spacing w:after="0"/>
        <w:rPr>
          <w:sz w:val="20"/>
          <w:szCs w:val="20"/>
          <w:color w:val="auto"/>
        </w:rPr>
      </w:pPr>
      <w:r>
        <w:rPr>
          <w:rFonts w:ascii="Arial" w:cs="Arial" w:eastAsia="Arial" w:hAnsi="Arial"/>
          <w:sz w:val="18"/>
          <w:szCs w:val="18"/>
          <w:color w:val="auto"/>
        </w:rPr>
        <w:t>(661) 367-9170</w:t>
      </w:r>
    </w:p>
    <w:p>
      <w:pPr>
        <w:spacing w:after="0" w:line="9" w:lineRule="exact"/>
        <w:rPr>
          <w:rFonts w:ascii="Arial" w:cs="Arial" w:eastAsia="Arial" w:hAnsi="Arial"/>
          <w:sz w:val="18"/>
          <w:szCs w:val="18"/>
          <w:color w:val="0000FF"/>
        </w:rPr>
      </w:pPr>
    </w:p>
    <w:p>
      <w:pPr>
        <w:ind w:left="4180"/>
        <w:spacing w:after="0"/>
        <w:rPr>
          <w:sz w:val="20"/>
          <w:szCs w:val="20"/>
          <w:color w:val="auto"/>
        </w:rPr>
      </w:pPr>
      <w:r>
        <w:rPr>
          <w:rFonts w:ascii="Arial" w:cs="Arial" w:eastAsia="Arial" w:hAnsi="Arial"/>
          <w:sz w:val="18"/>
          <w:szCs w:val="18"/>
          <w:color w:val="auto"/>
        </w:rPr>
        <w:t>Attn: Donna Shiroma, General Counsel</w:t>
      </w:r>
    </w:p>
    <w:p>
      <w:pPr>
        <w:sectPr>
          <w:pgSz w:w="11900" w:h="16838" w:orient="portrait"/>
          <w:cols w:equalWidth="0" w:num="1">
            <w:col w:w="11220"/>
          </w:cols>
          <w:pgMar w:left="320" w:top="418" w:right="359" w:bottom="1440" w:gutter="0" w:footer="0" w:header="0"/>
        </w:sectPr>
      </w:pPr>
    </w:p>
    <w:p>
      <w:pPr>
        <w:spacing w:after="0" w:line="200" w:lineRule="exact"/>
        <w:rPr>
          <w:rFonts w:ascii="Arial" w:cs="Arial" w:eastAsia="Arial" w:hAnsi="Arial"/>
          <w:sz w:val="18"/>
          <w:szCs w:val="18"/>
          <w:color w:val="0000FF"/>
        </w:rPr>
      </w:pPr>
    </w:p>
    <w:p>
      <w:pPr>
        <w:spacing w:after="0" w:line="254" w:lineRule="exact"/>
        <w:rPr>
          <w:rFonts w:ascii="Arial" w:cs="Arial" w:eastAsia="Arial" w:hAnsi="Arial"/>
          <w:sz w:val="18"/>
          <w:szCs w:val="18"/>
          <w:color w:val="0000FF"/>
        </w:rPr>
      </w:pPr>
    </w:p>
    <w:p>
      <w:pPr>
        <w:jc w:val="center"/>
        <w:ind w:right="-39"/>
        <w:spacing w:after="0"/>
        <w:rPr>
          <w:sz w:val="20"/>
          <w:szCs w:val="20"/>
          <w:color w:val="auto"/>
        </w:rPr>
      </w:pPr>
      <w:r>
        <w:rPr>
          <w:rFonts w:ascii="Arial" w:cs="Arial" w:eastAsia="Arial" w:hAnsi="Arial"/>
          <w:sz w:val="16"/>
          <w:szCs w:val="16"/>
          <w:color w:val="auto"/>
        </w:rPr>
        <w:t>S-14</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39"/>
          <w:szCs w:val="39"/>
          <w:b w:val="1"/>
          <w:bCs w:val="1"/>
          <w:color w:val="auto"/>
        </w:rPr>
        <w:t>AVITA MEDICAL,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193675</wp:posOffset>
            </wp:positionV>
            <wp:extent cx="1602740" cy="1920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160274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$200,000,000</w:t>
      </w:r>
    </w:p>
    <w:p>
      <w:pPr>
        <w:spacing w:after="0" w:line="228" w:lineRule="exact"/>
        <w:rPr>
          <w:sz w:val="20"/>
          <w:szCs w:val="20"/>
          <w:color w:val="auto"/>
        </w:rPr>
      </w:pPr>
    </w:p>
    <w:p>
      <w:pPr>
        <w:ind w:left="5540"/>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COMMON STOCK</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PREFERRED STOCK</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WARRANTS</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174625</wp:posOffset>
            </wp:positionV>
            <wp:extent cx="14230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40" w:firstLine="509"/>
        <w:spacing w:after="0" w:line="291" w:lineRule="auto"/>
        <w:rPr>
          <w:sz w:val="20"/>
          <w:szCs w:val="20"/>
          <w:color w:val="auto"/>
        </w:rPr>
      </w:pPr>
      <w:r>
        <w:rPr>
          <w:rFonts w:ascii="Arial" w:cs="Arial" w:eastAsia="Arial" w:hAnsi="Arial"/>
          <w:sz w:val="15"/>
          <w:szCs w:val="15"/>
          <w:color w:val="auto"/>
        </w:rPr>
        <w:t>We may offer and sell from time to time our common stock, preferred stock, warrants, and units. We refer to the common stock, preferred stock, and warrants and any related units collectively as the “securities.” The aggregate initial offering price of all securities sold by AVITA Medical, Inc. pursuant to this prospectus and any prospectus supplement will not exceed $200,000,000. The specific terms of any securities we offer will be included in a supplement to this prospectus. Any prospectus supplement may also add, update or change information contained in this prospectus. You should read this prospectus and the accompanying prospectus supplement, as well as the documents incorporated by reference or deemed to be incorporated by reference into this prospectus and any prospectus supplement, carefully before you make your investment decision. This prospectus may not be used to offer and sell securities unless accompanied by a prospectus supplement for those securities.</w:t>
      </w:r>
    </w:p>
    <w:p>
      <w:pPr>
        <w:spacing w:after="0" w:line="149"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These securities may be sold directly by us, through dealers or agents designated from time to time, to or through underwriters or through a combination of these methods. See “Plan of Distribution” in this prospectus. We may also describe the plan of distribution for any particular offering of these securities in any applicable prospectus supplement. If any agents, underwriters or dealers are involved in the sale of any securities in respect of which this prospectus is being delivered, we will disclose their names and the nature of our arrangements with them in a prospectus supplement. The net proceeds we expect to receive from any such sale will also be included in a prospectus supplement.</w:t>
      </w:r>
    </w:p>
    <w:p>
      <w:pPr>
        <w:spacing w:after="0" w:line="149"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Our common stock trades on The Nasdaq Stock Market LLC under the symbol “RCEL.” On Apri1 12, 2023, the last reported sale price for our common stock was $15.81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140970</wp:posOffset>
            </wp:positionV>
            <wp:extent cx="14230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color w:val="auto"/>
        </w:rPr>
        <w:t>See “</w:t>
      </w:r>
      <w:r>
        <w:rPr>
          <w:rFonts w:ascii="Arial" w:cs="Arial" w:eastAsia="Arial" w:hAnsi="Arial"/>
          <w:sz w:val="16"/>
          <w:szCs w:val="16"/>
          <w:b w:val="1"/>
          <w:bCs w:val="1"/>
          <w:u w:val="single" w:color="auto"/>
          <w:color w:val="0000FF"/>
        </w:rPr>
        <w:t>Risk Factors</w:t>
      </w:r>
      <w:r>
        <w:rPr>
          <w:rFonts w:ascii="Arial" w:cs="Arial" w:eastAsia="Arial" w:hAnsi="Arial"/>
          <w:sz w:val="16"/>
          <w:szCs w:val="16"/>
          <w:b w:val="1"/>
          <w:bCs w:val="1"/>
          <w:color w:val="auto"/>
        </w:rPr>
        <w:t>” beginning on page 3 of this prospectus, together with risk factors contained in any applicable prospectus supplement, for factors you should consider before buying any of our securities.</w:t>
      </w:r>
    </w:p>
    <w:p>
      <w:pPr>
        <w:spacing w:after="0" w:line="137"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b w:val="1"/>
          <w:bCs w:val="1"/>
          <w:color w:val="auto"/>
        </w:rPr>
        <w:t>Neither the U.S.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138430</wp:posOffset>
            </wp:positionV>
            <wp:extent cx="14230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date of this Prospectus is April 25, 2023.</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520" w:type="dxa"/>
            <w:vAlign w:val="bottom"/>
            <w:gridSpan w:val="3"/>
          </w:tcPr>
          <w:p>
            <w:pPr>
              <w:jc w:val="right"/>
              <w:ind w:right="5200"/>
              <w:spacing w:after="0"/>
              <w:rPr>
                <w:sz w:val="20"/>
                <w:szCs w:val="20"/>
                <w:color w:val="auto"/>
              </w:rPr>
            </w:pPr>
            <w:r>
              <w:rPr>
                <w:rFonts w:ascii="Arial" w:cs="Arial" w:eastAsia="Arial" w:hAnsi="Arial"/>
                <w:sz w:val="16"/>
                <w:szCs w:val="16"/>
                <w:b w:val="1"/>
                <w:bCs w:val="1"/>
                <w:color w:val="auto"/>
              </w:rPr>
              <w:t>TABLE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520" w:type="dxa"/>
            <w:vAlign w:val="bottom"/>
            <w:gridSpan w:val="3"/>
          </w:tcPr>
          <w:p>
            <w:pPr>
              <w:jc w:val="right"/>
              <w:ind w:right="5140"/>
              <w:spacing w:after="0"/>
              <w:rPr>
                <w:sz w:val="20"/>
                <w:szCs w:val="20"/>
                <w:color w:val="auto"/>
              </w:rPr>
            </w:pPr>
            <w:r>
              <w:rPr>
                <w:rFonts w:ascii="Arial" w:cs="Arial" w:eastAsia="Arial" w:hAnsi="Arial"/>
                <w:sz w:val="16"/>
                <w:szCs w:val="16"/>
                <w:b w:val="1"/>
                <w:bCs w:val="1"/>
                <w:color w:val="auto"/>
              </w:rPr>
              <w:t>CONTENTS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700" w:type="dxa"/>
            <w:vAlign w:val="bottom"/>
            <w:gridSpan w:val="18"/>
            <w:vMerge w:val="restart"/>
          </w:tcPr>
          <w:p>
            <w:pPr>
              <w:spacing w:after="0"/>
              <w:rPr>
                <w:sz w:val="20"/>
                <w:szCs w:val="20"/>
                <w:color w:val="auto"/>
              </w:rPr>
            </w:pPr>
            <w:r>
              <w:rPr>
                <w:rFonts w:ascii="Arial" w:cs="Arial" w:eastAsia="Arial" w:hAnsi="Arial"/>
                <w:sz w:val="16"/>
                <w:szCs w:val="16"/>
                <w:color w:val="0000FF"/>
              </w:rPr>
              <w:t>ABOUT THIS PROSPECTUS</w:t>
            </w:r>
          </w:p>
        </w:tc>
        <w:tc>
          <w:tcPr>
            <w:tcW w:w="57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00" w:type="dxa"/>
            <w:vAlign w:val="bottom"/>
            <w:gridSpan w:val="18"/>
            <w:vMerge w:val="continue"/>
          </w:tcPr>
          <w:p>
            <w:pPr>
              <w:spacing w:after="0"/>
              <w:rPr>
                <w:sz w:val="14"/>
                <w:szCs w:val="14"/>
                <w:color w:val="auto"/>
              </w:rPr>
            </w:pPr>
          </w:p>
        </w:tc>
        <w:tc>
          <w:tcPr>
            <w:tcW w:w="650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95"/>
              </w:rPr>
              <w:t>FORWARD-LOOKING STATEMENTS</w:t>
            </w:r>
          </w:p>
        </w:tc>
        <w:tc>
          <w:tcPr>
            <w:tcW w:w="2060" w:type="dxa"/>
            <w:vAlign w:val="bottom"/>
            <w:gridSpan w:val="3"/>
          </w:tcPr>
          <w:p>
            <w:pPr>
              <w:spacing w:after="0"/>
              <w:rPr>
                <w:sz w:val="18"/>
                <w:szCs w:val="18"/>
                <w:color w:val="auto"/>
              </w:rPr>
            </w:pP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gridSpan w:val="18"/>
          </w:tcPr>
          <w:p>
            <w:pPr>
              <w:spacing w:after="0"/>
              <w:rPr>
                <w:sz w:val="20"/>
                <w:szCs w:val="20"/>
                <w:color w:val="auto"/>
              </w:rPr>
            </w:pPr>
            <w:r>
              <w:rPr>
                <w:rFonts w:ascii="Arial" w:cs="Arial" w:eastAsia="Arial" w:hAnsi="Arial"/>
                <w:sz w:val="16"/>
                <w:szCs w:val="16"/>
                <w:color w:val="0000FF"/>
              </w:rPr>
              <w:t>RISK FACTORS</w:t>
            </w: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gridSpan w:val="18"/>
          </w:tcPr>
          <w:p>
            <w:pPr>
              <w:spacing w:after="0"/>
              <w:rPr>
                <w:sz w:val="20"/>
                <w:szCs w:val="20"/>
                <w:color w:val="auto"/>
              </w:rPr>
            </w:pPr>
            <w:r>
              <w:rPr>
                <w:rFonts w:ascii="Arial" w:cs="Arial" w:eastAsia="Arial" w:hAnsi="Arial"/>
                <w:sz w:val="16"/>
                <w:szCs w:val="16"/>
                <w:color w:val="0000FF"/>
              </w:rPr>
              <w:t>USE OF PROCEEDS</w:t>
            </w: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0000FF"/>
            </w:tcBorders>
            <w:gridSpan w:val="17"/>
          </w:tcPr>
          <w:p>
            <w:pPr>
              <w:spacing w:after="0"/>
              <w:rPr>
                <w:sz w:val="20"/>
                <w:szCs w:val="20"/>
                <w:color w:val="auto"/>
              </w:rPr>
            </w:pPr>
            <w:r>
              <w:rPr>
                <w:rFonts w:ascii="Arial" w:cs="Arial" w:eastAsia="Arial" w:hAnsi="Arial"/>
                <w:sz w:val="16"/>
                <w:szCs w:val="16"/>
                <w:color w:val="0000FF"/>
                <w:w w:val="96"/>
              </w:rPr>
              <w:t>DESCRIPTION OF COMMON STOCK WE MAY OFFER</w:t>
            </w:r>
          </w:p>
        </w:tc>
        <w:tc>
          <w:tcPr>
            <w:tcW w:w="800" w:type="dxa"/>
            <w:vAlign w:val="bottom"/>
          </w:tcPr>
          <w:p>
            <w:pPr>
              <w:spacing w:after="0"/>
              <w:rPr>
                <w:sz w:val="18"/>
                <w:szCs w:val="18"/>
                <w:color w:val="auto"/>
              </w:rPr>
            </w:pP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3"/>
              </w:rPr>
              <w:t>Common Stock</w:t>
            </w:r>
          </w:p>
        </w:tc>
        <w:tc>
          <w:tcPr>
            <w:tcW w:w="3660" w:type="dxa"/>
            <w:vAlign w:val="bottom"/>
            <w:gridSpan w:val="14"/>
          </w:tcPr>
          <w:p>
            <w:pPr>
              <w:spacing w:after="0"/>
              <w:rPr>
                <w:sz w:val="18"/>
                <w:szCs w:val="18"/>
                <w:color w:val="auto"/>
              </w:rPr>
            </w:pP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2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89"/>
              </w:rPr>
              <w:t>Preferred Stock</w:t>
            </w:r>
          </w:p>
        </w:tc>
        <w:tc>
          <w:tcPr>
            <w:tcW w:w="3680" w:type="dxa"/>
            <w:vAlign w:val="bottom"/>
            <w:gridSpan w:val="15"/>
          </w:tcPr>
          <w:p>
            <w:pPr>
              <w:spacing w:after="0"/>
              <w:rPr>
                <w:sz w:val="18"/>
                <w:szCs w:val="18"/>
                <w:color w:val="auto"/>
              </w:rPr>
            </w:pP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w w:val="98"/>
              </w:rPr>
              <w:t>Limitation of Liability; Indemnification</w:t>
            </w:r>
          </w:p>
        </w:tc>
        <w:tc>
          <w:tcPr>
            <w:tcW w:w="2120" w:type="dxa"/>
            <w:vAlign w:val="bottom"/>
            <w:gridSpan w:val="4"/>
          </w:tcPr>
          <w:p>
            <w:pPr>
              <w:spacing w:after="0"/>
              <w:rPr>
                <w:sz w:val="18"/>
                <w:szCs w:val="18"/>
                <w:color w:val="auto"/>
              </w:rPr>
            </w:pP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gridSpan w:val="18"/>
          </w:tcPr>
          <w:p>
            <w:pPr>
              <w:spacing w:after="0"/>
              <w:rPr>
                <w:sz w:val="20"/>
                <w:szCs w:val="20"/>
                <w:color w:val="auto"/>
              </w:rPr>
            </w:pPr>
            <w:r>
              <w:rPr>
                <w:rFonts w:ascii="Arial" w:cs="Arial" w:eastAsia="Arial" w:hAnsi="Arial"/>
                <w:sz w:val="16"/>
                <w:szCs w:val="16"/>
                <w:color w:val="0000FF"/>
              </w:rPr>
              <w:t>Securities Exchange Listings</w:t>
            </w: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gridSpan w:val="18"/>
          </w:tcPr>
          <w:p>
            <w:pPr>
              <w:spacing w:after="0"/>
              <w:rPr>
                <w:sz w:val="20"/>
                <w:szCs w:val="20"/>
                <w:color w:val="auto"/>
              </w:rPr>
            </w:pPr>
            <w:r>
              <w:rPr>
                <w:rFonts w:ascii="Arial" w:cs="Arial" w:eastAsia="Arial" w:hAnsi="Arial"/>
                <w:sz w:val="16"/>
                <w:szCs w:val="16"/>
                <w:color w:val="0000FF"/>
              </w:rPr>
              <w:t>Transfer Agent and Registrar</w:t>
            </w: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5"/>
              </w:rPr>
              <w:t>DESCRIPTION OF WARRANTS</w:t>
            </w:r>
          </w:p>
        </w:tc>
        <w:tc>
          <w:tcPr>
            <w:tcW w:w="2460" w:type="dxa"/>
            <w:vAlign w:val="bottom"/>
            <w:gridSpan w:val="6"/>
          </w:tcPr>
          <w:p>
            <w:pPr>
              <w:spacing w:after="0"/>
              <w:rPr>
                <w:sz w:val="18"/>
                <w:szCs w:val="18"/>
                <w:color w:val="auto"/>
              </w:rPr>
            </w:pP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2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w w:val="92"/>
              </w:rPr>
              <w:t>Exercise of Warrants</w:t>
            </w:r>
          </w:p>
        </w:tc>
        <w:tc>
          <w:tcPr>
            <w:tcW w:w="3280" w:type="dxa"/>
            <w:vAlign w:val="bottom"/>
            <w:gridSpan w:val="11"/>
          </w:tcPr>
          <w:p>
            <w:pPr>
              <w:spacing w:after="0"/>
              <w:rPr>
                <w:sz w:val="18"/>
                <w:szCs w:val="18"/>
                <w:color w:val="auto"/>
              </w:rPr>
            </w:pP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Modifications</w:t>
            </w:r>
          </w:p>
        </w:tc>
        <w:tc>
          <w:tcPr>
            <w:tcW w:w="3740" w:type="dxa"/>
            <w:vAlign w:val="bottom"/>
            <w:gridSpan w:val="16"/>
          </w:tcPr>
          <w:p>
            <w:pPr>
              <w:spacing w:after="0"/>
              <w:rPr>
                <w:sz w:val="18"/>
                <w:szCs w:val="18"/>
                <w:color w:val="auto"/>
              </w:rPr>
            </w:pP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0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6"/>
              </w:rPr>
              <w:t>Enforceability of Rights</w:t>
            </w:r>
          </w:p>
        </w:tc>
        <w:tc>
          <w:tcPr>
            <w:tcW w:w="3100" w:type="dxa"/>
            <w:vAlign w:val="bottom"/>
            <w:gridSpan w:val="10"/>
          </w:tcPr>
          <w:p>
            <w:pPr>
              <w:spacing w:after="0"/>
              <w:rPr>
                <w:sz w:val="18"/>
                <w:szCs w:val="18"/>
                <w:color w:val="auto"/>
              </w:rPr>
            </w:pP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2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5"/>
              </w:rPr>
              <w:t>DESCRIPTION OF UNITS</w:t>
            </w:r>
          </w:p>
        </w:tc>
        <w:tc>
          <w:tcPr>
            <w:tcW w:w="2880" w:type="dxa"/>
            <w:vAlign w:val="bottom"/>
            <w:gridSpan w:val="9"/>
          </w:tcPr>
          <w:p>
            <w:pPr>
              <w:spacing w:after="0"/>
              <w:rPr>
                <w:sz w:val="18"/>
                <w:szCs w:val="18"/>
                <w:color w:val="auto"/>
              </w:rPr>
            </w:pP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gridSpan w:val="18"/>
          </w:tcPr>
          <w:p>
            <w:pPr>
              <w:spacing w:after="0"/>
              <w:rPr>
                <w:sz w:val="20"/>
                <w:szCs w:val="20"/>
                <w:color w:val="auto"/>
              </w:rPr>
            </w:pPr>
            <w:r>
              <w:rPr>
                <w:rFonts w:ascii="Arial" w:cs="Arial" w:eastAsia="Arial" w:hAnsi="Arial"/>
                <w:sz w:val="16"/>
                <w:szCs w:val="16"/>
                <w:color w:val="0000FF"/>
              </w:rPr>
              <w:t>CHESS DEPOSITARY INTERESTS</w:t>
            </w: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20" w:type="dxa"/>
            <w:vAlign w:val="bottom"/>
            <w:tcBorders>
              <w:top w:val="single" w:sz="8" w:color="0000FF"/>
            </w:tcBorders>
            <w:gridSpan w:val="13"/>
          </w:tcPr>
          <w:p>
            <w:pPr>
              <w:spacing w:after="0"/>
              <w:rPr>
                <w:sz w:val="20"/>
                <w:szCs w:val="20"/>
                <w:color w:val="auto"/>
              </w:rPr>
            </w:pPr>
            <w:r>
              <w:rPr>
                <w:rFonts w:ascii="Arial" w:cs="Arial" w:eastAsia="Arial" w:hAnsi="Arial"/>
                <w:sz w:val="16"/>
                <w:szCs w:val="16"/>
                <w:color w:val="0000FF"/>
              </w:rPr>
              <w:t>PLAN OF DISTRIBUTION</w:t>
            </w:r>
          </w:p>
        </w:tc>
        <w:tc>
          <w:tcPr>
            <w:tcW w:w="2280" w:type="dxa"/>
            <w:vAlign w:val="bottom"/>
            <w:gridSpan w:val="5"/>
          </w:tcPr>
          <w:p>
            <w:pPr>
              <w:spacing w:after="0"/>
              <w:rPr>
                <w:sz w:val="18"/>
                <w:szCs w:val="18"/>
                <w:color w:val="auto"/>
              </w:rPr>
            </w:pP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6"/>
                <w:szCs w:val="16"/>
                <w:color w:val="0000FF"/>
                <w:w w:val="98"/>
              </w:rPr>
              <w:t>LEGAL MATTERS</w:t>
            </w:r>
          </w:p>
        </w:tc>
        <w:tc>
          <w:tcPr>
            <w:tcW w:w="560" w:type="dxa"/>
            <w:vAlign w:val="bottom"/>
            <w:tcBorders>
              <w:top w:val="single" w:sz="8" w:color="0000FF"/>
            </w:tcBorders>
            <w:gridSpan w:val="4"/>
          </w:tcPr>
          <w:p>
            <w:pPr>
              <w:spacing w:after="0"/>
              <w:rPr>
                <w:sz w:val="18"/>
                <w:szCs w:val="18"/>
                <w:color w:val="auto"/>
              </w:rPr>
            </w:pPr>
          </w:p>
        </w:tc>
        <w:tc>
          <w:tcPr>
            <w:tcW w:w="2820" w:type="dxa"/>
            <w:vAlign w:val="bottom"/>
            <w:gridSpan w:val="8"/>
          </w:tcPr>
          <w:p>
            <w:pPr>
              <w:spacing w:after="0"/>
              <w:rPr>
                <w:sz w:val="18"/>
                <w:szCs w:val="18"/>
                <w:color w:val="auto"/>
              </w:rPr>
            </w:pP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6"/>
              </w:rPr>
              <w:t>EXPERTS</w:t>
            </w:r>
          </w:p>
        </w:tc>
        <w:tc>
          <w:tcPr>
            <w:tcW w:w="3960" w:type="dxa"/>
            <w:vAlign w:val="bottom"/>
            <w:gridSpan w:val="17"/>
          </w:tcPr>
          <w:p>
            <w:pPr>
              <w:spacing w:after="0"/>
              <w:rPr>
                <w:sz w:val="18"/>
                <w:szCs w:val="18"/>
                <w:color w:val="auto"/>
              </w:rPr>
            </w:pP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98"/>
              </w:rPr>
              <w:t>WHERE YOU CAN FIND MORE INFORMATION</w:t>
            </w:r>
          </w:p>
        </w:tc>
        <w:tc>
          <w:tcPr>
            <w:tcW w:w="1260" w:type="dxa"/>
            <w:vAlign w:val="bottom"/>
            <w:gridSpan w:val="2"/>
          </w:tcPr>
          <w:p>
            <w:pPr>
              <w:spacing w:after="0"/>
              <w:rPr>
                <w:sz w:val="18"/>
                <w:szCs w:val="18"/>
                <w:color w:val="auto"/>
              </w:rPr>
            </w:pP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w w:val="97"/>
              </w:rPr>
              <w:t>INCORPORATION OF CERTAIN INFORMATION BY REFERENCE</w:t>
            </w:r>
          </w:p>
        </w:tc>
        <w:tc>
          <w:tcPr>
            <w:tcW w:w="65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ABOUT THIS PROSPECTUS</w:t>
      </w:r>
    </w:p>
    <w:p>
      <w:pPr>
        <w:spacing w:after="0" w:line="212" w:lineRule="exact"/>
        <w:rPr>
          <w:sz w:val="20"/>
          <w:szCs w:val="20"/>
          <w:color w:val="auto"/>
        </w:rPr>
      </w:pPr>
    </w:p>
    <w:p>
      <w:pPr>
        <w:ind w:right="420" w:firstLine="509"/>
        <w:spacing w:after="0" w:line="293" w:lineRule="auto"/>
        <w:rPr>
          <w:sz w:val="20"/>
          <w:szCs w:val="20"/>
          <w:color w:val="auto"/>
        </w:rPr>
      </w:pPr>
      <w:r>
        <w:rPr>
          <w:rFonts w:ascii="Arial" w:cs="Arial" w:eastAsia="Arial" w:hAnsi="Arial"/>
          <w:sz w:val="16"/>
          <w:szCs w:val="16"/>
          <w:color w:val="auto"/>
        </w:rPr>
        <w:t>Unless the context requires otherwise or unless otherwise noted, all references in this prospectus or any prospectus supplement to “AVITA Medical” and to the “Company,” “we,” “us” or “our” are to AVITA Medical, Inc. and its subsidiaries.</w:t>
      </w:r>
    </w:p>
    <w:p>
      <w:pPr>
        <w:spacing w:after="0" w:line="131" w:lineRule="exact"/>
        <w:rPr>
          <w:sz w:val="20"/>
          <w:szCs w:val="20"/>
          <w:color w:val="auto"/>
        </w:rPr>
      </w:pPr>
    </w:p>
    <w:p>
      <w:pPr>
        <w:ind w:right="140" w:firstLine="509"/>
        <w:spacing w:after="0" w:line="315" w:lineRule="auto"/>
        <w:rPr>
          <w:sz w:val="20"/>
          <w:szCs w:val="20"/>
          <w:color w:val="auto"/>
        </w:rPr>
      </w:pPr>
      <w:r>
        <w:rPr>
          <w:rFonts w:ascii="Arial" w:cs="Arial" w:eastAsia="Arial" w:hAnsi="Arial"/>
          <w:sz w:val="14"/>
          <w:szCs w:val="14"/>
          <w:color w:val="auto"/>
        </w:rPr>
        <w:t>This prospectus is part of a registration statement on Form S-3 that we filed with the U.S. Securities and Exchange Commission, or the SEC, using a “shelf” registration process. Under this shelf registration process, we may, from time to time, offer and sell any combination of the securities described in this prospectus in one or more offerings up to an aggregate offering price of $200,000,000. This prospectus provides you with a general description of the securities that may be offered. Each time securities are offered, we will provide one or more prospectus supplements that will contain specific information about the terms of that offering. A prospectus supplement may also add, update or change information contained in this prospectus. You should read both this prospectus and any prospectus supplement together with the additional information described under the headings “Where You Can Find More Information” and “Incorporation of Certain Information by Reference” below.</w:t>
      </w:r>
    </w:p>
    <w:p>
      <w:pPr>
        <w:spacing w:after="0" w:line="123" w:lineRule="exact"/>
        <w:rPr>
          <w:sz w:val="20"/>
          <w:szCs w:val="20"/>
          <w:color w:val="auto"/>
        </w:rPr>
      </w:pPr>
    </w:p>
    <w:p>
      <w:pPr>
        <w:ind w:right="20" w:firstLine="509"/>
        <w:spacing w:after="0" w:line="315" w:lineRule="auto"/>
        <w:rPr>
          <w:sz w:val="20"/>
          <w:szCs w:val="20"/>
          <w:color w:val="auto"/>
        </w:rPr>
      </w:pPr>
      <w:r>
        <w:rPr>
          <w:rFonts w:ascii="Arial" w:cs="Arial" w:eastAsia="Arial" w:hAnsi="Arial"/>
          <w:sz w:val="14"/>
          <w:szCs w:val="14"/>
          <w:color w:val="auto"/>
        </w:rPr>
        <w:t>We have not authorized anyone to provide you with different information than that contained or incorporated by reference in this prospectus supplement and any related free writing prospectus filed by us with the SEC. We take no responsibility for, and can provide no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You should assume that the information appearing in this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FORWARD-LOOKING STATEMENTS</w:t>
      </w:r>
    </w:p>
    <w:p>
      <w:pPr>
        <w:spacing w:after="0" w:line="198" w:lineRule="exact"/>
        <w:rPr>
          <w:sz w:val="20"/>
          <w:szCs w:val="20"/>
          <w:color w:val="auto"/>
        </w:rPr>
      </w:pPr>
    </w:p>
    <w:p>
      <w:pPr>
        <w:ind w:firstLine="509"/>
        <w:spacing w:after="0" w:line="315" w:lineRule="auto"/>
        <w:rPr>
          <w:sz w:val="20"/>
          <w:szCs w:val="20"/>
          <w:color w:val="auto"/>
        </w:rPr>
      </w:pPr>
      <w:r>
        <w:rPr>
          <w:rFonts w:ascii="Arial" w:cs="Arial" w:eastAsia="Arial" w:hAnsi="Arial"/>
          <w:sz w:val="14"/>
          <w:szCs w:val="14"/>
          <w:color w:val="auto"/>
        </w:rPr>
        <w:t>This prospectus, including the documents that we incorporate by reference, contains forward-looking statements within the meaning of Section 27A of the Securities Act of 1933, as amended (the “Securities Act”), and Section 21E of the Securities Exchange Act of 1934, as amended (the “Exchange Act”). The words “anticipate,” “believe,” “ensure,” “expect,” “if,” “intend,” “estimate,” “probable,” “project,” “forecasts,” “predict,” “outlook,” “aim,” “will,” “could,” “should,” “would,” “may,” “likely” and similar expressions, and the negative thereof, are intended to identify forward-looking statements. Our forward-looking statements are based on assumptions that we believe to be reasonable but that may not prove to be accurate. The statements do not include the potential impact of future transactions, such as an acquisition, disposition, merger, joint venture or other transaction that could occur. We undertake no obligation to publicly update or revise any forward-looking statement, except as required by law.</w:t>
      </w:r>
    </w:p>
    <w:p>
      <w:pPr>
        <w:spacing w:after="0" w:line="136" w:lineRule="exact"/>
        <w:rPr>
          <w:sz w:val="20"/>
          <w:szCs w:val="20"/>
          <w:color w:val="auto"/>
        </w:rPr>
      </w:pPr>
    </w:p>
    <w:p>
      <w:pPr>
        <w:ind w:right="120" w:firstLine="509"/>
        <w:spacing w:after="0" w:line="273" w:lineRule="auto"/>
        <w:rPr>
          <w:sz w:val="20"/>
          <w:szCs w:val="20"/>
          <w:color w:val="auto"/>
        </w:rPr>
      </w:pPr>
      <w:r>
        <w:rPr>
          <w:rFonts w:ascii="Arial" w:cs="Arial" w:eastAsia="Arial" w:hAnsi="Arial"/>
          <w:sz w:val="16"/>
          <w:szCs w:val="16"/>
          <w:color w:val="auto"/>
        </w:rPr>
        <w:t>All of our forward-looking information is subject to risks and uncertainties that could cause actual results to differ materially from the results expected. Although it is not possible to identify all factors, these risks and uncertainties include the risk factors and the timing of any of those risk factors described in our annual report on Form 10-K for the year ended December 31, 2022. These documents are available through the SEC’s Electronic Data Gathering and Analysis Retrieval System at http://www.sec.gov.</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THE COMPANY</w:t>
      </w:r>
    </w:p>
    <w:p>
      <w:pPr>
        <w:spacing w:after="0" w:line="208" w:lineRule="exact"/>
        <w:rPr>
          <w:sz w:val="20"/>
          <w:szCs w:val="20"/>
          <w:color w:val="auto"/>
        </w:rPr>
      </w:pPr>
    </w:p>
    <w:p>
      <w:pPr>
        <w:ind w:right="280" w:firstLine="509"/>
        <w:spacing w:after="0" w:line="278" w:lineRule="auto"/>
        <w:rPr>
          <w:sz w:val="20"/>
          <w:szCs w:val="20"/>
          <w:color w:val="auto"/>
        </w:rPr>
      </w:pPr>
      <w:r>
        <w:rPr>
          <w:rFonts w:ascii="Arial" w:cs="Arial" w:eastAsia="Arial" w:hAnsi="Arial"/>
          <w:sz w:val="15"/>
          <w:szCs w:val="15"/>
          <w:color w:val="auto"/>
        </w:rPr>
        <w:t>AVITA Medical, Inc. and its subsidiaries (including AVITA Medical Pty Limited (“</w:t>
      </w:r>
      <w:r>
        <w:rPr>
          <w:rFonts w:ascii="Arial" w:cs="Arial" w:eastAsia="Arial" w:hAnsi="Arial"/>
          <w:sz w:val="15"/>
          <w:szCs w:val="15"/>
          <w:b w:val="1"/>
          <w:bCs w:val="1"/>
          <w:color w:val="auto"/>
        </w:rPr>
        <w:t>AVITA Australia</w:t>
      </w:r>
      <w:r>
        <w:rPr>
          <w:rFonts w:ascii="Arial" w:cs="Arial" w:eastAsia="Arial" w:hAnsi="Arial"/>
          <w:sz w:val="15"/>
          <w:szCs w:val="15"/>
          <w:color w:val="auto"/>
        </w:rPr>
        <w:t>”) (collectively, “</w:t>
      </w:r>
      <w:r>
        <w:rPr>
          <w:rFonts w:ascii="Arial" w:cs="Arial" w:eastAsia="Arial" w:hAnsi="Arial"/>
          <w:sz w:val="15"/>
          <w:szCs w:val="15"/>
          <w:b w:val="1"/>
          <w:bCs w:val="1"/>
          <w:color w:val="auto"/>
        </w:rPr>
        <w:t>AVITA Medical</w:t>
      </w:r>
      <w:r>
        <w:rPr>
          <w:rFonts w:ascii="Arial" w:cs="Arial" w:eastAsia="Arial" w:hAnsi="Arial"/>
          <w:sz w:val="15"/>
          <w:szCs w:val="15"/>
          <w:color w:val="auto"/>
        </w:rPr>
        <w:t>”, “</w:t>
      </w:r>
      <w:r>
        <w:rPr>
          <w:rFonts w:ascii="Arial" w:cs="Arial" w:eastAsia="Arial" w:hAnsi="Arial"/>
          <w:sz w:val="15"/>
          <w:szCs w:val="15"/>
          <w:b w:val="1"/>
          <w:bCs w:val="1"/>
          <w:color w:val="auto"/>
        </w:rPr>
        <w:t>we</w:t>
      </w:r>
      <w:r>
        <w:rPr>
          <w:rFonts w:ascii="Arial" w:cs="Arial" w:eastAsia="Arial" w:hAnsi="Arial"/>
          <w:sz w:val="15"/>
          <w:szCs w:val="15"/>
          <w:color w:val="auto"/>
        </w:rPr>
        <w:t>”, “</w:t>
      </w:r>
      <w:r>
        <w:rPr>
          <w:rFonts w:ascii="Arial" w:cs="Arial" w:eastAsia="Arial" w:hAnsi="Arial"/>
          <w:sz w:val="15"/>
          <w:szCs w:val="15"/>
          <w:b w:val="1"/>
          <w:bCs w:val="1"/>
          <w:color w:val="auto"/>
        </w:rPr>
        <w:t>our</w:t>
      </w:r>
      <w:r>
        <w:rPr>
          <w:rFonts w:ascii="Arial" w:cs="Arial" w:eastAsia="Arial" w:hAnsi="Arial"/>
          <w:sz w:val="15"/>
          <w:szCs w:val="15"/>
          <w:color w:val="auto"/>
        </w:rPr>
        <w:t>”, “</w:t>
      </w:r>
      <w:r>
        <w:rPr>
          <w:rFonts w:ascii="Arial" w:cs="Arial" w:eastAsia="Arial" w:hAnsi="Arial"/>
          <w:sz w:val="15"/>
          <w:szCs w:val="15"/>
          <w:b w:val="1"/>
          <w:bCs w:val="1"/>
          <w:color w:val="auto"/>
        </w:rPr>
        <w:t>us</w:t>
      </w:r>
      <w:r>
        <w:rPr>
          <w:rFonts w:ascii="Arial" w:cs="Arial" w:eastAsia="Arial" w:hAnsi="Arial"/>
          <w:sz w:val="15"/>
          <w:szCs w:val="15"/>
          <w:color w:val="auto"/>
        </w:rPr>
        <w:t>” or “</w:t>
      </w:r>
      <w:r>
        <w:rPr>
          <w:rFonts w:ascii="Arial" w:cs="Arial" w:eastAsia="Arial" w:hAnsi="Arial"/>
          <w:sz w:val="15"/>
          <w:szCs w:val="15"/>
          <w:b w:val="1"/>
          <w:bCs w:val="1"/>
          <w:color w:val="auto"/>
        </w:rPr>
        <w:t>Company</w:t>
      </w:r>
      <w:r>
        <w:rPr>
          <w:rFonts w:ascii="Arial" w:cs="Arial" w:eastAsia="Arial" w:hAnsi="Arial"/>
          <w:sz w:val="15"/>
          <w:szCs w:val="15"/>
          <w:color w:val="auto"/>
        </w:rPr>
        <w:t>”), is a regenerative medicine company leading the development and commercialization of devices and autologous cellular therapies for skin restoration. Our patented and proprietary RECELL</w:t>
      </w:r>
      <w:r>
        <w:rPr>
          <w:rFonts w:ascii="Arial" w:cs="Arial" w:eastAsia="Arial" w:hAnsi="Arial"/>
          <w:sz w:val="20"/>
          <w:szCs w:val="20"/>
          <w:color w:val="auto"/>
          <w:vertAlign w:val="superscript"/>
        </w:rPr>
        <w:t>®</w:t>
      </w:r>
      <w:r>
        <w:rPr>
          <w:rFonts w:ascii="Arial" w:cs="Arial" w:eastAsia="Arial" w:hAnsi="Arial"/>
          <w:sz w:val="15"/>
          <w:szCs w:val="15"/>
          <w:color w:val="auto"/>
        </w:rPr>
        <w:t xml:space="preserve"> System (“</w:t>
      </w:r>
      <w:r>
        <w:rPr>
          <w:rFonts w:ascii="Arial" w:cs="Arial" w:eastAsia="Arial" w:hAnsi="Arial"/>
          <w:sz w:val="15"/>
          <w:szCs w:val="15"/>
          <w:b w:val="1"/>
          <w:bCs w:val="1"/>
          <w:color w:val="auto"/>
        </w:rPr>
        <w:t>RECELL System</w:t>
      </w:r>
      <w:r>
        <w:rPr>
          <w:rFonts w:ascii="Arial" w:cs="Arial" w:eastAsia="Arial" w:hAnsi="Arial"/>
          <w:sz w:val="15"/>
          <w:szCs w:val="15"/>
          <w:color w:val="auto"/>
        </w:rPr>
        <w:t>” or “</w:t>
      </w:r>
      <w:r>
        <w:rPr>
          <w:rFonts w:ascii="Arial" w:cs="Arial" w:eastAsia="Arial" w:hAnsi="Arial"/>
          <w:sz w:val="15"/>
          <w:szCs w:val="15"/>
          <w:b w:val="1"/>
          <w:bCs w:val="1"/>
          <w:color w:val="auto"/>
        </w:rPr>
        <w:t>RECELL</w:t>
      </w:r>
      <w:r>
        <w:rPr>
          <w:rFonts w:ascii="Arial" w:cs="Arial" w:eastAsia="Arial" w:hAnsi="Arial"/>
          <w:sz w:val="15"/>
          <w:szCs w:val="15"/>
          <w:color w:val="auto"/>
        </w:rPr>
        <w:t>”) technology platform harnesses the regenerative properties of a patient’s own skin to create Spray-On Skin™ Cells, an autologous skin cell suspension that is sprayed onto the patient to regenerate natural healthy skin.</w:t>
      </w:r>
    </w:p>
    <w:p>
      <w:pPr>
        <w:spacing w:after="0" w:line="137" w:lineRule="exact"/>
        <w:rPr>
          <w:sz w:val="20"/>
          <w:szCs w:val="20"/>
          <w:color w:val="auto"/>
        </w:rPr>
      </w:pPr>
    </w:p>
    <w:p>
      <w:pPr>
        <w:ind w:right="40" w:firstLine="509"/>
        <w:spacing w:after="0" w:line="278" w:lineRule="auto"/>
        <w:rPr>
          <w:sz w:val="20"/>
          <w:szCs w:val="20"/>
          <w:color w:val="auto"/>
        </w:rPr>
      </w:pPr>
      <w:r>
        <w:rPr>
          <w:rFonts w:ascii="Arial" w:cs="Arial" w:eastAsia="Arial" w:hAnsi="Arial"/>
          <w:sz w:val="16"/>
          <w:szCs w:val="16"/>
          <w:color w:val="auto"/>
        </w:rPr>
        <w:t>Our principal executive office is located at 28159 Avenue Stanford, Suite 220, Valencia, CA 91355, and our telephone number is (661) 367-9170. Our website address is www.avitamedical.com. The information on, or that can be accessed through, our website is not part of this prospectus and is not incorporated by reference in this prospectus.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IMPLICATIONS OF BEING AN EMERGING GROWTH COMPANY</w:t>
      </w:r>
    </w:p>
    <w:p>
      <w:pPr>
        <w:spacing w:after="0" w:line="194" w:lineRule="exact"/>
        <w:rPr>
          <w:sz w:val="20"/>
          <w:szCs w:val="20"/>
          <w:color w:val="auto"/>
        </w:rPr>
      </w:pPr>
    </w:p>
    <w:p>
      <w:pPr>
        <w:ind w:right="100" w:firstLine="509"/>
        <w:spacing w:after="0" w:line="311" w:lineRule="auto"/>
        <w:rPr>
          <w:sz w:val="20"/>
          <w:szCs w:val="20"/>
          <w:color w:val="auto"/>
        </w:rPr>
      </w:pPr>
      <w:r>
        <w:rPr>
          <w:rFonts w:ascii="Arial" w:cs="Arial" w:eastAsia="Arial" w:hAnsi="Arial"/>
          <w:sz w:val="14"/>
          <w:szCs w:val="14"/>
          <w:color w:val="auto"/>
        </w:rPr>
        <w:t>As of the date of this prospectus, we are an “emerging growth company,” as defined in the Jumpstart Our Business Startups Act of 2012 (“</w:t>
      </w:r>
      <w:r>
        <w:rPr>
          <w:rFonts w:ascii="Arial" w:cs="Arial" w:eastAsia="Arial" w:hAnsi="Arial"/>
          <w:sz w:val="14"/>
          <w:szCs w:val="14"/>
          <w:b w:val="1"/>
          <w:bCs w:val="1"/>
          <w:color w:val="auto"/>
        </w:rPr>
        <w:t>JOBS Act</w:t>
      </w:r>
      <w:r>
        <w:rPr>
          <w:rFonts w:ascii="Arial" w:cs="Arial" w:eastAsia="Arial" w:hAnsi="Arial"/>
          <w:sz w:val="14"/>
          <w:szCs w:val="14"/>
          <w:color w:val="auto"/>
        </w:rPr>
        <w:t>”). For as long as we continue to be an emerging growth company, we may take advantage of certain exemptions and relief from various U.S. reporting requirements that are applicable to other public companies that are not emerging growth companies, including (i) not being required to comply with the auditor attestation requirements of Section 404 of the Sarbanes-Oxley Act, (ii) having the option of delaying the adoption of certain new or revised financial accounting standards, (iii) reduced disclosure obligations regarding executive compensation in our periodic reports and proxy statements and (iv) exemptions from the requirements of holding a nonbinding advisory vote on executive compensation and stockholder approval of any golden parachute payments not previously approved. We have taken, and in the future may take, advantage of these exemptions until such time that we are no longer an emerging growth company. Further,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who have adopted the new or revised accounting standards.</w:t>
      </w:r>
    </w:p>
    <w:p>
      <w:pPr>
        <w:spacing w:after="0" w:line="124" w:lineRule="exact"/>
        <w:rPr>
          <w:sz w:val="20"/>
          <w:szCs w:val="20"/>
          <w:color w:val="auto"/>
        </w:rPr>
      </w:pPr>
    </w:p>
    <w:p>
      <w:pPr>
        <w:ind w:right="180" w:firstLine="509"/>
        <w:spacing w:after="0" w:line="293" w:lineRule="auto"/>
        <w:rPr>
          <w:sz w:val="20"/>
          <w:szCs w:val="20"/>
          <w:color w:val="auto"/>
        </w:rPr>
      </w:pPr>
      <w:r>
        <w:rPr>
          <w:rFonts w:ascii="Arial" w:cs="Arial" w:eastAsia="Arial" w:hAnsi="Arial"/>
          <w:sz w:val="16"/>
          <w:szCs w:val="16"/>
          <w:color w:val="auto"/>
        </w:rPr>
        <w:t>We will remain an emerging growth company until the earliest of (i) the last day of the fiscal year following the fifth anniversary of the date of the first sale of our common stock pursuant to an effective registration statement under the Securities Act which, given the filing of the S-8 Registration</w:t>
      </w:r>
    </w:p>
    <w:p>
      <w:pPr>
        <w:sectPr>
          <w:pgSz w:w="11900" w:h="16838" w:orient="portrait"/>
          <w:cols w:equalWidth="0" w:num="1">
            <w:col w:w="11220"/>
          </w:cols>
          <w:pgMar w:left="320" w:top="418" w:right="359"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Statement on August 27, 2020, will be December 31, 2025, (ii) the last day of the fiscal year in which we have total annual gross revenue of at least $1.235 billion, (iii) the last day of the fiscal year in which we are deemed to be a “large accelerated filer” as defined in Rule 12b-2 under the Exchange Act, or (iv) the date on which we have issued more than $1.0 billion in non-convertible debt securities during the prior three-year period.</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 FACTORS</w:t>
      </w:r>
    </w:p>
    <w:p>
      <w:pPr>
        <w:spacing w:after="0" w:line="212" w:lineRule="exact"/>
        <w:rPr>
          <w:sz w:val="20"/>
          <w:szCs w:val="20"/>
          <w:color w:val="auto"/>
        </w:rPr>
      </w:pPr>
    </w:p>
    <w:p>
      <w:pPr>
        <w:jc w:val="both"/>
        <w:ind w:right="80" w:firstLine="509"/>
        <w:spacing w:after="0" w:line="305" w:lineRule="auto"/>
        <w:rPr>
          <w:sz w:val="20"/>
          <w:szCs w:val="20"/>
          <w:color w:val="auto"/>
        </w:rPr>
      </w:pPr>
      <w:r>
        <w:rPr>
          <w:rFonts w:ascii="Arial" w:cs="Arial" w:eastAsia="Arial" w:hAnsi="Arial"/>
          <w:sz w:val="15"/>
          <w:szCs w:val="15"/>
          <w:color w:val="auto"/>
        </w:rPr>
        <w:t>Investing in our securities involves a high degree of risk. You should carefully consider the risk factors described in our Annual Report on Form 10-K for our most recent fiscal year (together with any material changes thereto contained in subsequently filed Quarterly Reports on Form 10-Q and Current Reports on Form 8-K) and those contained in our other filings with the SEC, which are incorporated by reference in this prospectus and any accompanying prospectus supplement.</w:t>
      </w:r>
    </w:p>
    <w:p>
      <w:pPr>
        <w:spacing w:after="0" w:line="125"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The prospectus supplement applicable to each type or series of securities we offer may contain a discussion of risks applicable to the particular types of securities that we are offering under that prospectus supplement. Prior to making a decision about investing in our securities, you should carefully consider the specific factors discussed under the caption “Risk Factors” in the applicable prospectus supplement, together with all of the other information contained in the prospectus supplement or appearing or incorporated by reference in this prospectus. These risks could materially affect our business, results of operations or financial condition and cause the value of our securities to decline. You could lose all or part of your investment.</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USE OF PROCEEDS</w:t>
      </w:r>
    </w:p>
    <w:p>
      <w:pPr>
        <w:spacing w:after="0" w:line="198" w:lineRule="exact"/>
        <w:rPr>
          <w:sz w:val="20"/>
          <w:szCs w:val="20"/>
          <w:color w:val="auto"/>
        </w:rPr>
      </w:pPr>
    </w:p>
    <w:p>
      <w:pPr>
        <w:ind w:right="440" w:firstLine="509"/>
        <w:spacing w:after="0" w:line="293" w:lineRule="auto"/>
        <w:rPr>
          <w:sz w:val="20"/>
          <w:szCs w:val="20"/>
          <w:color w:val="auto"/>
        </w:rPr>
      </w:pPr>
      <w:r>
        <w:rPr>
          <w:rFonts w:ascii="Arial" w:cs="Arial" w:eastAsia="Arial" w:hAnsi="Arial"/>
          <w:sz w:val="16"/>
          <w:szCs w:val="16"/>
          <w:color w:val="auto"/>
        </w:rPr>
        <w:t>Unless specified otherwise in the applicable prospectus supplement, we expect to use the net proceeds we receive from the sale of the securities offered by this prospectus for general corporate purposes, which may include, among other things:</w:t>
      </w:r>
    </w:p>
    <w:p>
      <w:pPr>
        <w:spacing w:after="0" w:line="64" w:lineRule="exact"/>
        <w:rPr>
          <w:sz w:val="20"/>
          <w:szCs w:val="20"/>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capital expenditures;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working capital;</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research and development;</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acquisitions;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repayment of debt;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repurchases and redemptions of securities.</w:t>
      </w:r>
    </w:p>
    <w:p>
      <w:pPr>
        <w:spacing w:after="0" w:line="194" w:lineRule="exact"/>
        <w:rPr>
          <w:sz w:val="20"/>
          <w:szCs w:val="20"/>
          <w:color w:val="auto"/>
        </w:rPr>
      </w:pPr>
    </w:p>
    <w:p>
      <w:pPr>
        <w:ind w:right="60" w:firstLine="509"/>
        <w:spacing w:after="0" w:line="328" w:lineRule="auto"/>
        <w:rPr>
          <w:sz w:val="20"/>
          <w:szCs w:val="20"/>
          <w:color w:val="auto"/>
        </w:rPr>
      </w:pPr>
      <w:r>
        <w:rPr>
          <w:rFonts w:ascii="Arial" w:cs="Arial" w:eastAsia="Arial" w:hAnsi="Arial"/>
          <w:sz w:val="15"/>
          <w:szCs w:val="15"/>
          <w:color w:val="auto"/>
        </w:rPr>
        <w:t>The precise amount and timing of the application of such proceeds will depend upon our funding requirements and the availability and cost of other capital. Pending any specific application, we may initially invest funds in short-term marketable securities or apply them to the reduction of short- term indebtedness.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COMMON STOCK WE MAY OFFER</w:t>
      </w:r>
    </w:p>
    <w:p>
      <w:pPr>
        <w:spacing w:after="0" w:line="198"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5"/>
          <w:szCs w:val="15"/>
          <w:color w:val="auto"/>
        </w:rPr>
        <w:t>We are a Delaware corporation. The rights of our stockholders are governed by the Delaware General Corporation Law, or the DGCL, and our amended certificate of incorporation (the “</w:t>
      </w:r>
      <w:r>
        <w:rPr>
          <w:rFonts w:ascii="Arial" w:cs="Arial" w:eastAsia="Arial" w:hAnsi="Arial"/>
          <w:sz w:val="15"/>
          <w:szCs w:val="15"/>
          <w:b w:val="1"/>
          <w:bCs w:val="1"/>
          <w:color w:val="auto"/>
        </w:rPr>
        <w:t>Certificate</w:t>
      </w:r>
      <w:r>
        <w:rPr>
          <w:rFonts w:ascii="Arial" w:cs="Arial" w:eastAsia="Arial" w:hAnsi="Arial"/>
          <w:sz w:val="15"/>
          <w:szCs w:val="15"/>
          <w:color w:val="auto"/>
        </w:rPr>
        <w:t>”) and our amended and restated bylaws (the “</w:t>
      </w:r>
      <w:r>
        <w:rPr>
          <w:rFonts w:ascii="Arial" w:cs="Arial" w:eastAsia="Arial" w:hAnsi="Arial"/>
          <w:sz w:val="15"/>
          <w:szCs w:val="15"/>
          <w:b w:val="1"/>
          <w:bCs w:val="1"/>
          <w:color w:val="auto"/>
        </w:rPr>
        <w:t>Bylaws</w:t>
      </w:r>
      <w:r>
        <w:rPr>
          <w:rFonts w:ascii="Arial" w:cs="Arial" w:eastAsia="Arial" w:hAnsi="Arial"/>
          <w:sz w:val="15"/>
          <w:szCs w:val="15"/>
          <w:color w:val="auto"/>
        </w:rPr>
        <w:t>”). The following summary of some of the material terms, rights and preferences of our capital stock is not complete. You should read our Certificate and our Bylaws for more complete information. In addition, you should be aware that the summary below does not give full effect to the terms of the provisions of statutory or common law which may affect your rights as a stockholder.</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w:t>
      </w:r>
    </w:p>
    <w:p>
      <w:pPr>
        <w:spacing w:after="0" w:line="127" w:lineRule="exact"/>
        <w:rPr>
          <w:sz w:val="20"/>
          <w:szCs w:val="20"/>
          <w:color w:val="auto"/>
        </w:rPr>
      </w:pPr>
    </w:p>
    <w:p>
      <w:pPr>
        <w:jc w:val="both"/>
        <w:ind w:right="120" w:firstLine="509"/>
        <w:spacing w:after="0" w:line="278" w:lineRule="auto"/>
        <w:rPr>
          <w:sz w:val="20"/>
          <w:szCs w:val="20"/>
          <w:color w:val="auto"/>
        </w:rPr>
      </w:pPr>
      <w:r>
        <w:rPr>
          <w:rFonts w:ascii="Arial" w:cs="Arial" w:eastAsia="Arial" w:hAnsi="Arial"/>
          <w:sz w:val="16"/>
          <w:szCs w:val="16"/>
          <w:color w:val="auto"/>
        </w:rPr>
        <w:t>Our Certificate authorizes the issuance of up to 200,000,000 shares of common stock, $0.0001 par value per share. Our authorized but unissued shares of common stock are available for issuance without further action by our stockholders, unless such action is required by applicable law or the rules of any stock exchange or automated quotation system on which our securities may be listed or traded.</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Voting Rights</w:t>
      </w:r>
    </w:p>
    <w:p>
      <w:pPr>
        <w:spacing w:after="0" w:line="127" w:lineRule="exact"/>
        <w:rPr>
          <w:sz w:val="20"/>
          <w:szCs w:val="20"/>
          <w:color w:val="auto"/>
        </w:rPr>
      </w:pPr>
    </w:p>
    <w:p>
      <w:pPr>
        <w:jc w:val="both"/>
        <w:ind w:right="60" w:firstLine="509"/>
        <w:spacing w:after="0" w:line="278" w:lineRule="auto"/>
        <w:rPr>
          <w:sz w:val="20"/>
          <w:szCs w:val="20"/>
          <w:color w:val="auto"/>
        </w:rPr>
      </w:pPr>
      <w:r>
        <w:rPr>
          <w:rFonts w:ascii="Arial" w:cs="Arial" w:eastAsia="Arial" w:hAnsi="Arial"/>
          <w:sz w:val="16"/>
          <w:szCs w:val="16"/>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in an uncontested election, holders of a majority of the voting shares are able to elect all of the directors.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127" w:lineRule="exact"/>
        <w:rPr>
          <w:sz w:val="20"/>
          <w:szCs w:val="20"/>
          <w:color w:val="auto"/>
        </w:rPr>
      </w:pPr>
    </w:p>
    <w:p>
      <w:pPr>
        <w:jc w:val="both"/>
        <w:ind w:right="60" w:firstLine="509"/>
        <w:spacing w:after="0" w:line="278" w:lineRule="auto"/>
        <w:rPr>
          <w:sz w:val="20"/>
          <w:szCs w:val="20"/>
          <w:color w:val="auto"/>
        </w:rPr>
      </w:pPr>
      <w:r>
        <w:rPr>
          <w:rFonts w:ascii="Arial" w:cs="Arial" w:eastAsia="Arial" w:hAnsi="Arial"/>
          <w:sz w:val="16"/>
          <w:szCs w:val="16"/>
          <w:color w:val="auto"/>
        </w:rPr>
        <w:t>Subject to preferences that may be applicable to any then-outstanding preferred stock, holders of our common stock are entitled to receive dividends, if any, as may be declared from time to time by our board of directors out of legally available funds. Dividends may be paid in cash, in property or in shares of common stock. Declaration and payment of any dividend will be subject to the discretion of our board of directors. The time and amount of dividends will</w:t>
      </w:r>
    </w:p>
    <w:p>
      <w:pPr>
        <w:sectPr>
          <w:pgSz w:w="11900" w:h="16838" w:orient="portrait"/>
          <w:cols w:equalWidth="0" w:num="1">
            <w:col w:w="11240"/>
          </w:cols>
          <w:pgMar w:left="320" w:top="418"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0"/>
        <w:spacing w:after="0" w:line="369" w:lineRule="auto"/>
        <w:rPr>
          <w:sz w:val="20"/>
          <w:szCs w:val="20"/>
          <w:color w:val="auto"/>
        </w:rPr>
      </w:pPr>
      <w:r>
        <w:rPr>
          <w:rFonts w:ascii="Arial" w:cs="Arial" w:eastAsia="Arial" w:hAnsi="Arial"/>
          <w:sz w:val="14"/>
          <w:szCs w:val="14"/>
          <w:color w:val="auto"/>
        </w:rPr>
        <w:t>be dependent upon our financial condition, operations, cash requirements and availability, debt repayment obligations, capital expenditure needs, restrictions in our debt instruments, industry trends, the provisions of Delaware law affecting the payment of distributions to stockholders and any other factors our board may consider relevant.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Liquidation</w:t>
      </w:r>
    </w:p>
    <w:p>
      <w:pPr>
        <w:spacing w:after="0" w:line="127" w:lineRule="exact"/>
        <w:rPr>
          <w:sz w:val="20"/>
          <w:szCs w:val="20"/>
          <w:color w:val="auto"/>
        </w:rPr>
      </w:pPr>
    </w:p>
    <w:p>
      <w:pPr>
        <w:ind w:right="40" w:firstLine="509"/>
        <w:spacing w:after="0" w:line="278" w:lineRule="auto"/>
        <w:rPr>
          <w:sz w:val="20"/>
          <w:szCs w:val="20"/>
          <w:color w:val="auto"/>
        </w:rPr>
      </w:pPr>
      <w:r>
        <w:rPr>
          <w:rFonts w:ascii="Arial" w:cs="Arial" w:eastAsia="Arial" w:hAnsi="Arial"/>
          <w:sz w:val="16"/>
          <w:szCs w:val="16"/>
          <w:color w:val="auto"/>
        </w:rPr>
        <w:t>In the event of our liquidation, dissolution or winding up,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Rights and Preferences</w:t>
      </w:r>
    </w:p>
    <w:p>
      <w:pPr>
        <w:spacing w:after="0" w:line="127"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6"/>
          <w:szCs w:val="16"/>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preferred stock that we may designate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Fully Paid and Non-assessable</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All outstanding shares of our common stock are fully paid and non-assessable.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 Stockholder Meetings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Certificate and Bylaws provide that annual stockholder meetings will be held at a date, place (if any) and time, as exclusively selected by our board of directors.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To the extent permitted under applicable law, we may but are not obligated to conduct meetings by remote communications, including by webcast.</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Stock</w:t>
      </w:r>
    </w:p>
    <w:p>
      <w:pPr>
        <w:spacing w:after="0" w:line="127" w:lineRule="exact"/>
        <w:rPr>
          <w:sz w:val="20"/>
          <w:szCs w:val="20"/>
          <w:color w:val="auto"/>
        </w:rPr>
      </w:pPr>
    </w:p>
    <w:p>
      <w:pPr>
        <w:ind w:right="120" w:firstLine="509"/>
        <w:spacing w:after="0" w:line="267" w:lineRule="auto"/>
        <w:rPr>
          <w:sz w:val="20"/>
          <w:szCs w:val="20"/>
          <w:color w:val="auto"/>
        </w:rPr>
      </w:pPr>
      <w:r>
        <w:rPr>
          <w:rFonts w:ascii="Arial" w:cs="Arial" w:eastAsia="Arial" w:hAnsi="Arial"/>
          <w:sz w:val="16"/>
          <w:szCs w:val="16"/>
          <w:color w:val="auto"/>
        </w:rPr>
        <w:t>Our board of directors has the authority to issue up to 10,000,000 shares of preferred stock, par value $0.0001 per share, in one or more series, each of which will have such distinctive designation or title as shall be determined by our board of directors prior to the issuance of any shares thereof. Preferred stock will have such voting powers, whole or limited, or no voting powers, and such preferences and relative, participating, optional or other special rights and such qualifications, limitations or restrictions thereof, as shall be stated in such resolution or resolutions providing for the issue of such class or series of preferred stock as may be adopted from time to time by our board of directors prior to the issuance of any shares thereof. The designations, powers, rights and preferences of our preferred stock could include voting rights, dividend rights, dissolution rights, conversion rights, exchange rights, redemption rights, liquidation preferences,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No shares of our preferred stock are currently issued and outstanding.</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Effects of Provisions of the Certificate and Bylaws and DGCL</w:t>
      </w:r>
    </w:p>
    <w:p>
      <w:pPr>
        <w:spacing w:after="0" w:line="127" w:lineRule="exact"/>
        <w:rPr>
          <w:sz w:val="20"/>
          <w:szCs w:val="20"/>
          <w:color w:val="auto"/>
        </w:rPr>
      </w:pPr>
    </w:p>
    <w:p>
      <w:pPr>
        <w:ind w:right="40" w:firstLine="509"/>
        <w:spacing w:after="0" w:line="273" w:lineRule="auto"/>
        <w:rPr>
          <w:sz w:val="20"/>
          <w:szCs w:val="20"/>
          <w:color w:val="auto"/>
        </w:rPr>
      </w:pPr>
      <w:r>
        <w:rPr>
          <w:rFonts w:ascii="Arial" w:cs="Arial" w:eastAsia="Arial" w:hAnsi="Arial"/>
          <w:sz w:val="16"/>
          <w:szCs w:val="16"/>
          <w:color w:val="auto"/>
        </w:rPr>
        <w:t>Some provisions of the DGCL, our Certificate and Bylaws could make the following transactions difficult: (i) acquisition of the Company by means of a tender offer; (ii) acquisition of the Company by means of a proxy contest or otherwise; or (iii) removal of incumbent officers and directors of the Company. It is possible that these provisions could make it more difficult to accomplish or could deter transactions that stockholders may otherwise consider to be in their best interest or in our best interest, including transactions that might result in a premium over the market price for our common stock.</w:t>
      </w:r>
    </w:p>
    <w:p>
      <w:pPr>
        <w:spacing w:after="0" w:line="162" w:lineRule="exact"/>
        <w:rPr>
          <w:sz w:val="20"/>
          <w:szCs w:val="20"/>
          <w:color w:val="auto"/>
        </w:rPr>
      </w:pPr>
    </w:p>
    <w:p>
      <w:pPr>
        <w:ind w:right="240" w:firstLine="509"/>
        <w:spacing w:after="0" w:line="293"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the Company to first negotiate with the Board.</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Delaware Anti-Takeover Statute</w:t>
      </w:r>
    </w:p>
    <w:p>
      <w:pPr>
        <w:spacing w:after="0" w:line="127" w:lineRule="exact"/>
        <w:rPr>
          <w:sz w:val="20"/>
          <w:szCs w:val="20"/>
          <w:color w:val="auto"/>
        </w:rPr>
      </w:pPr>
    </w:p>
    <w:p>
      <w:pPr>
        <w:ind w:firstLine="509"/>
        <w:spacing w:after="0" w:line="289" w:lineRule="auto"/>
        <w:rPr>
          <w:sz w:val="20"/>
          <w:szCs w:val="20"/>
          <w:color w:val="auto"/>
        </w:rPr>
      </w:pPr>
      <w:r>
        <w:rPr>
          <w:rFonts w:ascii="Arial" w:cs="Arial" w:eastAsia="Arial" w:hAnsi="Arial"/>
          <w:sz w:val="15"/>
          <w:szCs w:val="15"/>
          <w:color w:val="auto"/>
        </w:rPr>
        <w:t>The Company is subject to Section 203 of the DGCL,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and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 such as discouraging takeover attempts that might result in a premium over the market price of the Company’s common stock.</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However, the above provisions of Section 203 do not apply if:</w:t>
      </w:r>
    </w:p>
    <w:p>
      <w:pPr>
        <w:spacing w:after="0" w:line="127"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board approves the transaction that made the stockholder an interested stockholder or the business combination before the date of that transaction;</w:t>
      </w:r>
    </w:p>
    <w:p>
      <w:pPr>
        <w:spacing w:after="0" w:line="138" w:lineRule="exact"/>
        <w:rPr>
          <w:rFonts w:ascii="Arial" w:cs="Arial" w:eastAsia="Arial" w:hAnsi="Arial"/>
          <w:sz w:val="15"/>
          <w:szCs w:val="15"/>
          <w:color w:val="auto"/>
        </w:rPr>
      </w:pPr>
    </w:p>
    <w:p>
      <w:pPr>
        <w:ind w:left="1020" w:right="40" w:hanging="503"/>
        <w:spacing w:after="0" w:line="293"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after the completion of the transaction that resulted in the stockholder becoming an interested stockholder, that stockholder owned at least 85% of our voting stock outstanding at the time the transaction commenced, excluding shares owned by our officers and directors; or</w:t>
      </w:r>
    </w:p>
    <w:p>
      <w:pPr>
        <w:spacing w:after="0" w:line="63" w:lineRule="exact"/>
        <w:rPr>
          <w:rFonts w:ascii="Arial" w:cs="Arial" w:eastAsia="Arial" w:hAnsi="Arial"/>
          <w:sz w:val="16"/>
          <w:szCs w:val="16"/>
          <w:color w:val="auto"/>
        </w:rPr>
      </w:pPr>
    </w:p>
    <w:p>
      <w:pPr>
        <w:ind w:left="1020" w:right="400" w:hanging="503"/>
        <w:spacing w:after="0" w:line="293"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or subsequent to the date of the transaction, the business combinations approved by our board and authorized at a meeting of our stockholders by an affirmative vote of at least two-thirds of the outstanding voting stock not owned by the interested stockholder.</w:t>
      </w:r>
    </w:p>
    <w:p>
      <w:pPr>
        <w:spacing w:after="0" w:line="131" w:lineRule="exact"/>
        <w:rPr>
          <w:sz w:val="20"/>
          <w:szCs w:val="20"/>
          <w:color w:val="auto"/>
        </w:rPr>
      </w:pPr>
    </w:p>
    <w:p>
      <w:pPr>
        <w:ind w:right="260" w:firstLine="509"/>
        <w:spacing w:after="0" w:line="278" w:lineRule="auto"/>
        <w:rPr>
          <w:sz w:val="20"/>
          <w:szCs w:val="20"/>
          <w:color w:val="auto"/>
        </w:rPr>
      </w:pPr>
      <w:r>
        <w:rPr>
          <w:rFonts w:ascii="Arial" w:cs="Arial" w:eastAsia="Arial" w:hAnsi="Arial"/>
          <w:sz w:val="16"/>
          <w:szCs w:val="16"/>
          <w:color w:val="auto"/>
        </w:rPr>
        <w:t>Stockholders may, by adopting an amendment to our Certificate or Bylaws, elect for the corporation not to be governed by Section 203, effective 12 months after adoption. Neither our Certificate nor our Bylaws exempts us from the restrictions imposed under Section 203. It is anticipated that the provisions of Section 203 may encourage companies interested in acquiring us to negotiate in advance with our board.</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Special Stockholder Meetings</w:t>
      </w:r>
    </w:p>
    <w:p>
      <w:pPr>
        <w:spacing w:after="0" w:line="127" w:lineRule="exact"/>
        <w:rPr>
          <w:sz w:val="20"/>
          <w:szCs w:val="20"/>
          <w:color w:val="auto"/>
        </w:rPr>
      </w:pPr>
    </w:p>
    <w:p>
      <w:pPr>
        <w:jc w:val="both"/>
        <w:ind w:right="100" w:firstLine="509"/>
        <w:spacing w:after="0" w:line="278" w:lineRule="auto"/>
        <w:rPr>
          <w:sz w:val="20"/>
          <w:szCs w:val="20"/>
          <w:color w:val="auto"/>
        </w:rPr>
      </w:pPr>
      <w:r>
        <w:rPr>
          <w:rFonts w:ascii="Arial" w:cs="Arial" w:eastAsia="Arial" w:hAnsi="Arial"/>
          <w:sz w:val="16"/>
          <w:szCs w:val="16"/>
          <w:color w:val="auto"/>
        </w:rPr>
        <w:t>The Bylaws provide that a special meeting of stockholders (1) may be called at any time by the order of a majority of our entire board of directors, the Chairman of the Board, the Chief Executive Officer or the President (in the absence of a chief executive officer), and (2) shall be called by the Secretary upon the written request of the holders of record of at least twenty-five percent (25%) of the outstanding shares of common stock of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Requirements for Advance Notification of Stockholder Nominations and Proposals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Bylaws establish advance notice procedures with respect to stockholder proposals and the nomination of candidates for election as directors.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Composition of our Board of Directors; Election and Removal of Directors; Filling Vacancies</w:t>
      </w:r>
    </w:p>
    <w:p>
      <w:pPr>
        <w:spacing w:after="0" w:line="127" w:lineRule="exact"/>
        <w:rPr>
          <w:sz w:val="20"/>
          <w:szCs w:val="20"/>
          <w:color w:val="auto"/>
        </w:rPr>
      </w:pPr>
    </w:p>
    <w:p>
      <w:pPr>
        <w:ind w:right="220" w:firstLine="509"/>
        <w:spacing w:after="0" w:line="293" w:lineRule="auto"/>
        <w:rPr>
          <w:sz w:val="20"/>
          <w:szCs w:val="20"/>
          <w:color w:val="auto"/>
        </w:rPr>
      </w:pPr>
      <w:r>
        <w:rPr>
          <w:rFonts w:ascii="Arial" w:cs="Arial" w:eastAsia="Arial" w:hAnsi="Arial"/>
          <w:sz w:val="16"/>
          <w:szCs w:val="16"/>
          <w:color w:val="auto"/>
        </w:rPr>
        <w:t>The Company’s board of directors consists of one or more directors. In any uncontested elections of directors, a director nominee for our board of directors of the Company will be elected by the plurality of the votes cast with respect to such director at a meeting at which a quorum is present.</w:t>
      </w:r>
    </w:p>
    <w:p>
      <w:pPr>
        <w:spacing w:after="0" w:line="13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In a contested election, a plurality voting standard will apply to director elections. The directors of the Company are elected until the expiration of the term for which they are elected and until their respective successors are duly elected and qualified.</w:t>
      </w:r>
    </w:p>
    <w:p>
      <w:pPr>
        <w:spacing w:after="0" w:line="145" w:lineRule="exact"/>
        <w:rPr>
          <w:sz w:val="20"/>
          <w:szCs w:val="20"/>
          <w:color w:val="auto"/>
        </w:rPr>
      </w:pPr>
    </w:p>
    <w:p>
      <w:pPr>
        <w:ind w:right="240" w:firstLine="509"/>
        <w:spacing w:after="0" w:line="278" w:lineRule="auto"/>
        <w:rPr>
          <w:sz w:val="20"/>
          <w:szCs w:val="20"/>
          <w:color w:val="auto"/>
        </w:rPr>
      </w:pPr>
      <w:r>
        <w:rPr>
          <w:rFonts w:ascii="Arial" w:cs="Arial" w:eastAsia="Arial" w:hAnsi="Arial"/>
          <w:sz w:val="16"/>
          <w:szCs w:val="16"/>
          <w:color w:val="auto"/>
        </w:rPr>
        <w:t>The directors of the Company may be removed by the affirmative vote of the holders of at least a majority of the Company’s then-outstanding common stock. Furthermore, any vacancy on the Company’s board of directors, however occurring, including a vacancy resulting from an increase in the size of the board, may be filled only by a majority vote of our board of directors then in office, even if less than a quorum, or by the sole remaining director.</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Amendment of the Certificate and Bylaws</w:t>
      </w:r>
    </w:p>
    <w:p>
      <w:pPr>
        <w:spacing w:after="0" w:line="127" w:lineRule="exact"/>
        <w:rPr>
          <w:sz w:val="20"/>
          <w:szCs w:val="20"/>
          <w:color w:val="auto"/>
        </w:rPr>
      </w:pPr>
    </w:p>
    <w:p>
      <w:pPr>
        <w:ind w:right="180" w:firstLine="509"/>
        <w:spacing w:after="0" w:line="293" w:lineRule="auto"/>
        <w:rPr>
          <w:sz w:val="20"/>
          <w:szCs w:val="20"/>
          <w:color w:val="auto"/>
        </w:rPr>
      </w:pPr>
      <w:r>
        <w:rPr>
          <w:rFonts w:ascii="Arial" w:cs="Arial" w:eastAsia="Arial" w:hAnsi="Arial"/>
          <w:sz w:val="16"/>
          <w:szCs w:val="16"/>
          <w:color w:val="auto"/>
        </w:rPr>
        <w:t>The Certificate may be amended in any manner permitted under the DGCL and the Bylaws may be amended by the holders of at a majority of the voting power of the then outstanding voting stock or by our board of directors.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Limitations of Liability and Indemnification Matters</w:t>
      </w:r>
    </w:p>
    <w:p>
      <w:pPr>
        <w:spacing w:after="0" w:line="127" w:lineRule="exact"/>
        <w:rPr>
          <w:sz w:val="20"/>
          <w:szCs w:val="20"/>
          <w:color w:val="auto"/>
        </w:rPr>
      </w:pPr>
    </w:p>
    <w:p>
      <w:pPr>
        <w:jc w:val="both"/>
        <w:ind w:right="40" w:firstLine="509"/>
        <w:spacing w:after="0" w:line="273" w:lineRule="auto"/>
        <w:rPr>
          <w:sz w:val="20"/>
          <w:szCs w:val="20"/>
          <w:color w:val="auto"/>
        </w:rPr>
      </w:pPr>
      <w:r>
        <w:rPr>
          <w:rFonts w:ascii="Arial" w:cs="Arial" w:eastAsia="Arial" w:hAnsi="Arial"/>
          <w:sz w:val="16"/>
          <w:szCs w:val="16"/>
          <w:color w:val="auto"/>
        </w:rPr>
        <w:t>Each of the Certificate and Bylaws provide that the Company is required to indemnify its directors and officers to the fullest extent permitted by Delaware law. The Bylaws also obligates the Company to advance expenses incurred by a director or officer in advance of the final disposition of any action or proceeding upon delivery to the Company of an undertaking, by or on behalf of such indemnitee, to repay all amounts so advanced if it shall ultimately be determined by final judicial decision, from which there is no further right to appeal, that such indemnitee is not entitled to be indemnified for such expenses.</w:t>
      </w:r>
    </w:p>
    <w:p>
      <w:pPr>
        <w:spacing w:after="0" w:line="148" w:lineRule="exact"/>
        <w:rPr>
          <w:sz w:val="20"/>
          <w:szCs w:val="20"/>
          <w:color w:val="auto"/>
        </w:rPr>
      </w:pPr>
    </w:p>
    <w:p>
      <w:pPr>
        <w:ind w:right="60" w:firstLine="509"/>
        <w:spacing w:after="0" w:line="278" w:lineRule="auto"/>
        <w:rPr>
          <w:sz w:val="20"/>
          <w:szCs w:val="20"/>
          <w:color w:val="auto"/>
        </w:rPr>
      </w:pPr>
      <w:r>
        <w:rPr>
          <w:rFonts w:ascii="Arial" w:cs="Arial" w:eastAsia="Arial" w:hAnsi="Arial"/>
          <w:sz w:val="16"/>
          <w:szCs w:val="16"/>
          <w:color w:val="auto"/>
        </w:rPr>
        <w:t>The Company may maintain insurance, at its expense, to protect itself and any director, officer, employee or agent or another corporation, partnership, joint venture, trust, employee benefit plan or other enterprise against any expense, liability or loss, whether or not the Company would have the power to indemnify such person against such expense, liability or loss under the DGCL.</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Securities Exchange Listings</w:t>
      </w:r>
    </w:p>
    <w:p>
      <w:pPr>
        <w:spacing w:after="0" w:line="127" w:lineRule="exact"/>
        <w:rPr>
          <w:sz w:val="20"/>
          <w:szCs w:val="20"/>
          <w:color w:val="auto"/>
        </w:rPr>
      </w:pPr>
    </w:p>
    <w:p>
      <w:pPr>
        <w:ind w:right="280" w:firstLine="509"/>
        <w:spacing w:after="0" w:line="328" w:lineRule="auto"/>
        <w:rPr>
          <w:sz w:val="20"/>
          <w:szCs w:val="20"/>
          <w:color w:val="auto"/>
        </w:rPr>
      </w:pPr>
      <w:r>
        <w:rPr>
          <w:rFonts w:ascii="Arial" w:cs="Arial" w:eastAsia="Arial" w:hAnsi="Arial"/>
          <w:sz w:val="15"/>
          <w:szCs w:val="15"/>
          <w:color w:val="auto"/>
        </w:rPr>
        <w:t>Shares of our common stock are listed on The Nasdaq Stock Market LLC under the symbol “RCEL.” Our Chess Depositary Interests (“CDIs”) are quoted on the Australian Securities Exchange Ltd (“ASX”) under the ticker code, “AVH”. One share of common stock on Nasdaq is equivalent to five CDIs on the ASX.</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Transfer Agent and Registrar</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transfer agent and registrar for our common stock is Computershare Trust Company, N.A, and its address is 250 Royall St., Canton, Massachusetts 02021.</w:t>
      </w:r>
    </w:p>
    <w:p>
      <w:pPr>
        <w:sectPr>
          <w:pgSz w:w="11900" w:h="16838" w:orient="portrait"/>
          <w:cols w:equalWidth="0" w:num="1">
            <w:col w:w="11220"/>
          </w:cols>
          <w:pgMar w:left="320" w:top="418" w:right="359" w:bottom="1440"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DESCRIPTION OF PREFERRED STOCK WE MAY OFFER</w:t>
      </w:r>
    </w:p>
    <w:p>
      <w:pPr>
        <w:spacing w:after="0" w:line="198"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We may offer shares of our preferred stock from time to time, in one or more series of preferred stock. Pursuant to our Certificate, we have the authority to issue 10,000,000 shares of preferred stock, $0.0001 par value. As of April 12, 2023, we had no shares of preferred stock outstanding. Our board of directors may, without action by stockholders, issue one or more series of preferred stock. The board may determine for each series the number of shares, designation, relative voting rights, dividend rates, liquidation and other rights, preferences, and limitations. The issuance of preferred stock could adversely affect the voting power of holders of common stock and reduce the likelihood that common stockholders will receive dividend</w:t>
      </w:r>
    </w:p>
    <w:p>
      <w:pPr>
        <w:spacing w:after="0" w:line="163" w:lineRule="exact"/>
        <w:rPr>
          <w:sz w:val="20"/>
          <w:szCs w:val="20"/>
          <w:color w:val="auto"/>
        </w:rPr>
      </w:pPr>
    </w:p>
    <w:p>
      <w:pPr>
        <w:ind w:right="280" w:firstLine="509"/>
        <w:spacing w:after="0" w:line="293" w:lineRule="auto"/>
        <w:rPr>
          <w:sz w:val="20"/>
          <w:szCs w:val="20"/>
          <w:color w:val="auto"/>
        </w:rPr>
      </w:pPr>
      <w:r>
        <w:rPr>
          <w:rFonts w:ascii="Arial" w:cs="Arial" w:eastAsia="Arial" w:hAnsi="Arial"/>
          <w:sz w:val="16"/>
          <w:szCs w:val="16"/>
          <w:color w:val="auto"/>
        </w:rPr>
        <w:t>payments and payments upon liquidation. The issuance could decrease the market price of our common stock. The issuance of preferred stock also could delay, deter, or prevent a change of control of the Company.</w:t>
      </w:r>
    </w:p>
    <w:p>
      <w:pPr>
        <w:spacing w:after="0" w:line="131" w:lineRule="exact"/>
        <w:rPr>
          <w:sz w:val="20"/>
          <w:szCs w:val="20"/>
          <w:color w:val="auto"/>
        </w:rPr>
      </w:pPr>
    </w:p>
    <w:p>
      <w:pPr>
        <w:ind w:right="280" w:firstLine="509"/>
        <w:spacing w:after="0" w:line="278" w:lineRule="auto"/>
        <w:rPr>
          <w:sz w:val="20"/>
          <w:szCs w:val="20"/>
          <w:color w:val="auto"/>
        </w:rPr>
      </w:pPr>
      <w:r>
        <w:rPr>
          <w:rFonts w:ascii="Arial" w:cs="Arial" w:eastAsia="Arial" w:hAnsi="Arial"/>
          <w:sz w:val="16"/>
          <w:szCs w:val="16"/>
          <w:color w:val="auto"/>
        </w:rPr>
        <w:t>We have summarized material provisions of the preferred stock in this section. This summary is not complete. If we offer preferred stock, we will file a form of certificate of designation designating the rights and preferences of the preferred stock with the SEC prior to any issuance of preferred stock, and you should read such certificate of designation for provisions that may be important to you.</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certificate of designation and prospectus supplement relating to any series of preferred stock we are offering will include specific terms relating to the offering.</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These terms will include some or all of the following:</w:t>
      </w:r>
    </w:p>
    <w:p>
      <w:pPr>
        <w:spacing w:after="0" w:line="123" w:lineRule="exact"/>
        <w:rPr>
          <w:sz w:val="20"/>
          <w:szCs w:val="20"/>
          <w:color w:val="auto"/>
        </w:rPr>
      </w:pPr>
    </w:p>
    <w:p>
      <w:pPr>
        <w:ind w:left="1020" w:hanging="503"/>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title of the preferred stock;</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maximum number of shares of the series of preferred stock;</w:t>
      </w:r>
    </w:p>
    <w:p>
      <w:pPr>
        <w:spacing w:after="0" w:line="126" w:lineRule="exact"/>
        <w:rPr>
          <w:rFonts w:ascii="Arial" w:cs="Arial" w:eastAsia="Arial" w:hAnsi="Arial"/>
          <w:sz w:val="16"/>
          <w:szCs w:val="16"/>
          <w:color w:val="auto"/>
        </w:rPr>
      </w:pPr>
    </w:p>
    <w:p>
      <w:pPr>
        <w:ind w:left="1020" w:right="280" w:hanging="503"/>
        <w:spacing w:after="0" w:line="293"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dividend rate, if any, or the method of calculating and paying the dividend, the date from which dividends will accrue and whether dividends will be cumulative;</w:t>
      </w:r>
    </w:p>
    <w:p>
      <w:pPr>
        <w:spacing w:after="0" w:line="63" w:lineRule="exact"/>
        <w:rPr>
          <w:rFonts w:ascii="Arial" w:cs="Arial" w:eastAsia="Arial" w:hAnsi="Arial"/>
          <w:sz w:val="16"/>
          <w:szCs w:val="16"/>
          <w:color w:val="auto"/>
        </w:rPr>
      </w:pPr>
    </w:p>
    <w:p>
      <w:pPr>
        <w:ind w:left="1020" w:hanging="503"/>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liquidation preference;</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optional redemption provisions;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sinking fund or other provisions that would obligate us to redeem or purchase the preferred stock;</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terms for the conversion or exchange of the preferred stock for other securities of us or any other entity;</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voting rights;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any other preferences and relative, participating, optional or other special rights or any qualifications, limitations, or restrictions on the rights of the shares.</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shares of preferred stock we issue will, at the time of issuance, be fully paid and non-assessable.</w:t>
      </w:r>
    </w:p>
    <w:p>
      <w:pPr>
        <w:spacing w:after="0" w:line="36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DESCRIPTION OF WARRANTS WE MAY OFFER</w:t>
      </w:r>
    </w:p>
    <w:p>
      <w:pPr>
        <w:spacing w:after="0" w:line="212" w:lineRule="exact"/>
        <w:rPr>
          <w:sz w:val="20"/>
          <w:szCs w:val="20"/>
          <w:color w:val="auto"/>
        </w:rPr>
      </w:pPr>
    </w:p>
    <w:p>
      <w:pPr>
        <w:jc w:val="both"/>
        <w:ind w:right="40" w:firstLine="509"/>
        <w:spacing w:after="0" w:line="278" w:lineRule="auto"/>
        <w:rPr>
          <w:sz w:val="20"/>
          <w:szCs w:val="20"/>
          <w:color w:val="auto"/>
        </w:rPr>
      </w:pPr>
      <w:r>
        <w:rPr>
          <w:rFonts w:ascii="Arial" w:cs="Arial" w:eastAsia="Arial" w:hAnsi="Arial"/>
          <w:sz w:val="16"/>
          <w:szCs w:val="16"/>
          <w:color w:val="auto"/>
        </w:rPr>
        <w:t>We may issue warrants to purchase common stock or preferred stock. We may issue warrants independently in an offering or together with any other securities we offer under a prospectus supplement. Warrants sold with other securities may be attached to or separate from the other securities. We will issue warrants under one or more warrant agreements between us and a warrant agent which will be named in the prospectus supplement.</w:t>
      </w:r>
    </w:p>
    <w:p>
      <w:pPr>
        <w:spacing w:after="0" w:line="144" w:lineRule="exact"/>
        <w:rPr>
          <w:sz w:val="20"/>
          <w:szCs w:val="20"/>
          <w:color w:val="auto"/>
        </w:rPr>
      </w:pPr>
    </w:p>
    <w:p>
      <w:pPr>
        <w:ind w:right="80" w:firstLine="509"/>
        <w:spacing w:after="0" w:line="278" w:lineRule="auto"/>
        <w:rPr>
          <w:sz w:val="20"/>
          <w:szCs w:val="20"/>
          <w:color w:val="auto"/>
        </w:rPr>
      </w:pPr>
      <w:r>
        <w:rPr>
          <w:rFonts w:ascii="Arial" w:cs="Arial" w:eastAsia="Arial" w:hAnsi="Arial"/>
          <w:sz w:val="16"/>
          <w:szCs w:val="16"/>
          <w:color w:val="auto"/>
        </w:rPr>
        <w:t>We have summarized material provisions of the warrants and the warrant agreements below. This summary is not complete and will only be complete when described in any prospectus supplement. We will file the form of any warrant agreement with the SEC, and you should read the warrant agreement for provisions that may be important to you.</w:t>
      </w:r>
    </w:p>
    <w:p>
      <w:pPr>
        <w:spacing w:after="0" w:line="144"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A prospectus supplement relating to any warrants that we are offering will include specific terms relating to the offering. These terms will include some or all of the following:</w:t>
      </w:r>
    </w:p>
    <w:p>
      <w:pPr>
        <w:spacing w:after="0" w:line="64"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title of the warrants;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aggregate number of warrants offered;</w:t>
      </w:r>
    </w:p>
    <w:p>
      <w:pPr>
        <w:spacing w:after="0" w:line="126" w:lineRule="exact"/>
        <w:rPr>
          <w:rFonts w:ascii="Arial" w:cs="Arial" w:eastAsia="Arial" w:hAnsi="Arial"/>
          <w:sz w:val="16"/>
          <w:szCs w:val="16"/>
          <w:color w:val="auto"/>
        </w:rPr>
      </w:pPr>
    </w:p>
    <w:p>
      <w:pPr>
        <w:ind w:left="1020" w:right="440" w:hanging="503"/>
        <w:spacing w:after="0" w:line="293"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designation, number and terms of the common stock or preferred stock purchasable upon exercise of the warrants, and procedures by which those numbers may be adjusted;</w:t>
      </w:r>
    </w:p>
    <w:p>
      <w:pPr>
        <w:spacing w:after="0" w:line="63"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exercise price of the warrants;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dates or periods during which the warrants are exercisable;</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designation and terms of any securities with which the warrants are issued;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8"/>
        </w:numPr>
        <w:rPr>
          <w:rFonts w:ascii="Arial" w:cs="Arial" w:eastAsia="Arial" w:hAnsi="Arial"/>
          <w:sz w:val="15"/>
          <w:szCs w:val="15"/>
          <w:color w:val="auto"/>
        </w:rPr>
      </w:pPr>
      <w:r>
        <w:rPr>
          <w:rFonts w:ascii="Arial" w:cs="Arial" w:eastAsia="Arial" w:hAnsi="Arial"/>
          <w:sz w:val="15"/>
          <w:szCs w:val="15"/>
          <w:color w:val="auto"/>
        </w:rPr>
        <w:t>if the warrants are issued as a unit with another security, the date on and after which the warrants and the other security will be separately transferable;</w:t>
      </w:r>
    </w:p>
    <w:p>
      <w:pPr>
        <w:sectPr>
          <w:pgSz w:w="11900" w:h="16838" w:orient="portrait"/>
          <w:cols w:equalWidth="0" w:num="1">
            <w:col w:w="11140"/>
          </w:cols>
          <w:pgMar w:left="320" w:top="418" w:right="439" w:bottom="1440" w:gutter="0" w:footer="0" w:header="0"/>
        </w:sect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18" w:right="4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5"/>
          <w:szCs w:val="15"/>
          <w:color w:val="auto"/>
        </w:rPr>
      </w:pPr>
      <w:r>
        <w:rPr>
          <w:rFonts w:ascii="Arial" w:cs="Arial" w:eastAsia="Arial" w:hAnsi="Arial"/>
          <w:sz w:val="15"/>
          <w:szCs w:val="15"/>
          <w:color w:val="auto"/>
        </w:rPr>
        <w:t>if the exercise price is not payable in U.S. dollars, the foreign currency, currency unit or composite currency in which the exercise price is denominated;</w:t>
      </w:r>
    </w:p>
    <w:p>
      <w:pPr>
        <w:spacing w:after="0" w:line="138" w:lineRule="exact"/>
        <w:rPr>
          <w:rFonts w:ascii="Arial" w:cs="Arial" w:eastAsia="Arial" w:hAnsi="Arial"/>
          <w:sz w:val="15"/>
          <w:szCs w:val="15"/>
          <w:color w:val="auto"/>
        </w:rPr>
      </w:pPr>
    </w:p>
    <w:p>
      <w:pPr>
        <w:ind w:left="1020" w:hanging="503"/>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minimum or maximum amount of warrants that may be exercised at any one time;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terms, procedures and limitations relating to the transferability, exchange or exercise of the warrants.</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Exercise of Warrants</w:t>
      </w:r>
    </w:p>
    <w:p>
      <w:pPr>
        <w:spacing w:after="0" w:line="131" w:lineRule="exact"/>
        <w:rPr>
          <w:sz w:val="20"/>
          <w:szCs w:val="20"/>
          <w:color w:val="auto"/>
        </w:rPr>
      </w:pPr>
    </w:p>
    <w:p>
      <w:pPr>
        <w:ind w:firstLine="509"/>
        <w:spacing w:after="0" w:line="318" w:lineRule="auto"/>
        <w:rPr>
          <w:sz w:val="20"/>
          <w:szCs w:val="20"/>
          <w:color w:val="auto"/>
        </w:rPr>
      </w:pPr>
      <w:r>
        <w:rPr>
          <w:rFonts w:ascii="Arial" w:cs="Arial" w:eastAsia="Arial" w:hAnsi="Arial"/>
          <w:sz w:val="14"/>
          <w:szCs w:val="14"/>
          <w:color w:val="auto"/>
        </w:rPr>
        <w:t>Holders may exercise warrants as described in the prospectus supplement relating to the warrants being offered. Each warrant will entitle the holder of the warrant to purchase for cash at the exercise price provided in the applicable prospectus supplement the principal amount of shares of common stock or shares of preferred stock being offered. Upon receipt of payment and the warrant certificate properly completed and duly executed at the corporate trust office of the warrant agent or any other office indicated in the prospectus supplement, we will, as soon as practicable, forward the shares of common stock or shares of preferred stock purchasable upon the exercise of the warrants. If less than all of the warrants represented by the warrant certificate are exercised, we will issue a new warrant certificate for the remaining warrants.</w:t>
      </w:r>
    </w:p>
    <w:p>
      <w:pPr>
        <w:spacing w:after="0" w:line="135" w:lineRule="exact"/>
        <w:rPr>
          <w:sz w:val="20"/>
          <w:szCs w:val="20"/>
          <w:color w:val="auto"/>
        </w:rPr>
      </w:pPr>
    </w:p>
    <w:p>
      <w:pPr>
        <w:ind w:right="300" w:firstLine="509"/>
        <w:spacing w:after="0" w:line="293" w:lineRule="auto"/>
        <w:rPr>
          <w:sz w:val="20"/>
          <w:szCs w:val="20"/>
          <w:color w:val="auto"/>
        </w:rPr>
      </w:pPr>
      <w:r>
        <w:rPr>
          <w:rFonts w:ascii="Arial" w:cs="Arial" w:eastAsia="Arial" w:hAnsi="Arial"/>
          <w:sz w:val="16"/>
          <w:szCs w:val="16"/>
          <w:color w:val="auto"/>
        </w:rPr>
        <w:t>Holders may exercise warrants at any time up to the close of business on the expiration date provided in the applicable prospectus supplement. After the close of business on the expiration date, unexercised warrants are void.</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Prior to the exercise of their warrants, holders of warrants will not have any of the rights of holders of the securities subject to the warrants.</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Modifications</w:t>
      </w:r>
    </w:p>
    <w:p>
      <w:pPr>
        <w:spacing w:after="0" w:line="131" w:lineRule="exact"/>
        <w:rPr>
          <w:sz w:val="20"/>
          <w:szCs w:val="20"/>
          <w:color w:val="auto"/>
        </w:rPr>
      </w:pPr>
    </w:p>
    <w:p>
      <w:pPr>
        <w:ind w:right="60" w:firstLine="509"/>
        <w:spacing w:after="0" w:line="328" w:lineRule="auto"/>
        <w:rPr>
          <w:sz w:val="20"/>
          <w:szCs w:val="20"/>
          <w:color w:val="auto"/>
        </w:rPr>
      </w:pPr>
      <w:r>
        <w:rPr>
          <w:rFonts w:ascii="Arial" w:cs="Arial" w:eastAsia="Arial" w:hAnsi="Arial"/>
          <w:sz w:val="15"/>
          <w:szCs w:val="15"/>
          <w:color w:val="auto"/>
        </w:rPr>
        <w:t>We may amend the warrant agreements and the warrants without the consent of the holders of the warrants to cure any ambiguity, to cure, correct or supplement any defective or inconsistent provision, or in any other manner that will not materially and adversely affect the interests of holders of outstanding warrants.</w:t>
      </w:r>
    </w:p>
    <w:p>
      <w:pPr>
        <w:spacing w:after="0" w:line="109" w:lineRule="exact"/>
        <w:rPr>
          <w:sz w:val="20"/>
          <w:szCs w:val="20"/>
          <w:color w:val="auto"/>
        </w:rPr>
      </w:pPr>
    </w:p>
    <w:p>
      <w:pPr>
        <w:ind w:firstLine="509"/>
        <w:spacing w:after="0" w:line="328" w:lineRule="auto"/>
        <w:rPr>
          <w:sz w:val="20"/>
          <w:szCs w:val="20"/>
          <w:color w:val="auto"/>
        </w:rPr>
      </w:pPr>
      <w:r>
        <w:rPr>
          <w:rFonts w:ascii="Arial" w:cs="Arial" w:eastAsia="Arial" w:hAnsi="Arial"/>
          <w:sz w:val="15"/>
          <w:szCs w:val="15"/>
          <w:color w:val="auto"/>
        </w:rPr>
        <w:t>We may also modify or amend certain other terms of the warrant agreements and the warrants with the consent of the holders of not less than a majority in number of the then outstanding unexercised warrants affected. Without the consent of the holders affected, however, no modification or amendment may:</w:t>
      </w:r>
    </w:p>
    <w:p>
      <w:pPr>
        <w:spacing w:after="0" w:line="42"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shorten the period of time during which the warrants may be exercised; or</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otherwise materially and adversely affect the exercise rights of the holders of the warrants.</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Enforceability of Rights</w:t>
      </w:r>
    </w:p>
    <w:p>
      <w:pPr>
        <w:spacing w:after="0" w:line="131" w:lineRule="exact"/>
        <w:rPr>
          <w:sz w:val="20"/>
          <w:szCs w:val="20"/>
          <w:color w:val="auto"/>
        </w:rPr>
      </w:pPr>
    </w:p>
    <w:p>
      <w:pPr>
        <w:jc w:val="both"/>
        <w:ind w:right="180" w:firstLine="509"/>
        <w:spacing w:after="0" w:line="273" w:lineRule="auto"/>
        <w:rPr>
          <w:sz w:val="20"/>
          <w:szCs w:val="20"/>
          <w:color w:val="auto"/>
        </w:rPr>
      </w:pPr>
      <w:r>
        <w:rPr>
          <w:rFonts w:ascii="Arial" w:cs="Arial" w:eastAsia="Arial" w:hAnsi="Arial"/>
          <w:sz w:val="16"/>
          <w:szCs w:val="16"/>
          <w:color w:val="auto"/>
        </w:rPr>
        <w:t>The warrant agent, as described in the prospectus supplement, will act solely as our agent in connection with the warrants and will not assume any obligations or relationship of agency or trust for or with any warrant holder. The warrant agent will not have any duty or responsibility if we default under the warrant agreements or the warrant certificates. A warrant holder may, without the consent of the warrant agent, enforce by appropriate legal action on its own behalf the holder’s right to exercise the holder’s warrants.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UNITS WE MAY OFFER</w:t>
      </w:r>
    </w:p>
    <w:p>
      <w:pPr>
        <w:spacing w:after="0" w:line="198" w:lineRule="exact"/>
        <w:rPr>
          <w:sz w:val="20"/>
          <w:szCs w:val="20"/>
          <w:color w:val="auto"/>
        </w:rPr>
      </w:pPr>
    </w:p>
    <w:p>
      <w:pPr>
        <w:ind w:right="120" w:firstLine="509"/>
        <w:spacing w:after="0" w:line="273" w:lineRule="auto"/>
        <w:rPr>
          <w:sz w:val="20"/>
          <w:szCs w:val="20"/>
          <w:color w:val="auto"/>
        </w:rPr>
      </w:pPr>
      <w:r>
        <w:rPr>
          <w:rFonts w:ascii="Arial" w:cs="Arial" w:eastAsia="Arial" w:hAnsi="Arial"/>
          <w:sz w:val="16"/>
          <w:szCs w:val="16"/>
          <w:color w:val="auto"/>
        </w:rPr>
        <w:t>We may also issue units comprised of one or more of the other securities described above in this prospectus in any combination. Each unit will be issued so that the holder of the unit is also a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before a specified date.</w:t>
      </w:r>
    </w:p>
    <w:p>
      <w:pPr>
        <w:spacing w:after="0" w:line="162" w:lineRule="exact"/>
        <w:rPr>
          <w:sz w:val="20"/>
          <w:szCs w:val="20"/>
          <w:color w:val="auto"/>
        </w:rPr>
      </w:pPr>
    </w:p>
    <w:p>
      <w:pPr>
        <w:ind w:right="420" w:firstLine="509"/>
        <w:spacing w:after="0" w:line="369" w:lineRule="auto"/>
        <w:rPr>
          <w:sz w:val="20"/>
          <w:szCs w:val="20"/>
          <w:color w:val="auto"/>
        </w:rPr>
      </w:pPr>
      <w:r>
        <w:rPr>
          <w:rFonts w:ascii="Arial" w:cs="Arial" w:eastAsia="Arial" w:hAnsi="Arial"/>
          <w:sz w:val="14"/>
          <w:szCs w:val="14"/>
          <w:color w:val="auto"/>
        </w:rPr>
        <w:t>We have summarized material provisions of the units and the unit agreements below. This summary is not complete and will be complete as described in a prospectus supplement. We will file the form of any unit agreement with the SEC, and you should read the unit agreement for provisions that may be important to you.</w:t>
      </w:r>
    </w:p>
    <w:p>
      <w:pPr>
        <w:spacing w:after="0" w:line="85" w:lineRule="exact"/>
        <w:rPr>
          <w:sz w:val="20"/>
          <w:szCs w:val="20"/>
          <w:color w:val="auto"/>
        </w:rPr>
      </w:pPr>
    </w:p>
    <w:p>
      <w:pPr>
        <w:ind w:right="620" w:firstLine="509"/>
        <w:spacing w:after="0" w:line="293" w:lineRule="auto"/>
        <w:rPr>
          <w:sz w:val="20"/>
          <w:szCs w:val="20"/>
          <w:color w:val="auto"/>
        </w:rPr>
      </w:pPr>
      <w:r>
        <w:rPr>
          <w:rFonts w:ascii="Arial" w:cs="Arial" w:eastAsia="Arial" w:hAnsi="Arial"/>
          <w:sz w:val="16"/>
          <w:szCs w:val="16"/>
          <w:color w:val="auto"/>
        </w:rPr>
        <w:t>A prospectus supplement relating to any units we are offering will include specific terms relating to the offering. These terms will include some or all of the following:</w:t>
      </w:r>
    </w:p>
    <w:p>
      <w:pPr>
        <w:spacing w:after="0" w:line="64" w:lineRule="exact"/>
        <w:rPr>
          <w:sz w:val="20"/>
          <w:szCs w:val="20"/>
          <w:color w:val="auto"/>
        </w:rPr>
      </w:pPr>
    </w:p>
    <w:p>
      <w:pPr>
        <w:ind w:left="1020" w:right="140" w:hanging="503"/>
        <w:spacing w:after="0" w:line="293"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designation and terms of the units and the securities comprising the units, including whether and under what circumstances those securities may be held or transferred separately;</w:t>
      </w:r>
    </w:p>
    <w:p>
      <w:pPr>
        <w:spacing w:after="0" w:line="63" w:lineRule="exact"/>
        <w:rPr>
          <w:rFonts w:ascii="Arial" w:cs="Arial" w:eastAsia="Arial" w:hAnsi="Arial"/>
          <w:sz w:val="16"/>
          <w:szCs w:val="16"/>
          <w:color w:val="auto"/>
        </w:rPr>
      </w:pPr>
    </w:p>
    <w:p>
      <w:pPr>
        <w:ind w:left="1020" w:hanging="503"/>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provisions for the issuance, payment, settlement, transfer or exchange of the units or of the securities comprising the units;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whether such units will be issued in fully registered or global form.</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CHESS DEPOSITARY INTERESTS</w:t>
      </w:r>
    </w:p>
    <w:p>
      <w:pPr>
        <w:spacing w:after="0" w:line="198" w:lineRule="exact"/>
        <w:rPr>
          <w:sz w:val="20"/>
          <w:szCs w:val="20"/>
          <w:color w:val="auto"/>
        </w:rPr>
      </w:pPr>
    </w:p>
    <w:p>
      <w:pPr>
        <w:ind w:right="220" w:firstLine="509"/>
        <w:spacing w:after="0" w:line="278" w:lineRule="auto"/>
        <w:rPr>
          <w:sz w:val="20"/>
          <w:szCs w:val="20"/>
          <w:color w:val="auto"/>
        </w:rPr>
      </w:pPr>
      <w:r>
        <w:rPr>
          <w:rFonts w:ascii="Arial" w:cs="Arial" w:eastAsia="Arial" w:hAnsi="Arial"/>
          <w:sz w:val="16"/>
          <w:szCs w:val="16"/>
          <w:color w:val="auto"/>
        </w:rPr>
        <w:t>Any shares of common stock, or preferred stock, warrants or units that we offer that are otherwise convertible or exercisable into common stock may be issued in Australia in the form of CDIs or securities convertible or exchangeable into CDIs. If an offering includes such securities, it will be further described in a prospectus supplement.</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CDIs are quoted on the ASX under the ticker code, “AVH”. One share of common stock on Nasdaq is equivalent to five CDIs on the ASX.</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PLAN OF DISTRIBUTION</w:t>
      </w:r>
    </w:p>
    <w:p>
      <w:pPr>
        <w:spacing w:after="0" w:line="212"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We may from time to time offer and sell, separately or together, some or all of the securities covered by this prospectus. Registration of the securities covered by this prospectus does not mean, however, that the securities will be offered or sold.</w:t>
      </w:r>
    </w:p>
    <w:p>
      <w:pPr>
        <w:spacing w:after="0" w:line="131"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The securities covered by this prospectus may be sold from time to time, at market prices prevailing at the time of sale, at prices related to market prices, at a fixed price or prices subject to change or at negotiated prices, by a variety of methods, including the following:</w:t>
      </w:r>
    </w:p>
    <w:p>
      <w:pPr>
        <w:spacing w:after="0" w:line="64" w:lineRule="exact"/>
        <w:rPr>
          <w:sz w:val="20"/>
          <w:szCs w:val="20"/>
          <w:color w:val="auto"/>
        </w:rPr>
      </w:pPr>
    </w:p>
    <w:p>
      <w:pPr>
        <w:ind w:left="1020" w:right="40" w:hanging="503"/>
        <w:spacing w:after="0" w:line="293"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transactions on The Nasdaq Stock Market LLC or the ASX in accordance with the rules of the ASX (including through at-the-market offerings) or any other organized market where the securities may be traded;</w:t>
      </w:r>
    </w:p>
    <w:p>
      <w:pPr>
        <w:spacing w:after="0" w:line="63"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the over-the-counter market;</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privately negotiated transactions;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through broker-dealers, who may act as agents or principals;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through one or more underwriters on a firm commitment or best-efforts basis;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“at-the-market offerings” within the meaning of Rule 415 of the Securities Act;</w:t>
      </w:r>
    </w:p>
    <w:p>
      <w:pPr>
        <w:spacing w:after="0" w:line="126" w:lineRule="exact"/>
        <w:rPr>
          <w:rFonts w:ascii="Arial" w:cs="Arial" w:eastAsia="Arial" w:hAnsi="Arial"/>
          <w:sz w:val="16"/>
          <w:szCs w:val="16"/>
          <w:color w:val="auto"/>
        </w:rPr>
      </w:pPr>
    </w:p>
    <w:p>
      <w:pPr>
        <w:ind w:left="1020" w:right="200" w:hanging="503"/>
        <w:spacing w:after="0" w:line="293" w:lineRule="auto"/>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a block trade in which a broker-dealer will attempt to sell a block of securities as agent but may position and resell a portion of the block as principal to facilitate the transaction;</w:t>
      </w:r>
    </w:p>
    <w:p>
      <w:pPr>
        <w:spacing w:after="0" w:line="63"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through offerings of securities exchangeable, convertible or exercisable for the securities;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directly to one or more purchasers;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through agents; or</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through any combination of the above.</w:t>
      </w:r>
    </w:p>
    <w:p>
      <w:pPr>
        <w:spacing w:after="0" w:line="194"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color w:val="auto"/>
        </w:rPr>
        <w:t>At any time a particular offer of securities covered by this prospectus is made, a revised prospectus or prospectus supplement, if required, will be distributed which will set forth:</w:t>
      </w:r>
    </w:p>
    <w:p>
      <w:pPr>
        <w:spacing w:after="0" w:line="64"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name or names of any underwriters, broker-dealers or agents;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to be received by us from the sale;</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discounts, commissions, concessions and other items constituting underwriters’ or agents’ compensation;</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public offering price;</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discounts, commissions or concessions allowed or re-allowed or paid to dealers;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additional risk factors applicable to the securities that we propose to sell; and</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securities exchange on which the securities may be listed.</w:t>
      </w:r>
    </w:p>
    <w:p>
      <w:pPr>
        <w:spacing w:after="0" w:line="208"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Any such required prospectus supplement of which this prospectus is a part will be filed with the SEC to reflect the disclosure of additional information with respect to the distribution of securities covered by this prospectus.</w:t>
      </w:r>
    </w:p>
    <w:p>
      <w:pPr>
        <w:spacing w:after="0" w:line="131" w:lineRule="exact"/>
        <w:rPr>
          <w:sz w:val="20"/>
          <w:szCs w:val="20"/>
          <w:color w:val="auto"/>
        </w:rPr>
      </w:pPr>
    </w:p>
    <w:p>
      <w:pPr>
        <w:ind w:right="100" w:firstLine="509"/>
        <w:spacing w:after="0" w:line="293" w:lineRule="auto"/>
        <w:rPr>
          <w:sz w:val="20"/>
          <w:szCs w:val="20"/>
          <w:color w:val="auto"/>
        </w:rPr>
      </w:pPr>
      <w:r>
        <w:rPr>
          <w:rFonts w:ascii="Arial" w:cs="Arial" w:eastAsia="Arial" w:hAnsi="Arial"/>
          <w:sz w:val="15"/>
          <w:szCs w:val="15"/>
          <w:color w:val="auto"/>
        </w:rPr>
        <w:t>Underwriters, broker-dealers or agents may be paid compensation for offering and selling the securities. That compensation may be in the form of discounts, concessions or commissions to be received from us, from the purchasers of the securities or from both the sellers and the purchasers. The compensation received may be in excess of customary discounts, concessions or commissions. Any underwriters, dealers, agents or other investors participating in the distribution of the securities may be deemed to be “underwriters,” as that term is defined in the Securities Act, and compensation and profits received by them on sale of the securities may be deemed to be underwriting commissions, as that term is defined in the rules promulgated under the Securities Act.</w:t>
      </w:r>
    </w:p>
    <w:p>
      <w:pPr>
        <w:spacing w:after="0" w:line="135" w:lineRule="exact"/>
        <w:rPr>
          <w:sz w:val="20"/>
          <w:szCs w:val="20"/>
          <w:color w:val="auto"/>
        </w:rPr>
      </w:pPr>
    </w:p>
    <w:p>
      <w:pPr>
        <w:ind w:right="120" w:firstLine="509"/>
        <w:spacing w:after="0" w:line="278" w:lineRule="auto"/>
        <w:rPr>
          <w:sz w:val="20"/>
          <w:szCs w:val="20"/>
          <w:color w:val="auto"/>
        </w:rPr>
      </w:pPr>
      <w:r>
        <w:rPr>
          <w:rFonts w:ascii="Arial" w:cs="Arial" w:eastAsia="Arial" w:hAnsi="Arial"/>
          <w:sz w:val="16"/>
          <w:szCs w:val="16"/>
          <w:color w:val="auto"/>
        </w:rPr>
        <w:t>If dealers are utilized in the sale of offered securities, we will sell such offered securities to the dealers as principals. The dealers may then resell such offered securities to the public at varying prices to be determined by such dealers at the time of resale. The names of the dealers and the terms of the transaction will be set forth in the prospectus supplement relating to that transaction.</w:t>
      </w:r>
    </w:p>
    <w:p>
      <w:pPr>
        <w:sectPr>
          <w:pgSz w:w="11900" w:h="16838" w:orient="portrait"/>
          <w:cols w:equalWidth="0" w:num="1">
            <w:col w:w="11200"/>
          </w:cols>
          <w:pgMar w:left="320" w:top="418" w:right="379"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60" w:firstLine="509"/>
        <w:spacing w:after="0" w:line="308" w:lineRule="auto"/>
        <w:rPr>
          <w:sz w:val="20"/>
          <w:szCs w:val="20"/>
          <w:color w:val="auto"/>
        </w:rPr>
      </w:pPr>
      <w:r>
        <w:rPr>
          <w:rFonts w:ascii="Arial" w:cs="Arial" w:eastAsia="Arial" w:hAnsi="Arial"/>
          <w:sz w:val="14"/>
          <w:szCs w:val="14"/>
          <w:color w:val="auto"/>
        </w:rPr>
        <w:t>We may sell securities from time to time to one or more underwriters, who would purchase the securities as principal for resale to the public, either on a firm-commitment or best-efforts basis. The securities may be either offered to the public through underwriting syndicates represented by managing underwriters, or directly by underwriters. If we sell securities to underwriters, we may execute an underwriting agreement with them at the time of sale and will name them in the applicable prospectus supplement. The underwriting agreement will provide that the obligations of the underwriters are subject to certain conditions precedent and that the underwriters with respect to a sale of offered securities will be obligated to purchase all such offered securities of a series if any are purchased. We may grant to the underwriters options to purchase additional offered securities, to cover over-allotments, if any, at the public offering price (with additional underwriting discounts or commissions), as may be set forth in the applicable prospectus supplement. If we grant any over-allotment option, the terms of such over-allotment option will be set forth in the prospectus supplement relating to such offered securities. In connection with such sales, underwriters may be deemed to have received compensation from us in the form of underwriting discounts or commissions and may also receive commissions from purchasers of the securities for whom they may act as agents. Underwriters may resell the securities to or through dealers, and those dealers may receive compensation in the form of discounts, concessions or commissions from the underwriters and/or commissions from purchasers for whom they may act as agents. The prospectus supplement will include any required information about underwriting compensation we pay to underwriters, and any discounts, concessions or commissions underwriters allow to participating dealers, in connection with an offering of securities.</w:t>
      </w:r>
    </w:p>
    <w:p>
      <w:pPr>
        <w:spacing w:after="0" w:line="126" w:lineRule="exact"/>
        <w:rPr>
          <w:sz w:val="20"/>
          <w:szCs w:val="20"/>
          <w:color w:val="auto"/>
        </w:rPr>
      </w:pPr>
    </w:p>
    <w:p>
      <w:pPr>
        <w:ind w:right="120" w:firstLine="509"/>
        <w:spacing w:after="0" w:line="273" w:lineRule="auto"/>
        <w:rPr>
          <w:sz w:val="20"/>
          <w:szCs w:val="20"/>
          <w:color w:val="auto"/>
        </w:rPr>
      </w:pPr>
      <w:r>
        <w:rPr>
          <w:rFonts w:ascii="Arial" w:cs="Arial" w:eastAsia="Arial" w:hAnsi="Arial"/>
          <w:sz w:val="16"/>
          <w:szCs w:val="16"/>
          <w:color w:val="auto"/>
        </w:rPr>
        <w:t>If so indicated in the applicable prospectus supplement, we may authorize agents, underwriters or dealers to solicit offers from certain types of institutions to purchase offered securities from us at the public offering price set forth in such prospectus supplement pursuant to delayed delivery contracts providing for payment and delivery on a specified date in the future. Such contracts will be subject only to those conditions set forth in the prospectus supplement, and the prospectus supplement will set forth the commission payable for solicitation of such contracts.</w:t>
      </w:r>
    </w:p>
    <w:p>
      <w:pPr>
        <w:spacing w:after="0" w:line="148" w:lineRule="exact"/>
        <w:rPr>
          <w:sz w:val="20"/>
          <w:szCs w:val="20"/>
          <w:color w:val="auto"/>
        </w:rPr>
      </w:pPr>
    </w:p>
    <w:p>
      <w:pPr>
        <w:ind w:right="20" w:firstLine="509"/>
        <w:spacing w:after="0" w:line="273" w:lineRule="auto"/>
        <w:rPr>
          <w:sz w:val="20"/>
          <w:szCs w:val="20"/>
          <w:color w:val="auto"/>
        </w:rPr>
      </w:pPr>
      <w:r>
        <w:rPr>
          <w:rFonts w:ascii="Arial" w:cs="Arial" w:eastAsia="Arial" w:hAnsi="Arial"/>
          <w:sz w:val="16"/>
          <w:szCs w:val="16"/>
          <w:color w:val="auto"/>
        </w:rPr>
        <w:t>Underwriters, broker-dealers or agents may be entitled under agreements entered into with us to indemnification by us against certain civil liabilities, including liabilities under the Securities Act, or to contribution with respect to payments which the underwriters, dealers, agents and remarketing firms may be required to make. Underwriters, broker-dealers and agents, as well as their respective affiliates, may be customers of, engage in transactions with, or perform services in the ordinary course of business for us and/or our affiliates.</w:t>
      </w:r>
    </w:p>
    <w:p>
      <w:pPr>
        <w:spacing w:after="0" w:line="162"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Each series of securities will be a new issue of securities and will have no established trading market other than our common stock which is listed on The Nasdaq Stock Market LLC and our CDIs which are listed on the ASX. Any common stock sold will be listed on The Nasdaq Stock Market LLC, upon official notice of issuance. Any CDIs sold will be listed on the ASX in accordance with the rules and regulations of the ASX. The securities, other than our common stock, may or may not be listed on a national securities exchange or other organized market. Any underwriters to whom securities are sold by us for public offering and sale may make a market in the securities, but such underwriters will not be obligated to do so and may discontinue any market making at any time without notice. No assurance can be given as to the liquidity or trading market for any of the securities.</w:t>
      </w:r>
    </w:p>
    <w:p>
      <w:pPr>
        <w:spacing w:after="0" w:line="153" w:lineRule="exact"/>
        <w:rPr>
          <w:sz w:val="20"/>
          <w:szCs w:val="20"/>
          <w:color w:val="auto"/>
        </w:rPr>
      </w:pPr>
    </w:p>
    <w:p>
      <w:pPr>
        <w:jc w:val="both"/>
        <w:ind w:right="120" w:firstLine="509"/>
        <w:spacing w:after="0" w:line="278" w:lineRule="auto"/>
        <w:rPr>
          <w:sz w:val="20"/>
          <w:szCs w:val="20"/>
          <w:color w:val="auto"/>
        </w:rPr>
      </w:pPr>
      <w:r>
        <w:rPr>
          <w:rFonts w:ascii="Arial" w:cs="Arial" w:eastAsia="Arial" w:hAnsi="Arial"/>
          <w:sz w:val="16"/>
          <w:szCs w:val="16"/>
          <w:color w:val="auto"/>
        </w:rPr>
        <w:t>Certain persons participating in the offering may engage in over-allotment, stabilizing transactions, short-covering transactions and penalty bids in accordance with Regulation M under the Exchange Act. We make no representation or prediction as to the direction or magnitude of any effect that such transactions may have on the price of the securities.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LEGAL MATTERS</w:t>
      </w:r>
    </w:p>
    <w:p>
      <w:pPr>
        <w:spacing w:after="0" w:line="198" w:lineRule="exact"/>
        <w:rPr>
          <w:sz w:val="20"/>
          <w:szCs w:val="20"/>
          <w:color w:val="auto"/>
        </w:rPr>
      </w:pPr>
    </w:p>
    <w:p>
      <w:pPr>
        <w:ind w:firstLine="509"/>
        <w:spacing w:after="0" w:line="278" w:lineRule="auto"/>
        <w:rPr>
          <w:sz w:val="20"/>
          <w:szCs w:val="20"/>
          <w:color w:val="auto"/>
        </w:rPr>
      </w:pPr>
      <w:r>
        <w:rPr>
          <w:rFonts w:ascii="Arial" w:cs="Arial" w:eastAsia="Arial" w:hAnsi="Arial"/>
          <w:sz w:val="16"/>
          <w:szCs w:val="16"/>
          <w:color w:val="auto"/>
        </w:rPr>
        <w:t>The validity of the issuance of the shares of common stock, preferred stock, warrants, or units, as applicable, offered hereby will be passed upon for us by K&amp;L Gates LLP, 925 Fourth Avenue, Seattle, WA 98104. Additional legal matters may be passed on for us, or any underwriters, dealers or agents, by counsel whom we will name in the applicable prospectus supplement.</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EXPERTS</w:t>
      </w:r>
    </w:p>
    <w:p>
      <w:pPr>
        <w:spacing w:after="0" w:line="198" w:lineRule="exact"/>
        <w:rPr>
          <w:sz w:val="20"/>
          <w:szCs w:val="20"/>
          <w:color w:val="auto"/>
        </w:rPr>
      </w:pPr>
    </w:p>
    <w:p>
      <w:pPr>
        <w:ind w:right="140" w:firstLine="509"/>
        <w:spacing w:after="0" w:line="328" w:lineRule="auto"/>
        <w:rPr>
          <w:sz w:val="20"/>
          <w:szCs w:val="20"/>
          <w:color w:val="auto"/>
        </w:rPr>
      </w:pPr>
      <w:r>
        <w:rPr>
          <w:rFonts w:ascii="Arial" w:cs="Arial" w:eastAsia="Arial" w:hAnsi="Arial"/>
          <w:sz w:val="15"/>
          <w:szCs w:val="15"/>
          <w:color w:val="auto"/>
        </w:rPr>
        <w:t>The financial statements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WHERE YOU CAN FIND MORE INFORMATION</w:t>
      </w:r>
    </w:p>
    <w:p>
      <w:pPr>
        <w:spacing w:after="0" w:line="198" w:lineRule="exact"/>
        <w:rPr>
          <w:sz w:val="20"/>
          <w:szCs w:val="20"/>
          <w:color w:val="auto"/>
        </w:rPr>
      </w:pPr>
    </w:p>
    <w:p>
      <w:pPr>
        <w:ind w:right="160" w:firstLine="509"/>
        <w:spacing w:after="0" w:line="278" w:lineRule="auto"/>
        <w:rPr>
          <w:sz w:val="20"/>
          <w:szCs w:val="20"/>
          <w:color w:val="auto"/>
        </w:rPr>
      </w:pPr>
      <w:r>
        <w:rPr>
          <w:rFonts w:ascii="Arial" w:cs="Arial" w:eastAsia="Arial" w:hAnsi="Arial"/>
          <w:sz w:val="16"/>
          <w:szCs w:val="16"/>
          <w:color w:val="auto"/>
        </w:rPr>
        <w:t>Each time securities are offered to be sold, we will provide a prospectus supplement that will contain specific information about the terms of that offering. The prospectus supplement may also add, update or change information contained in this prospectus. This prospectus, together with the applicable prospectus supplement, will include or refer you to all material information relating to each offering.</w:t>
      </w:r>
    </w:p>
    <w:p>
      <w:pPr>
        <w:spacing w:after="0" w:line="144" w:lineRule="exact"/>
        <w:rPr>
          <w:sz w:val="20"/>
          <w:szCs w:val="20"/>
          <w:color w:val="auto"/>
        </w:rPr>
      </w:pPr>
    </w:p>
    <w:p>
      <w:pPr>
        <w:ind w:right="20" w:firstLine="509"/>
        <w:spacing w:after="0" w:line="278" w:lineRule="auto"/>
        <w:rPr>
          <w:sz w:val="20"/>
          <w:szCs w:val="20"/>
          <w:color w:val="auto"/>
        </w:rPr>
      </w:pPr>
      <w:r>
        <w:rPr>
          <w:rFonts w:ascii="Arial" w:cs="Arial" w:eastAsia="Arial" w:hAnsi="Arial"/>
          <w:sz w:val="16"/>
          <w:szCs w:val="16"/>
          <w:color w:val="auto"/>
        </w:rPr>
        <w:t>In addition, we file annual, quarterly and current reports, proxy statements and other information with the SEC under the Exchange Act. You can read our SEC filings, including the registration statement, at the SEC’s website at www.sec.gov, which contains reports, proxy and information statements and other information regarding issuers that file electronically with the SEC.</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INCORPORATION OF CERTAIN INFORMATION BY REFERENCE</w:t>
      </w:r>
    </w:p>
    <w:p>
      <w:pPr>
        <w:spacing w:after="0" w:line="198" w:lineRule="exact"/>
        <w:rPr>
          <w:sz w:val="20"/>
          <w:szCs w:val="20"/>
          <w:color w:val="auto"/>
        </w:rPr>
      </w:pPr>
    </w:p>
    <w:p>
      <w:pPr>
        <w:jc w:val="both"/>
        <w:ind w:right="20" w:firstLine="509"/>
        <w:spacing w:after="0" w:line="278" w:lineRule="auto"/>
        <w:rPr>
          <w:sz w:val="20"/>
          <w:szCs w:val="20"/>
          <w:color w:val="auto"/>
        </w:rPr>
      </w:pPr>
      <w:r>
        <w:rPr>
          <w:rFonts w:ascii="Arial" w:cs="Arial" w:eastAsia="Arial" w:hAnsi="Arial"/>
          <w:sz w:val="16"/>
          <w:szCs w:val="16"/>
          <w:color w:val="auto"/>
        </w:rPr>
        <w:t>The SEC allows us to “incorporate by reference” the information that we file with them, which means that we can disclose important information to you by referring you to other documents. The information incorporated by reference is an important part of this prospectus, and information that we file later with the SEC will automatically update and supersede this information.</w:t>
      </w:r>
    </w:p>
    <w:p>
      <w:pPr>
        <w:sectPr>
          <w:pgSz w:w="11900" w:h="16838" w:orient="portrait"/>
          <w:cols w:equalWidth="0" w:num="1">
            <w:col w:w="11220"/>
          </w:cols>
          <w:pgMar w:left="320" w:top="418" w:right="35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60" w:firstLine="509"/>
        <w:spacing w:after="0" w:line="293" w:lineRule="auto"/>
        <w:rPr>
          <w:sz w:val="20"/>
          <w:szCs w:val="20"/>
          <w:color w:val="auto"/>
        </w:rPr>
      </w:pPr>
      <w:r>
        <w:rPr>
          <w:rFonts w:ascii="Arial" w:cs="Arial" w:eastAsia="Arial" w:hAnsi="Arial"/>
          <w:sz w:val="16"/>
          <w:szCs w:val="16"/>
          <w:color w:val="auto"/>
        </w:rPr>
        <w:t>We incorporate by reference the filed documents listed below, except as superseded, supplemented or modified by this prospectus, and any future filings we will make with the SEC under Sections 13(a), 13(c), 14 or 15(d) of the Exchange Act:</w:t>
      </w:r>
    </w:p>
    <w:p>
      <w:pPr>
        <w:spacing w:after="0" w:line="64"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Our Annual Report on </w:t>
      </w:r>
      <w:hyperlink r:id="rId27">
        <w:r>
          <w:rPr>
            <w:rFonts w:ascii="Arial" w:cs="Arial" w:eastAsia="Arial" w:hAnsi="Arial"/>
            <w:sz w:val="16"/>
            <w:szCs w:val="16"/>
            <w:u w:val="single" w:color="auto"/>
            <w:color w:val="0000FF"/>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December 31, 2022 as filed with the SEC on February 23, 2023;</w:t>
      </w:r>
    </w:p>
    <w:p>
      <w:pPr>
        <w:spacing w:after="0" w:line="127" w:lineRule="exact"/>
        <w:rPr>
          <w:sz w:val="20"/>
          <w:szCs w:val="20"/>
          <w:color w:val="auto"/>
        </w:rPr>
      </w:pPr>
    </w:p>
    <w:p>
      <w:pPr>
        <w:ind w:left="520"/>
        <w:spacing w:after="0"/>
        <w:tabs>
          <w:tab w:leader="none" w:pos="1000" w:val="left"/>
        </w:tabs>
        <w:rPr>
          <w:rFonts w:ascii="Arial" w:cs="Arial" w:eastAsia="Arial" w:hAnsi="Arial"/>
          <w:sz w:val="16"/>
          <w:szCs w:val="16"/>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 xml:space="preserve">Our Current Reports on Form 8-K dated </w:t>
      </w:r>
      <w:hyperlink r:id="rId55">
        <w:r>
          <w:rPr>
            <w:rFonts w:ascii="Arial" w:cs="Arial" w:eastAsia="Arial" w:hAnsi="Arial"/>
            <w:sz w:val="16"/>
            <w:szCs w:val="16"/>
            <w:u w:val="single" w:color="auto"/>
            <w:color w:val="0000FF"/>
          </w:rPr>
          <w:t>January 20, 2023</w:t>
        </w:r>
      </w:hyperlink>
      <w:r>
        <w:rPr>
          <w:rFonts w:ascii="Arial" w:cs="Arial" w:eastAsia="Arial" w:hAnsi="Arial"/>
          <w:sz w:val="16"/>
          <w:szCs w:val="16"/>
          <w:color w:val="auto"/>
        </w:rPr>
        <w:t xml:space="preserve">, </w:t>
      </w:r>
      <w:hyperlink r:id="rId56">
        <w:r>
          <w:rPr>
            <w:rFonts w:ascii="Arial" w:cs="Arial" w:eastAsia="Arial" w:hAnsi="Arial"/>
            <w:sz w:val="16"/>
            <w:szCs w:val="16"/>
            <w:u w:val="single" w:color="auto"/>
            <w:color w:val="0000FF"/>
          </w:rPr>
          <w:t>March 21, 2023</w:t>
        </w:r>
      </w:hyperlink>
      <w:r>
        <w:rPr>
          <w:rFonts w:ascii="Arial" w:cs="Arial" w:eastAsia="Arial" w:hAnsi="Arial"/>
          <w:sz w:val="16"/>
          <w:szCs w:val="16"/>
          <w:color w:val="auto"/>
        </w:rPr>
        <w:t xml:space="preserve">, </w:t>
      </w:r>
      <w:hyperlink r:id="rId57">
        <w:r>
          <w:rPr>
            <w:rFonts w:ascii="Arial" w:cs="Arial" w:eastAsia="Arial" w:hAnsi="Arial"/>
            <w:sz w:val="16"/>
            <w:szCs w:val="16"/>
            <w:u w:val="single" w:color="auto"/>
            <w:color w:val="0000FF"/>
          </w:rPr>
          <w:t>March 22, 2023,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58">
        <w:r>
          <w:rPr>
            <w:rFonts w:ascii="Arial" w:cs="Arial" w:eastAsia="Arial" w:hAnsi="Arial"/>
            <w:sz w:val="16"/>
            <w:szCs w:val="16"/>
            <w:u w:val="single" w:color="auto"/>
            <w:color w:val="0000FF"/>
          </w:rPr>
          <w:t>March 27, 2023;</w:t>
        </w:r>
      </w:hyperlink>
    </w:p>
    <w:p>
      <w:pPr>
        <w:spacing w:after="0" w:line="127" w:lineRule="exact"/>
        <w:rPr>
          <w:rFonts w:ascii="Arial" w:cs="Arial" w:eastAsia="Arial" w:hAnsi="Arial"/>
          <w:sz w:val="16"/>
          <w:szCs w:val="16"/>
          <w:color w:val="auto"/>
        </w:rPr>
      </w:pPr>
    </w:p>
    <w:p>
      <w:pPr>
        <w:ind w:left="1020" w:right="320" w:hanging="503"/>
        <w:spacing w:after="0" w:line="293" w:lineRule="auto"/>
        <w:tabs>
          <w:tab w:leader="none" w:pos="10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A description of our common stock contained in </w:t>
      </w:r>
      <w:hyperlink r:id="rId38">
        <w:r>
          <w:rPr>
            <w:rFonts w:ascii="Arial" w:cs="Arial" w:eastAsia="Arial" w:hAnsi="Arial"/>
            <w:sz w:val="16"/>
            <w:szCs w:val="16"/>
            <w:u w:val="single" w:color="auto"/>
            <w:color w:val="0000FF"/>
          </w:rPr>
          <w:t>Exhibit 4.1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our Annual Report on Form 10-K filed February 23, 2022, including any Amendment or reports filed for the purpose of updating this description; and</w:t>
      </w:r>
    </w:p>
    <w:p>
      <w:pPr>
        <w:spacing w:after="0" w:line="63" w:lineRule="exact"/>
        <w:rPr>
          <w:rFonts w:ascii="Arial" w:cs="Arial" w:eastAsia="Arial" w:hAnsi="Arial"/>
          <w:sz w:val="16"/>
          <w:szCs w:val="16"/>
          <w:color w:val="auto"/>
        </w:rPr>
      </w:pPr>
    </w:p>
    <w:p>
      <w:pPr>
        <w:ind w:left="1020" w:hanging="503"/>
        <w:spacing w:after="0" w:line="335" w:lineRule="auto"/>
        <w:tabs>
          <w:tab w:leader="none" w:pos="10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documents subsequently filed by us pursuant to Sections 13(a), 13(c), 14 or 15(d) of the Exchange Act prior to the termination of this offering, including those made between the date of the initial registration statement that includes this prospectus and prior to the effectiveness of such registration statement (other than information furnished under Item 2.02 or Item 7.01 of any Form 8-K which information is not deemed filed under the Exchange Act).</w:t>
      </w:r>
    </w:p>
    <w:p>
      <w:pPr>
        <w:spacing w:after="0" w:line="109" w:lineRule="exact"/>
        <w:rPr>
          <w:rFonts w:ascii="Arial" w:cs="Arial" w:eastAsia="Arial" w:hAnsi="Arial"/>
          <w:sz w:val="16"/>
          <w:szCs w:val="16"/>
          <w:color w:val="auto"/>
        </w:rPr>
      </w:pPr>
    </w:p>
    <w:p>
      <w:pPr>
        <w:ind w:right="220" w:firstLine="509"/>
        <w:spacing w:after="0" w:line="369" w:lineRule="auto"/>
        <w:rPr>
          <w:sz w:val="20"/>
          <w:szCs w:val="20"/>
          <w:color w:val="auto"/>
        </w:rPr>
      </w:pPr>
      <w:r>
        <w:rPr>
          <w:rFonts w:ascii="Arial" w:cs="Arial" w:eastAsia="Arial" w:hAnsi="Arial"/>
          <w:sz w:val="14"/>
          <w:szCs w:val="14"/>
          <w:color w:val="auto"/>
        </w:rPr>
        <w:t>You may request and obtain a copy of any or all of the documents that are incorporated by reference into this prospectus but not delivered with the prospectus, including exhibits that are specifically incorporated by reference into such documents, at no cost, by writing or telephoning us at the following address or phone number:</w:t>
      </w:r>
    </w:p>
    <w:p>
      <w:pPr>
        <w:spacing w:after="0" w:line="85"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6"/>
          <w:szCs w:val="16"/>
          <w:color w:val="auto"/>
        </w:rPr>
        <w:t>AVITA Medical, Inc.</w:t>
      </w:r>
    </w:p>
    <w:p>
      <w:pPr>
        <w:spacing w:after="0" w:line="208" w:lineRule="exact"/>
        <w:rPr>
          <w:rFonts w:ascii="Arial" w:cs="Arial" w:eastAsia="Arial" w:hAnsi="Arial"/>
          <w:sz w:val="16"/>
          <w:szCs w:val="16"/>
          <w:color w:val="auto"/>
        </w:rPr>
      </w:pPr>
    </w:p>
    <w:p>
      <w:pPr>
        <w:ind w:left="4860"/>
        <w:spacing w:after="0"/>
        <w:rPr>
          <w:sz w:val="20"/>
          <w:szCs w:val="20"/>
          <w:color w:val="auto"/>
        </w:rPr>
      </w:pPr>
      <w:r>
        <w:rPr>
          <w:rFonts w:ascii="Arial" w:cs="Arial" w:eastAsia="Arial" w:hAnsi="Arial"/>
          <w:sz w:val="16"/>
          <w:szCs w:val="16"/>
          <w:color w:val="auto"/>
        </w:rPr>
        <w:t>28159 Avenue Stanford</w:t>
      </w:r>
    </w:p>
    <w:p>
      <w:pPr>
        <w:spacing w:after="0" w:line="194"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6"/>
          <w:szCs w:val="16"/>
          <w:color w:val="auto"/>
        </w:rPr>
        <w:t>Suite 220</w:t>
      </w:r>
    </w:p>
    <w:p>
      <w:pPr>
        <w:spacing w:after="0" w:line="22"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6"/>
          <w:szCs w:val="16"/>
          <w:color w:val="auto"/>
        </w:rPr>
        <w:t>Valencia, CA 91355</w:t>
      </w:r>
    </w:p>
    <w:p>
      <w:pPr>
        <w:spacing w:after="0" w:line="19"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6"/>
          <w:szCs w:val="16"/>
          <w:color w:val="auto"/>
        </w:rPr>
        <w:t>(661) 367-9170</w:t>
      </w:r>
    </w:p>
    <w:p>
      <w:pPr>
        <w:spacing w:after="0" w:line="19"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6"/>
          <w:szCs w:val="16"/>
          <w:color w:val="auto"/>
        </w:rPr>
        <w:t>Attn: Donna Shiroma, General Counsel</w:t>
      </w:r>
    </w:p>
    <w:p>
      <w:pPr>
        <w:spacing w:after="0" w:line="200" w:lineRule="exact"/>
        <w:rPr>
          <w:rFonts w:ascii="Arial" w:cs="Arial" w:eastAsia="Arial" w:hAnsi="Arial"/>
          <w:sz w:val="16"/>
          <w:szCs w:val="16"/>
          <w:color w:val="auto"/>
        </w:rPr>
      </w:pPr>
    </w:p>
    <w:p>
      <w:pPr>
        <w:spacing w:after="0" w:line="242"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18"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660"/>
        <w:spacing w:after="0"/>
        <w:rPr>
          <w:sz w:val="20"/>
          <w:szCs w:val="20"/>
          <w:color w:val="auto"/>
        </w:rPr>
      </w:pPr>
      <w:r>
        <w:rPr>
          <w:rFonts w:ascii="Arial" w:cs="Arial" w:eastAsia="Arial" w:hAnsi="Arial"/>
          <w:sz w:val="43"/>
          <w:szCs w:val="43"/>
          <w:b w:val="1"/>
          <w:bCs w:val="1"/>
          <w:color w:val="auto"/>
        </w:rPr>
        <w:t>AVITA Medical, Inc.</w:t>
      </w:r>
    </w:p>
    <w:p>
      <w:pPr>
        <w:spacing w:after="0" w:line="48" w:lineRule="exact"/>
        <w:rPr>
          <w:sz w:val="20"/>
          <w:szCs w:val="20"/>
          <w:color w:val="auto"/>
        </w:rPr>
      </w:pPr>
    </w:p>
    <w:p>
      <w:pPr>
        <w:jc w:val="right"/>
        <w:ind w:right="1659"/>
        <w:spacing w:after="0"/>
        <w:rPr>
          <w:sz w:val="20"/>
          <w:szCs w:val="20"/>
          <w:color w:val="auto"/>
        </w:rPr>
      </w:pPr>
      <w:r>
        <w:rPr>
          <w:rFonts w:ascii="Arial" w:cs="Arial" w:eastAsia="Arial" w:hAnsi="Arial"/>
          <w:sz w:val="24"/>
          <w:szCs w:val="24"/>
          <w:b w:val="1"/>
          <w:bCs w:val="1"/>
          <w:color w:val="auto"/>
        </w:rPr>
        <w:t>Warrant to Purchase 409,661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467995</wp:posOffset>
            </wp:positionV>
            <wp:extent cx="2023110" cy="2425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extLst>
                    </a:blip>
                    <a:srcRect/>
                    <a:stretch>
                      <a:fillRect/>
                    </a:stretch>
                  </pic:blipFill>
                  <pic:spPr bwMode="auto">
                    <a:xfrm>
                      <a:off x="0" y="0"/>
                      <a:ext cx="202311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420"/>
        <w:spacing w:after="0"/>
        <w:rPr>
          <w:sz w:val="20"/>
          <w:szCs w:val="20"/>
          <w:color w:val="auto"/>
        </w:rPr>
      </w:pPr>
      <w:r>
        <w:rPr>
          <w:rFonts w:ascii="Arial" w:cs="Arial" w:eastAsia="Arial" w:hAnsi="Arial"/>
          <w:sz w:val="24"/>
          <w:szCs w:val="24"/>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October 18, 2023</w:t>
      </w:r>
    </w:p>
    <w:p>
      <w:pPr>
        <w:spacing w:after="0" w:line="22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18" w:right="1440" w:bottom="1440"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jpe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9" Type="http://schemas.openxmlformats.org/officeDocument/2006/relationships/image" Target="media/image36.png"/><Relationship Id="rId60" Type="http://schemas.openxmlformats.org/officeDocument/2006/relationships/image" Target="media/image37.jpeg"/><Relationship Id="rId61"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png"/><Relationship Id="rId27" Type="http://schemas.openxmlformats.org/officeDocument/2006/relationships/hyperlink" Target="https://www.sec.gov/ix?doc=/Archives/edgar/data/1762303/000156459023002302/rcel-10k_20221231.htm" TargetMode="External"/><Relationship Id="rId28" Type="http://schemas.openxmlformats.org/officeDocument/2006/relationships/hyperlink" Target="https://www.sec.gov/ix?doc=/Archives/edgar/data/1762303/000095017023021310/rcel-20230331.htm" TargetMode="External"/><Relationship Id="rId29" Type="http://schemas.openxmlformats.org/officeDocument/2006/relationships/hyperlink" Target="https://www.sec.gov/ix?doc=/Archives/edgar/data/1762303/000095017023041304/rcel-20230630.htm" TargetMode="External"/><Relationship Id="rId30" Type="http://schemas.openxmlformats.org/officeDocument/2006/relationships/hyperlink" Target="https://www.sec.gov/ix?doc=/Archives/edgar/data/0001762303/000119312523011170/d416307d8k.htm" TargetMode="External"/><Relationship Id="rId31" Type="http://schemas.openxmlformats.org/officeDocument/2006/relationships/hyperlink" Target="https://www.sec.gov/ix?doc=/Archives/edgar/data/0001762303/000119312523075191/d467079d8k.htm" TargetMode="External"/><Relationship Id="rId32" Type="http://schemas.openxmlformats.org/officeDocument/2006/relationships/hyperlink" Target="https://www.sec.gov/ix?doc=/Archives/edgar/data/0001762303/000119312523076835/d804540d8k.htm" TargetMode="External"/><Relationship Id="rId33" Type="http://schemas.openxmlformats.org/officeDocument/2006/relationships/hyperlink" Target="https://www.sec.gov/ix?doc=/Archives/edgar/data/0001762303/000119312523080474/d468715d8k.htm" TargetMode="External"/><Relationship Id="rId34" Type="http://schemas.openxmlformats.org/officeDocument/2006/relationships/hyperlink" Target="https://www.sec.gov/ix?doc=/Archives/edgar/data/0001762303/000119312523143451/d478946d8k.htm" TargetMode="External"/><Relationship Id="rId35" Type="http://schemas.openxmlformats.org/officeDocument/2006/relationships/hyperlink" Target="https://www.sec.gov/ix?doc=/Archives/edgar/data/0001762303/000119312523162334/d488776d8k.htm" TargetMode="External"/><Relationship Id="rId36" Type="http://schemas.openxmlformats.org/officeDocument/2006/relationships/hyperlink" Target="https://www.sec.gov/ix?doc=/Archives/edgar/data/0001762303/000119312523168182/d522351d8k.htm" TargetMode="External"/><Relationship Id="rId37" Type="http://schemas.openxmlformats.org/officeDocument/2006/relationships/hyperlink" Target="https://www.sec.gov/ix?doc=/Archives/edgar/data/1762303/000095017023050935/rcel-20231002.htm" TargetMode="External"/><Relationship Id="rId38" Type="http://schemas.openxmlformats.org/officeDocument/2006/relationships/hyperlink" Target="https://www.sec.gov/Archives/edgar/data/1762303/000156459023002302/rcel-ex41_1810.htm" TargetMode="External"/><Relationship Id="rId55" Type="http://schemas.openxmlformats.org/officeDocument/2006/relationships/hyperlink" Target="https://www.sec.gov/ix?doc=/Archives/edgar/data/1762303/000119312523011170/d416307d8k.htm" TargetMode="External"/><Relationship Id="rId56" Type="http://schemas.openxmlformats.org/officeDocument/2006/relationships/hyperlink" Target="https://www.sec.gov/ix?doc=/Archives/edgar/data/1762303/000119312523075191/d467079d8k.htm" TargetMode="External"/><Relationship Id="rId57" Type="http://schemas.openxmlformats.org/officeDocument/2006/relationships/hyperlink" Target="https://www.sec.gov/ix?doc=/Archives/edgar/data/1762303/000119312523076835/d804540d8k.htm" TargetMode="External"/><Relationship Id="rId58" Type="http://schemas.openxmlformats.org/officeDocument/2006/relationships/hyperlink" Target="https://www.sec.gov/ix?doc=/Archives/edgar/data/1762303/000119312523080474/d46871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2023-10-18T08:15:51Z</dcterms:created>
  <dcterms:modified xsi:type="dcterms:W3CDTF">2023-10-18T08:15:51Z</dcterms:modified>
</cp:coreProperties>
</file>