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June 22, 2020</w:t>
      </w:r>
    </w:p>
    <w:p>
      <w:pPr>
        <w:spacing w:after="0" w:line="22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51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860"/>
        <w:spacing w:after="0" w:line="207" w:lineRule="exact"/>
        <w:tabs>
          <w:tab w:leader="none" w:pos="59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82-______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32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AVITA MEDICAL LIMITED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6-K</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0020" w:type="dxa"/>
            <w:vAlign w:val="bottom"/>
            <w:vMerge w:val="restart"/>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Explanatory Note</w:t>
              </w:r>
            </w:hyperlink>
          </w:p>
        </w:tc>
        <w:tc>
          <w:tcPr>
            <w:tcW w:w="960" w:type="dxa"/>
            <w:vAlign w:val="bottom"/>
            <w:gridSpan w:val="2"/>
          </w:tcPr>
          <w:p>
            <w:pPr>
              <w:ind w:left="3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10020" w:type="dxa"/>
            <w:vAlign w:val="bottom"/>
            <w:vMerge w:val="continue"/>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Page 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Signatures</w:t>
              </w:r>
            </w:hyperlink>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Page 3</w:t>
            </w:r>
          </w:p>
        </w:tc>
        <w:tc>
          <w:tcPr>
            <w:tcW w:w="0" w:type="dxa"/>
            <w:vAlign w:val="bottom"/>
          </w:tcPr>
          <w:p>
            <w:pPr>
              <w:spacing w:after="0"/>
              <w:rPr>
                <w:sz w:val="1"/>
                <w:szCs w:val="1"/>
                <w:color w:val="auto"/>
              </w:rPr>
            </w:pPr>
          </w:p>
        </w:tc>
      </w:tr>
      <w:tr>
        <w:trPr>
          <w:trHeight w:val="230"/>
        </w:trPr>
        <w:tc>
          <w:tcPr>
            <w:tcW w:w="100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Public Notice—Proposed redomiciliation to the United States of America—Court approves scheme of arrangement</w:t>
              </w:r>
            </w:hyperlink>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Exhibit 99.1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Avita Medical Limited (the “Company”) published a news release titled “Proposed redomiciliation to the United States of America—Court approves scheme of arrangement” (the “Public Notice”) to the Australian Securities Exchange on June 22, 2020. A copy of the Public Notice is attached as exhibit 99.1 to this report on Form 6-K.</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This report on Form 6-K (including the exhibit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David McIntyre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David McIntyre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June 22, 2020</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08405" cy="52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840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ASX/News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Limited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redomiciliation to the United States of America—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Court approves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Valencia, Calif., USA, and Melbourne, Australia, 22 June 2020: </w:t>
      </w:r>
      <w:r>
        <w:rPr>
          <w:rFonts w:ascii="Arial" w:cs="Arial" w:eastAsia="Arial" w:hAnsi="Arial"/>
          <w:sz w:val="16"/>
          <w:szCs w:val="16"/>
          <w:color w:val="auto"/>
        </w:rPr>
        <w:t>AVITA Medical Limited ACN 058 466 523 (</w:t>
      </w:r>
      <w:r>
        <w:rPr>
          <w:rFonts w:ascii="Arial" w:cs="Arial" w:eastAsia="Arial" w:hAnsi="Arial"/>
          <w:sz w:val="16"/>
          <w:szCs w:val="16"/>
          <w:b w:val="1"/>
          <w:bCs w:val="1"/>
          <w:color w:val="auto"/>
        </w:rPr>
        <w:t>Company</w:t>
      </w:r>
      <w:r>
        <w:rPr>
          <w:rFonts w:ascii="Arial" w:cs="Arial" w:eastAsia="Arial" w:hAnsi="Arial"/>
          <w:sz w:val="16"/>
          <w:szCs w:val="16"/>
          <w:color w:val="auto"/>
        </w:rPr>
        <w:t>) is pleased to announce that</w:t>
      </w:r>
      <w:r>
        <w:rPr>
          <w:rFonts w:ascii="Arial" w:cs="Arial" w:eastAsia="Arial" w:hAnsi="Arial"/>
          <w:sz w:val="16"/>
          <w:szCs w:val="16"/>
          <w:b w:val="1"/>
          <w:bCs w:val="1"/>
          <w:color w:val="auto"/>
        </w:rPr>
        <w:t xml:space="preserve"> </w:t>
      </w:r>
      <w:r>
        <w:rPr>
          <w:rFonts w:ascii="Arial" w:cs="Arial" w:eastAsia="Arial" w:hAnsi="Arial"/>
          <w:sz w:val="16"/>
          <w:szCs w:val="16"/>
          <w:color w:val="auto"/>
        </w:rPr>
        <w:t>the Federal Court of Australia (</w:t>
      </w:r>
      <w:r>
        <w:rPr>
          <w:rFonts w:ascii="Arial" w:cs="Arial" w:eastAsia="Arial" w:hAnsi="Arial"/>
          <w:sz w:val="16"/>
          <w:szCs w:val="16"/>
          <w:b w:val="1"/>
          <w:bCs w:val="1"/>
          <w:color w:val="auto"/>
        </w:rPr>
        <w:t>Court</w:t>
      </w:r>
      <w:r>
        <w:rPr>
          <w:rFonts w:ascii="Arial" w:cs="Arial" w:eastAsia="Arial" w:hAnsi="Arial"/>
          <w:sz w:val="16"/>
          <w:szCs w:val="16"/>
          <w:color w:val="auto"/>
        </w:rPr>
        <w:t>) has today approved the scheme of arrangement to effect a redomiciliation of the Company and its subsidiaries (</w:t>
      </w:r>
      <w:r>
        <w:rPr>
          <w:rFonts w:ascii="Arial" w:cs="Arial" w:eastAsia="Arial" w:hAnsi="Arial"/>
          <w:sz w:val="16"/>
          <w:szCs w:val="16"/>
          <w:b w:val="1"/>
          <w:bCs w:val="1"/>
          <w:color w:val="auto"/>
        </w:rPr>
        <w:t>Avita Group</w:t>
      </w:r>
      <w:r>
        <w:rPr>
          <w:rFonts w:ascii="Arial" w:cs="Arial" w:eastAsia="Arial" w:hAnsi="Arial"/>
          <w:sz w:val="16"/>
          <w:szCs w:val="16"/>
          <w:color w:val="auto"/>
        </w:rPr>
        <w:t>) from Australia to the United States of America (</w:t>
      </w:r>
      <w:r>
        <w:rPr>
          <w:rFonts w:ascii="Arial" w:cs="Arial" w:eastAsia="Arial" w:hAnsi="Arial"/>
          <w:sz w:val="16"/>
          <w:szCs w:val="16"/>
          <w:b w:val="1"/>
          <w:bCs w:val="1"/>
          <w:color w:val="auto"/>
        </w:rPr>
        <w:t>Scheme</w:t>
      </w:r>
      <w:r>
        <w:rPr>
          <w:rFonts w:ascii="Arial" w:cs="Arial" w:eastAsia="Arial" w:hAnsi="Arial"/>
          <w:sz w:val="16"/>
          <w:szCs w:val="16"/>
          <w:color w:val="auto"/>
        </w:rPr>
        <w:t>), under which AVITA Therapeutics, Inc. ARBN 641 288 155 (</w:t>
      </w:r>
      <w:r>
        <w:rPr>
          <w:rFonts w:ascii="Arial" w:cs="Arial" w:eastAsia="Arial" w:hAnsi="Arial"/>
          <w:sz w:val="16"/>
          <w:szCs w:val="16"/>
          <w:b w:val="1"/>
          <w:bCs w:val="1"/>
          <w:color w:val="auto"/>
        </w:rPr>
        <w:t>Avita US</w:t>
      </w:r>
      <w:r>
        <w:rPr>
          <w:rFonts w:ascii="Arial" w:cs="Arial" w:eastAsia="Arial" w:hAnsi="Arial"/>
          <w:sz w:val="16"/>
          <w:szCs w:val="16"/>
          <w:color w:val="auto"/>
        </w:rPr>
        <w:t>), a company incorporated in the State of Delaware in the United States of America, will become the parent company of the Avita Group.</w:t>
      </w:r>
    </w:p>
    <w:p>
      <w:pPr>
        <w:spacing w:after="0" w:line="15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The Company expects to lodge a copy of the Court orders with the Australian Securities and Investments Commission (</w:t>
      </w:r>
      <w:r>
        <w:rPr>
          <w:rFonts w:ascii="Arial" w:cs="Arial" w:eastAsia="Arial" w:hAnsi="Arial"/>
          <w:sz w:val="18"/>
          <w:szCs w:val="18"/>
          <w:b w:val="1"/>
          <w:bCs w:val="1"/>
          <w:color w:val="auto"/>
        </w:rPr>
        <w:t>ASIC</w:t>
      </w:r>
      <w:r>
        <w:rPr>
          <w:rFonts w:ascii="Arial" w:cs="Arial" w:eastAsia="Arial" w:hAnsi="Arial"/>
          <w:sz w:val="18"/>
          <w:szCs w:val="18"/>
          <w:color w:val="auto"/>
        </w:rPr>
        <w:t>) tomorrow (Tuesday, 23 June 2020). Once the orders are registered with ASIC, the Scheme will become effective.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shares will be suspended from trading on the ASX from close of trading on Tuesday, 23 June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expected timetable for implementation of the Scheme is set out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Event</w:t>
            </w:r>
          </w:p>
        </w:tc>
        <w:tc>
          <w:tcPr>
            <w:tcW w:w="7780" w:type="dxa"/>
            <w:vAlign w:val="bottom"/>
          </w:tcPr>
          <w:p>
            <w:pPr>
              <w:spacing w:after="0"/>
              <w:rPr>
                <w:sz w:val="16"/>
                <w:szCs w:val="16"/>
                <w:color w:val="auto"/>
              </w:rPr>
            </w:pPr>
          </w:p>
        </w:tc>
        <w:tc>
          <w:tcPr>
            <w:tcW w:w="288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Indicative Date</w:t>
            </w:r>
          </w:p>
        </w:tc>
        <w:tc>
          <w:tcPr>
            <w:tcW w:w="0" w:type="dxa"/>
            <w:vAlign w:val="bottom"/>
          </w:tcPr>
          <w:p>
            <w:pPr>
              <w:spacing w:after="0"/>
              <w:rPr>
                <w:sz w:val="1"/>
                <w:szCs w:val="1"/>
                <w:color w:val="auto"/>
              </w:rPr>
            </w:pPr>
          </w:p>
        </w:tc>
      </w:tr>
      <w:tr>
        <w:trPr>
          <w:trHeight w:val="217"/>
        </w:trPr>
        <w:tc>
          <w:tcPr>
            <w:tcW w:w="8140" w:type="dxa"/>
            <w:vAlign w:val="bottom"/>
            <w:gridSpan w:val="2"/>
          </w:tcPr>
          <w:p>
            <w:pPr>
              <w:spacing w:after="0"/>
              <w:rPr>
                <w:sz w:val="20"/>
                <w:szCs w:val="20"/>
                <w:color w:val="auto"/>
              </w:rPr>
            </w:pPr>
            <w:r>
              <w:rPr>
                <w:rFonts w:ascii="Arial" w:cs="Arial" w:eastAsia="Arial" w:hAnsi="Arial"/>
                <w:sz w:val="18"/>
                <w:szCs w:val="18"/>
                <w:color w:val="auto"/>
              </w:rPr>
              <w:t>Effective Date for the Scheme</w:t>
            </w:r>
          </w:p>
        </w:tc>
        <w:tc>
          <w:tcPr>
            <w:tcW w:w="2880" w:type="dxa"/>
            <w:vAlign w:val="bottom"/>
          </w:tcPr>
          <w:p>
            <w:pPr>
              <w:ind w:left="20"/>
              <w:spacing w:after="0"/>
              <w:rPr>
                <w:sz w:val="20"/>
                <w:szCs w:val="20"/>
                <w:color w:val="auto"/>
              </w:rPr>
            </w:pPr>
            <w:r>
              <w:rPr>
                <w:rFonts w:ascii="Arial" w:cs="Arial" w:eastAsia="Arial" w:hAnsi="Arial"/>
                <w:sz w:val="18"/>
                <w:szCs w:val="18"/>
                <w:color w:val="auto"/>
              </w:rPr>
              <w:t>23 June 2020</w:t>
            </w:r>
          </w:p>
        </w:tc>
        <w:tc>
          <w:tcPr>
            <w:tcW w:w="0" w:type="dxa"/>
            <w:vAlign w:val="bottom"/>
          </w:tcPr>
          <w:p>
            <w:pPr>
              <w:spacing w:after="0"/>
              <w:rPr>
                <w:sz w:val="1"/>
                <w:szCs w:val="1"/>
                <w:color w:val="auto"/>
              </w:rPr>
            </w:pPr>
          </w:p>
        </w:tc>
      </w:tr>
      <w:tr>
        <w:trPr>
          <w:trHeight w:val="404"/>
        </w:trPr>
        <w:tc>
          <w:tcPr>
            <w:tcW w:w="8140" w:type="dxa"/>
            <w:vAlign w:val="bottom"/>
            <w:gridSpan w:val="2"/>
          </w:tcPr>
          <w:p>
            <w:pPr>
              <w:spacing w:after="0"/>
              <w:rPr>
                <w:sz w:val="20"/>
                <w:szCs w:val="20"/>
                <w:color w:val="auto"/>
              </w:rPr>
            </w:pPr>
            <w:r>
              <w:rPr>
                <w:rFonts w:ascii="Arial" w:cs="Arial" w:eastAsia="Arial" w:hAnsi="Arial"/>
                <w:sz w:val="18"/>
                <w:szCs w:val="18"/>
                <w:color w:val="auto"/>
              </w:rPr>
              <w:t>Last day of trading of the Company’s shares on the ASX</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140" w:type="dxa"/>
            <w:vAlign w:val="bottom"/>
            <w:gridSpan w:val="2"/>
          </w:tcPr>
          <w:p>
            <w:pPr>
              <w:spacing w:after="0"/>
              <w:rPr>
                <w:sz w:val="20"/>
                <w:szCs w:val="20"/>
                <w:color w:val="auto"/>
              </w:rPr>
            </w:pPr>
            <w:r>
              <w:rPr>
                <w:rFonts w:ascii="Arial" w:cs="Arial" w:eastAsia="Arial" w:hAnsi="Arial"/>
                <w:sz w:val="18"/>
                <w:szCs w:val="18"/>
                <w:color w:val="auto"/>
              </w:rPr>
              <w:t>Listing of Avita US on the ASX</w:t>
            </w:r>
          </w:p>
        </w:tc>
        <w:tc>
          <w:tcPr>
            <w:tcW w:w="2880" w:type="dxa"/>
            <w:vAlign w:val="bottom"/>
          </w:tcPr>
          <w:p>
            <w:pPr>
              <w:ind w:left="20"/>
              <w:spacing w:after="0"/>
              <w:rPr>
                <w:sz w:val="20"/>
                <w:szCs w:val="20"/>
                <w:color w:val="auto"/>
              </w:rPr>
            </w:pPr>
            <w:r>
              <w:rPr>
                <w:rFonts w:ascii="Arial" w:cs="Arial" w:eastAsia="Arial" w:hAnsi="Arial"/>
                <w:sz w:val="18"/>
                <w:szCs w:val="18"/>
                <w:color w:val="auto"/>
              </w:rPr>
              <w:t>24 June 2020</w:t>
            </w:r>
          </w:p>
        </w:tc>
        <w:tc>
          <w:tcPr>
            <w:tcW w:w="0" w:type="dxa"/>
            <w:vAlign w:val="bottom"/>
          </w:tcPr>
          <w:p>
            <w:pPr>
              <w:spacing w:after="0"/>
              <w:rPr>
                <w:sz w:val="1"/>
                <w:szCs w:val="1"/>
                <w:color w:val="auto"/>
              </w:rPr>
            </w:pPr>
          </w:p>
        </w:tc>
      </w:tr>
      <w:tr>
        <w:trPr>
          <w:trHeight w:val="338"/>
        </w:trPr>
        <w:tc>
          <w:tcPr>
            <w:tcW w:w="8140" w:type="dxa"/>
            <w:vAlign w:val="bottom"/>
            <w:gridSpan w:val="2"/>
          </w:tcPr>
          <w:p>
            <w:pPr>
              <w:spacing w:after="0"/>
              <w:rPr>
                <w:sz w:val="20"/>
                <w:szCs w:val="20"/>
                <w:color w:val="auto"/>
              </w:rPr>
            </w:pPr>
            <w:r>
              <w:rPr>
                <w:rFonts w:ascii="Arial" w:cs="Arial" w:eastAsia="Arial" w:hAnsi="Arial"/>
                <w:sz w:val="18"/>
                <w:szCs w:val="18"/>
                <w:color w:val="auto"/>
                <w:w w:val="92"/>
              </w:rPr>
              <w:t>Trading of Avita US Chess Depositary Interests (</w:t>
            </w:r>
            <w:r>
              <w:rPr>
                <w:rFonts w:ascii="Arial" w:cs="Arial" w:eastAsia="Arial" w:hAnsi="Arial"/>
                <w:sz w:val="18"/>
                <w:szCs w:val="18"/>
                <w:b w:val="1"/>
                <w:bCs w:val="1"/>
                <w:color w:val="auto"/>
                <w:w w:val="92"/>
              </w:rPr>
              <w:t>CDIs</w:t>
            </w:r>
            <w:r>
              <w:rPr>
                <w:rFonts w:ascii="Arial" w:cs="Arial" w:eastAsia="Arial" w:hAnsi="Arial"/>
                <w:sz w:val="18"/>
                <w:szCs w:val="18"/>
                <w:color w:val="auto"/>
                <w:w w:val="92"/>
              </w:rPr>
              <w:t>) commences on the ASX on a deferred settlement basis</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140" w:type="dxa"/>
            <w:vAlign w:val="bottom"/>
            <w:gridSpan w:val="2"/>
          </w:tcPr>
          <w:p>
            <w:pPr>
              <w:spacing w:after="0"/>
              <w:rPr>
                <w:sz w:val="20"/>
                <w:szCs w:val="20"/>
                <w:color w:val="auto"/>
              </w:rPr>
            </w:pPr>
            <w:r>
              <w:rPr>
                <w:rFonts w:ascii="Arial" w:cs="Arial" w:eastAsia="Arial" w:hAnsi="Arial"/>
                <w:sz w:val="18"/>
                <w:szCs w:val="18"/>
                <w:color w:val="auto"/>
                <w:w w:val="92"/>
              </w:rPr>
              <w:t>Record Date (for determining the entitlements of shareholders of the Company to Avita US shares or Avita US</w:t>
            </w:r>
          </w:p>
        </w:tc>
        <w:tc>
          <w:tcPr>
            <w:tcW w:w="2880" w:type="dxa"/>
            <w:vAlign w:val="bottom"/>
          </w:tcPr>
          <w:p>
            <w:pPr>
              <w:ind w:left="20"/>
              <w:spacing w:after="0"/>
              <w:rPr>
                <w:sz w:val="20"/>
                <w:szCs w:val="20"/>
                <w:color w:val="auto"/>
              </w:rPr>
            </w:pPr>
            <w:r>
              <w:rPr>
                <w:rFonts w:ascii="Arial" w:cs="Arial" w:eastAsia="Arial" w:hAnsi="Arial"/>
                <w:sz w:val="18"/>
                <w:szCs w:val="18"/>
                <w:color w:val="auto"/>
              </w:rPr>
              <w:t>7.00pm (AEST) on 25 June 2020</w:t>
            </w:r>
          </w:p>
        </w:tc>
        <w:tc>
          <w:tcPr>
            <w:tcW w:w="0" w:type="dxa"/>
            <w:vAlign w:val="bottom"/>
          </w:tcPr>
          <w:p>
            <w:pPr>
              <w:spacing w:after="0"/>
              <w:rPr>
                <w:sz w:val="1"/>
                <w:szCs w:val="1"/>
                <w:color w:val="auto"/>
              </w:rPr>
            </w:pP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CDIs)</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140" w:type="dxa"/>
            <w:vAlign w:val="bottom"/>
            <w:gridSpan w:val="2"/>
          </w:tcPr>
          <w:p>
            <w:pPr>
              <w:spacing w:after="0"/>
              <w:rPr>
                <w:sz w:val="20"/>
                <w:szCs w:val="20"/>
                <w:color w:val="auto"/>
              </w:rPr>
            </w:pPr>
            <w:r>
              <w:rPr>
                <w:rFonts w:ascii="Arial" w:cs="Arial" w:eastAsia="Arial" w:hAnsi="Arial"/>
                <w:sz w:val="18"/>
                <w:szCs w:val="18"/>
                <w:color w:val="auto"/>
              </w:rPr>
              <w:t>Last day of trading of the Company’s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on NASDAQ</w:t>
            </w:r>
          </w:p>
        </w:tc>
        <w:tc>
          <w:tcPr>
            <w:tcW w:w="2880" w:type="dxa"/>
            <w:vAlign w:val="bottom"/>
          </w:tcPr>
          <w:p>
            <w:pPr>
              <w:ind w:left="20"/>
              <w:spacing w:after="0"/>
              <w:rPr>
                <w:sz w:val="20"/>
                <w:szCs w:val="20"/>
                <w:color w:val="auto"/>
              </w:rPr>
            </w:pPr>
            <w:r>
              <w:rPr>
                <w:rFonts w:ascii="Arial" w:cs="Arial" w:eastAsia="Arial" w:hAnsi="Arial"/>
                <w:sz w:val="18"/>
                <w:szCs w:val="18"/>
                <w:color w:val="auto"/>
              </w:rPr>
              <w:t>29 June 2020</w:t>
            </w:r>
          </w:p>
        </w:tc>
        <w:tc>
          <w:tcPr>
            <w:tcW w:w="0" w:type="dxa"/>
            <w:vAlign w:val="bottom"/>
          </w:tcPr>
          <w:p>
            <w:pPr>
              <w:spacing w:after="0"/>
              <w:rPr>
                <w:sz w:val="1"/>
                <w:szCs w:val="1"/>
                <w:color w:val="auto"/>
              </w:rPr>
            </w:pPr>
          </w:p>
        </w:tc>
      </w:tr>
      <w:tr>
        <w:trPr>
          <w:trHeight w:val="338"/>
        </w:trPr>
        <w:tc>
          <w:tcPr>
            <w:tcW w:w="8140" w:type="dxa"/>
            <w:vAlign w:val="bottom"/>
            <w:gridSpan w:val="2"/>
          </w:tcPr>
          <w:p>
            <w:pPr>
              <w:spacing w:after="0"/>
              <w:rPr>
                <w:sz w:val="20"/>
                <w:szCs w:val="20"/>
                <w:color w:val="auto"/>
              </w:rPr>
            </w:pPr>
            <w:r>
              <w:rPr>
                <w:rFonts w:ascii="Arial" w:cs="Arial" w:eastAsia="Arial" w:hAnsi="Arial"/>
                <w:sz w:val="18"/>
                <w:szCs w:val="18"/>
                <w:color w:val="auto"/>
              </w:rPr>
              <w:t>Last day of trading of Avita US CDIs on the ASX on a deferred settlement basis</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140" w:type="dxa"/>
            <w:vAlign w:val="bottom"/>
            <w:gridSpan w:val="2"/>
          </w:tcPr>
          <w:p>
            <w:pPr>
              <w:spacing w:after="0"/>
              <w:rPr>
                <w:sz w:val="20"/>
                <w:szCs w:val="20"/>
                <w:color w:val="auto"/>
              </w:rPr>
            </w:pPr>
            <w:r>
              <w:rPr>
                <w:rFonts w:ascii="Arial" w:cs="Arial" w:eastAsia="Arial" w:hAnsi="Arial"/>
                <w:sz w:val="18"/>
                <w:szCs w:val="18"/>
                <w:color w:val="auto"/>
              </w:rPr>
              <w:t>Implementation Date</w:t>
            </w:r>
          </w:p>
        </w:tc>
        <w:tc>
          <w:tcPr>
            <w:tcW w:w="2880" w:type="dxa"/>
            <w:vAlign w:val="bottom"/>
          </w:tcPr>
          <w:p>
            <w:pPr>
              <w:ind w:left="20"/>
              <w:spacing w:after="0"/>
              <w:rPr>
                <w:sz w:val="20"/>
                <w:szCs w:val="20"/>
                <w:color w:val="auto"/>
              </w:rPr>
            </w:pPr>
            <w:r>
              <w:rPr>
                <w:rFonts w:ascii="Arial" w:cs="Arial" w:eastAsia="Arial" w:hAnsi="Arial"/>
                <w:sz w:val="18"/>
                <w:szCs w:val="18"/>
                <w:color w:val="auto"/>
              </w:rPr>
              <w:t>29 June 2020</w:t>
            </w:r>
          </w:p>
        </w:tc>
        <w:tc>
          <w:tcPr>
            <w:tcW w:w="0" w:type="dxa"/>
            <w:vAlign w:val="bottom"/>
          </w:tcPr>
          <w:p>
            <w:pPr>
              <w:spacing w:after="0"/>
              <w:rPr>
                <w:sz w:val="1"/>
                <w:szCs w:val="1"/>
                <w:color w:val="auto"/>
              </w:rPr>
            </w:pPr>
          </w:p>
        </w:tc>
      </w:tr>
      <w:tr>
        <w:trPr>
          <w:trHeight w:val="338"/>
        </w:trPr>
        <w:tc>
          <w:tcPr>
            <w:tcW w:w="8140" w:type="dxa"/>
            <w:vAlign w:val="bottom"/>
            <w:gridSpan w:val="2"/>
          </w:tcPr>
          <w:p>
            <w:pPr>
              <w:spacing w:after="0"/>
              <w:rPr>
                <w:sz w:val="20"/>
                <w:szCs w:val="20"/>
                <w:color w:val="auto"/>
              </w:rPr>
            </w:pPr>
            <w:r>
              <w:rPr>
                <w:rFonts w:ascii="Arial" w:cs="Arial" w:eastAsia="Arial" w:hAnsi="Arial"/>
                <w:sz w:val="18"/>
                <w:szCs w:val="18"/>
                <w:color w:val="auto"/>
              </w:rPr>
              <w:t>Issue of Avita US shares or Avita US CDIs to eligible shareholders of the Company</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140" w:type="dxa"/>
            <w:vAlign w:val="bottom"/>
            <w:gridSpan w:val="2"/>
          </w:tcPr>
          <w:p>
            <w:pPr>
              <w:spacing w:after="0"/>
              <w:rPr>
                <w:sz w:val="20"/>
                <w:szCs w:val="20"/>
                <w:color w:val="auto"/>
              </w:rPr>
            </w:pPr>
            <w:r>
              <w:rPr>
                <w:rFonts w:ascii="Arial" w:cs="Arial" w:eastAsia="Arial" w:hAnsi="Arial"/>
                <w:sz w:val="18"/>
                <w:szCs w:val="18"/>
                <w:color w:val="auto"/>
              </w:rPr>
              <w:t>Listing of Avita US on NASDAQ</w:t>
            </w:r>
          </w:p>
        </w:tc>
        <w:tc>
          <w:tcPr>
            <w:tcW w:w="2880" w:type="dxa"/>
            <w:vAlign w:val="bottom"/>
          </w:tcPr>
          <w:p>
            <w:pPr>
              <w:ind w:left="20"/>
              <w:spacing w:after="0"/>
              <w:rPr>
                <w:sz w:val="20"/>
                <w:szCs w:val="20"/>
                <w:color w:val="auto"/>
              </w:rPr>
            </w:pPr>
            <w:r>
              <w:rPr>
                <w:rFonts w:ascii="Arial" w:cs="Arial" w:eastAsia="Arial" w:hAnsi="Arial"/>
                <w:sz w:val="18"/>
                <w:szCs w:val="18"/>
                <w:color w:val="auto"/>
              </w:rPr>
              <w:t>Promptly following the</w:t>
            </w:r>
          </w:p>
        </w:tc>
        <w:tc>
          <w:tcPr>
            <w:tcW w:w="0" w:type="dxa"/>
            <w:vAlign w:val="bottom"/>
          </w:tcPr>
          <w:p>
            <w:pPr>
              <w:spacing w:after="0"/>
              <w:rPr>
                <w:sz w:val="1"/>
                <w:szCs w:val="1"/>
                <w:color w:val="auto"/>
              </w:rPr>
            </w:pPr>
          </w:p>
        </w:tc>
      </w:tr>
      <w:tr>
        <w:trPr>
          <w:trHeight w:val="230"/>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rPr>
              <w:t>Trading of Avita US Shares commences on NASDAQ</w:t>
            </w:r>
          </w:p>
        </w:tc>
        <w:tc>
          <w:tcPr>
            <w:tcW w:w="2880" w:type="dxa"/>
            <w:vAlign w:val="bottom"/>
          </w:tcPr>
          <w:p>
            <w:pPr>
              <w:ind w:left="20"/>
              <w:spacing w:after="0"/>
              <w:rPr>
                <w:sz w:val="20"/>
                <w:szCs w:val="20"/>
                <w:color w:val="auto"/>
              </w:rPr>
            </w:pPr>
            <w:r>
              <w:rPr>
                <w:rFonts w:ascii="Arial" w:cs="Arial" w:eastAsia="Arial" w:hAnsi="Arial"/>
                <w:sz w:val="18"/>
                <w:szCs w:val="18"/>
                <w:color w:val="auto"/>
              </w:rPr>
              <w:t>Implementation Date</w:t>
            </w:r>
          </w:p>
        </w:tc>
        <w:tc>
          <w:tcPr>
            <w:tcW w:w="0" w:type="dxa"/>
            <w:vAlign w:val="bottom"/>
          </w:tcPr>
          <w:p>
            <w:pPr>
              <w:spacing w:after="0"/>
              <w:rPr>
                <w:sz w:val="1"/>
                <w:szCs w:val="1"/>
                <w:color w:val="auto"/>
              </w:rPr>
            </w:pPr>
          </w:p>
        </w:tc>
      </w:tr>
      <w:tr>
        <w:trPr>
          <w:trHeight w:val="216"/>
        </w:trPr>
        <w:tc>
          <w:tcPr>
            <w:tcW w:w="8140" w:type="dxa"/>
            <w:vAlign w:val="bottom"/>
            <w:gridSpan w:val="2"/>
            <w:vMerge w:val="continue"/>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8140" w:type="dxa"/>
            <w:vAlign w:val="bottom"/>
            <w:gridSpan w:val="2"/>
          </w:tcPr>
          <w:p>
            <w:pPr>
              <w:spacing w:after="0"/>
              <w:rPr>
                <w:sz w:val="20"/>
                <w:szCs w:val="20"/>
                <w:color w:val="auto"/>
              </w:rPr>
            </w:pPr>
            <w:r>
              <w:rPr>
                <w:rFonts w:ascii="Arial" w:cs="Arial" w:eastAsia="Arial" w:hAnsi="Arial"/>
                <w:sz w:val="18"/>
                <w:szCs w:val="18"/>
                <w:color w:val="auto"/>
              </w:rPr>
              <w:t>Trading of Avita US CDIs commences on the ASX on a normal basis</w:t>
            </w:r>
          </w:p>
        </w:tc>
        <w:tc>
          <w:tcPr>
            <w:tcW w:w="2880" w:type="dxa"/>
            <w:vAlign w:val="bottom"/>
          </w:tcPr>
          <w:p>
            <w:pPr>
              <w:ind w:left="20"/>
              <w:spacing w:after="0"/>
              <w:rPr>
                <w:sz w:val="20"/>
                <w:szCs w:val="20"/>
                <w:color w:val="auto"/>
              </w:rPr>
            </w:pPr>
            <w:r>
              <w:rPr>
                <w:rFonts w:ascii="Arial" w:cs="Arial" w:eastAsia="Arial" w:hAnsi="Arial"/>
                <w:sz w:val="18"/>
                <w:szCs w:val="18"/>
                <w:color w:val="auto"/>
              </w:rPr>
              <w:t>30 June 2020</w:t>
            </w:r>
          </w:p>
        </w:tc>
        <w:tc>
          <w:tcPr>
            <w:tcW w:w="0" w:type="dxa"/>
            <w:vAlign w:val="bottom"/>
          </w:tcPr>
          <w:p>
            <w:pPr>
              <w:spacing w:after="0"/>
              <w:rPr>
                <w:sz w:val="1"/>
                <w:szCs w:val="1"/>
                <w:color w:val="auto"/>
              </w:rPr>
            </w:pPr>
          </w:p>
        </w:tc>
      </w:tr>
      <w:tr>
        <w:trPr>
          <w:trHeight w:val="365"/>
        </w:trPr>
        <w:tc>
          <w:tcPr>
            <w:tcW w:w="8140" w:type="dxa"/>
            <w:vAlign w:val="bottom"/>
            <w:gridSpan w:val="2"/>
          </w:tcPr>
          <w:p>
            <w:pPr>
              <w:ind w:left="5460"/>
              <w:spacing w:after="0"/>
              <w:rPr>
                <w:sz w:val="20"/>
                <w:szCs w:val="20"/>
                <w:color w:val="auto"/>
              </w:rPr>
            </w:pPr>
            <w:r>
              <w:rPr>
                <w:rFonts w:ascii="Arial" w:cs="Arial" w:eastAsia="Arial" w:hAnsi="Arial"/>
                <w:sz w:val="18"/>
                <w:szCs w:val="18"/>
                <w:color w:val="auto"/>
              </w:rPr>
              <w:t>1</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1020"/>
          </w:cols>
          <w:pgMar w:left="440" w:top="121" w:right="439" w:bottom="1440" w:gutter="0" w:footer="0" w:header="0"/>
        </w:sectPr>
      </w:pPr>
    </w:p>
    <w:bookmarkStart w:id="4" w:name="page5"/>
    <w:bookmarkEnd w:id="4"/>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changes to the above dates will be announced to the ASX and NASDAQ and via news release, and will also be notified on the Company’s website (www.avitamedical.com).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Authorised for release by the Chief Financial Officer of AVITA Medical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LIMITED</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w:t>
      </w:r>
    </w:p>
    <w:p>
      <w:pPr>
        <w:spacing w:after="0" w:line="17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INSTRUCTIONS FOR USE—RECELL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w:t>
      </w:r>
      <w:r>
        <w:rPr>
          <w:rFonts w:ascii="Arial" w:cs="Arial" w:eastAsia="Arial" w:hAnsi="Arial"/>
          <w:sz w:val="18"/>
          <w:szCs w:val="18"/>
          <w:u w:val="single" w:color="auto"/>
          <w:color w:val="auto"/>
        </w:rPr>
        <w:t>https://recellsystem.com/</w:t>
      </w:r>
      <w:r>
        <w:rPr>
          <w:rFonts w:ascii="Arial" w:cs="Arial" w:eastAsia="Arial" w:hAnsi="Arial"/>
          <w:sz w:val="18"/>
          <w:szCs w:val="18"/>
          <w:color w:val="auto"/>
        </w:rPr>
        <w:t>) for a full description of indications for use and important safety information including contraindications, warnings and precautions.</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This announcement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announcement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announcement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1000"/>
          </w:cols>
          <w:pgMar w:left="440" w:top="274" w:right="459" w:bottom="1440" w:gutter="0" w:footer="0" w:header="0"/>
        </w:sectPr>
      </w:pPr>
    </w:p>
    <w:bookmarkStart w:id="5" w:name="page6"/>
    <w:bookmarkEnd w:id="5"/>
    <w:p>
      <w:pPr>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forward-looking statements contained in this announcement. Investors are encouraged to read our publicly available filings for a discussion of these and other risks and uncertainties. The forward-looking statements in this announcement speak only as of the date of this release, and we undertake no obligation to update or revise any of these statements.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59"/>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Investors:</w:t>
            </w:r>
          </w:p>
        </w:tc>
      </w:tr>
      <w:tr>
        <w:trPr>
          <w:trHeight w:val="32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Westwicke Partners</w:t>
            </w:r>
          </w:p>
        </w:tc>
      </w:tr>
      <w:tr>
        <w:trPr>
          <w:trHeight w:val="338"/>
        </w:trPr>
        <w:tc>
          <w:tcPr>
            <w:tcW w:w="422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Caroline Corner</w:t>
            </w:r>
          </w:p>
        </w:tc>
      </w:tr>
      <w:tr>
        <w:trPr>
          <w:trHeight w:val="338"/>
        </w:trPr>
        <w:tc>
          <w:tcPr>
            <w:tcW w:w="4220" w:type="dxa"/>
            <w:vAlign w:val="bottom"/>
            <w:gridSpan w:val="2"/>
          </w:tcPr>
          <w:p>
            <w:pPr>
              <w:spacing w:after="0"/>
              <w:rPr>
                <w:sz w:val="20"/>
                <w:szCs w:val="20"/>
                <w:color w:val="auto"/>
              </w:rPr>
            </w:pPr>
            <w:r>
              <w:rPr>
                <w:rFonts w:ascii="Arial" w:cs="Arial" w:eastAsia="Arial" w:hAnsi="Arial"/>
                <w:sz w:val="18"/>
                <w:szCs w:val="18"/>
                <w:color w:val="auto"/>
              </w:rPr>
              <w:t>Phone +1 615 414 8668</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Phone +1 415 202 5678</w:t>
            </w:r>
          </w:p>
        </w:tc>
      </w:tr>
      <w:tr>
        <w:trPr>
          <w:trHeight w:val="297"/>
        </w:trPr>
        <w:tc>
          <w:tcPr>
            <w:tcW w:w="2220" w:type="dxa"/>
            <w:vAlign w:val="bottom"/>
          </w:tcPr>
          <w:p>
            <w:pPr>
              <w:spacing w:after="0"/>
              <w:rPr>
                <w:sz w:val="20"/>
                <w:szCs w:val="20"/>
                <w:color w:val="auto"/>
              </w:rPr>
            </w:pPr>
            <w:r>
              <w:rPr>
                <w:rFonts w:ascii="Arial" w:cs="Arial" w:eastAsia="Arial" w:hAnsi="Arial"/>
                <w:sz w:val="18"/>
                <w:szCs w:val="18"/>
                <w:color w:val="auto"/>
                <w:w w:val="90"/>
              </w:rPr>
              <w:t>christycurran@sambrown.com</w:t>
            </w:r>
          </w:p>
        </w:tc>
        <w:tc>
          <w:tcPr>
            <w:tcW w:w="2000" w:type="dxa"/>
            <w:vAlign w:val="bottom"/>
          </w:tcPr>
          <w:p>
            <w:pPr>
              <w:spacing w:after="0"/>
              <w:rPr>
                <w:sz w:val="24"/>
                <w:szCs w:val="24"/>
                <w:color w:val="auto"/>
              </w:rPr>
            </w:pP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w w:val="90"/>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4140" w:type="dxa"/>
            <w:vAlign w:val="bottom"/>
            <w:gridSpan w:val="2"/>
          </w:tcPr>
          <w:p>
            <w:pPr>
              <w:ind w:left="1980"/>
              <w:spacing w:after="0"/>
              <w:rPr>
                <w:sz w:val="20"/>
                <w:szCs w:val="20"/>
                <w:color w:val="auto"/>
              </w:rPr>
            </w:pPr>
            <w:r>
              <w:rPr>
                <w:rFonts w:ascii="Arial" w:cs="Arial" w:eastAsia="Arial" w:hAnsi="Arial"/>
                <w:sz w:val="18"/>
                <w:szCs w:val="18"/>
                <w:b w:val="1"/>
                <w:bCs w:val="1"/>
                <w:color w:val="auto"/>
              </w:rPr>
              <w:t>AVITA Medical Ltd</w:t>
            </w:r>
          </w:p>
        </w:tc>
      </w:tr>
      <w:tr>
        <w:trPr>
          <w:trHeight w:val="32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Monsoon Communications</w:t>
            </w:r>
          </w:p>
        </w:tc>
        <w:tc>
          <w:tcPr>
            <w:tcW w:w="4140" w:type="dxa"/>
            <w:vAlign w:val="bottom"/>
            <w:gridSpan w:val="2"/>
          </w:tcPr>
          <w:p>
            <w:pPr>
              <w:ind w:left="1980"/>
              <w:spacing w:after="0"/>
              <w:rPr>
                <w:sz w:val="20"/>
                <w:szCs w:val="20"/>
                <w:color w:val="auto"/>
              </w:rPr>
            </w:pPr>
            <w:r>
              <w:rPr>
                <w:rFonts w:ascii="Arial" w:cs="Arial" w:eastAsia="Arial" w:hAnsi="Arial"/>
                <w:sz w:val="18"/>
                <w:szCs w:val="18"/>
                <w:color w:val="auto"/>
              </w:rPr>
              <w:t>David McIntyre</w:t>
            </w:r>
          </w:p>
        </w:tc>
      </w:tr>
      <w:tr>
        <w:trPr>
          <w:trHeight w:val="338"/>
        </w:trPr>
        <w:tc>
          <w:tcPr>
            <w:tcW w:w="376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4140" w:type="dxa"/>
            <w:vAlign w:val="bottom"/>
            <w:gridSpan w:val="2"/>
          </w:tcPr>
          <w:p>
            <w:pPr>
              <w:ind w:left="1980"/>
              <w:spacing w:after="0"/>
              <w:rPr>
                <w:sz w:val="20"/>
                <w:szCs w:val="20"/>
                <w:color w:val="auto"/>
              </w:rPr>
            </w:pPr>
            <w:r>
              <w:rPr>
                <w:rFonts w:ascii="Arial" w:cs="Arial" w:eastAsia="Arial" w:hAnsi="Arial"/>
                <w:sz w:val="18"/>
                <w:szCs w:val="18"/>
                <w:color w:val="auto"/>
              </w:rPr>
              <w:t>Chief Financial Officer</w:t>
            </w:r>
          </w:p>
        </w:tc>
      </w:tr>
      <w:tr>
        <w:trPr>
          <w:trHeight w:val="338"/>
        </w:trPr>
        <w:tc>
          <w:tcPr>
            <w:tcW w:w="376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4140" w:type="dxa"/>
            <w:vAlign w:val="bottom"/>
            <w:gridSpan w:val="2"/>
          </w:tcPr>
          <w:p>
            <w:pPr>
              <w:ind w:left="1980"/>
              <w:spacing w:after="0"/>
              <w:rPr>
                <w:sz w:val="20"/>
                <w:szCs w:val="20"/>
                <w:color w:val="auto"/>
              </w:rPr>
            </w:pPr>
            <w:r>
              <w:rPr>
                <w:rFonts w:ascii="Arial" w:cs="Arial" w:eastAsia="Arial" w:hAnsi="Arial"/>
                <w:sz w:val="18"/>
                <w:szCs w:val="18"/>
                <w:color w:val="auto"/>
              </w:rPr>
              <w:t>Phone +1 661 367 9178</w:t>
            </w:r>
          </w:p>
        </w:tc>
      </w:tr>
      <w:tr>
        <w:trPr>
          <w:trHeight w:val="297"/>
        </w:trPr>
        <w:tc>
          <w:tcPr>
            <w:tcW w:w="3760" w:type="dxa"/>
            <w:vAlign w:val="bottom"/>
            <w:gridSpan w:val="2"/>
          </w:tcPr>
          <w:p>
            <w:pPr>
              <w:spacing w:after="0"/>
              <w:rPr>
                <w:sz w:val="20"/>
                <w:szCs w:val="20"/>
                <w:color w:val="auto"/>
              </w:rPr>
            </w:pPr>
            <w:r>
              <w:rPr>
                <w:rFonts w:ascii="Arial" w:cs="Arial" w:eastAsia="Arial" w:hAnsi="Arial"/>
                <w:sz w:val="18"/>
                <w:szCs w:val="18"/>
                <w:color w:val="auto"/>
              </w:rPr>
              <w:t>Mobile +61 (0)411 402 737</w:t>
            </w:r>
          </w:p>
        </w:tc>
        <w:tc>
          <w:tcPr>
            <w:tcW w:w="4140" w:type="dxa"/>
            <w:vAlign w:val="bottom"/>
            <w:gridSpan w:val="2"/>
          </w:tcPr>
          <w:p>
            <w:pPr>
              <w:ind w:left="1980"/>
              <w:spacing w:after="0"/>
              <w:rPr>
                <w:sz w:val="20"/>
                <w:szCs w:val="20"/>
                <w:color w:val="auto"/>
              </w:rPr>
            </w:pPr>
            <w:r>
              <w:rPr>
                <w:rFonts w:ascii="Arial" w:cs="Arial" w:eastAsia="Arial" w:hAnsi="Arial"/>
                <w:sz w:val="18"/>
                <w:szCs w:val="18"/>
                <w:color w:val="auto"/>
                <w:w w:val="90"/>
              </w:rPr>
              <w:t>dmcintyre@avitamedical.com</w:t>
            </w: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rudim@monsoon.com.au</w:t>
            </w:r>
          </w:p>
        </w:tc>
        <w:tc>
          <w:tcPr>
            <w:tcW w:w="1980" w:type="dxa"/>
            <w:vAlign w:val="bottom"/>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r>
      <w:tr>
        <w:trPr>
          <w:trHeight w:val="398"/>
        </w:trPr>
        <w:tc>
          <w:tcPr>
            <w:tcW w:w="182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ind w:left="1700"/>
              <w:spacing w:after="0"/>
              <w:rPr>
                <w:sz w:val="20"/>
                <w:szCs w:val="20"/>
                <w:color w:val="auto"/>
              </w:rPr>
            </w:pPr>
            <w:r>
              <w:rPr>
                <w:rFonts w:ascii="Arial" w:cs="Arial" w:eastAsia="Arial" w:hAnsi="Arial"/>
                <w:sz w:val="18"/>
                <w:szCs w:val="18"/>
                <w:color w:val="auto"/>
              </w:rPr>
              <w:t>3</w:t>
            </w:r>
          </w:p>
        </w:tc>
        <w:tc>
          <w:tcPr>
            <w:tcW w:w="2160" w:type="dxa"/>
            <w:vAlign w:val="bottom"/>
          </w:tcPr>
          <w:p>
            <w:pPr>
              <w:spacing w:after="0"/>
              <w:rPr>
                <w:sz w:val="24"/>
                <w:szCs w:val="24"/>
                <w:color w:val="auto"/>
              </w:rPr>
            </w:pPr>
          </w:p>
        </w:tc>
      </w:tr>
    </w:tbl>
    <w:p>
      <w:pPr>
        <w:spacing w:after="0" w:line="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sectPr>
      <w:pgSz w:w="11900" w:h="16838" w:orient="portrait"/>
      <w:cols w:equalWidth="0" w:num="1">
        <w:col w:w="10800"/>
      </w:cols>
      <w:pgMar w:left="440" w:top="27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2020-06-22T14:29:44Z</dcterms:created>
  <dcterms:modified xsi:type="dcterms:W3CDTF">2020-06-22T14:29:44Z</dcterms:modified>
</cp:coreProperties>
</file>