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167640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AVITA Medical,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151765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p>
      <w:pPr>
        <w:spacing w:after="0" w:line="200" w:lineRule="exact"/>
        <w:rPr>
          <w:sz w:val="24"/>
          <w:szCs w:val="24"/>
          <w:color w:val="auto"/>
        </w:rPr>
      </w:pPr>
    </w:p>
    <w:p>
      <w:pPr>
        <w:spacing w:after="0" w:line="222"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1"/>
          <w:szCs w:val="11"/>
          <w:b w:val="1"/>
          <w:bCs w:val="1"/>
          <w:color w:val="auto"/>
        </w:rPr>
        <w:t>85-1021707</w:t>
      </w:r>
    </w:p>
    <w:p>
      <w:pPr>
        <w:spacing w:after="0" w:line="12" w:lineRule="exact"/>
        <w:rPr>
          <w:sz w:val="24"/>
          <w:szCs w:val="24"/>
          <w:color w:val="auto"/>
        </w:rPr>
      </w:pPr>
    </w:p>
    <w:p>
      <w:pPr>
        <w:sectPr>
          <w:pgSz w:w="11900" w:h="16838" w:orient="portrait"/>
          <w:cols w:equalWidth="0" w:num="3">
            <w:col w:w="3600" w:space="720"/>
            <w:col w:w="1680" w:space="720"/>
            <w:col w:w="2299"/>
          </w:cols>
          <w:pgMar w:left="1440" w:top="297" w:right="1440" w:bottom="1440" w:gutter="0" w:footer="0" w:header="0"/>
          <w:type w:val="continuous"/>
        </w:sectPr>
      </w:pPr>
    </w:p>
    <w:p>
      <w:pPr>
        <w:spacing w:after="0" w:line="20"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639"/>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67" w:lineRule="exact"/>
        <w:rPr>
          <w:sz w:val="24"/>
          <w:szCs w:val="24"/>
          <w:color w:val="auto"/>
        </w:rPr>
      </w:pPr>
    </w:p>
    <w:p>
      <w:pPr>
        <w:sectPr>
          <w:pgSz w:w="11900" w:h="16838" w:orient="portrait"/>
          <w:cols w:equalWidth="0" w:num="3">
            <w:col w:w="3580" w:space="720"/>
            <w:col w:w="1600" w:space="720"/>
            <w:col w:w="2399"/>
          </w:cols>
          <w:pgMar w:left="1440" w:top="297" w:right="1440"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1"/>
          <w:szCs w:val="11"/>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661.367.9170</w:t>
      </w:r>
    </w:p>
    <w:p>
      <w:pPr>
        <w:spacing w:after="0" w:line="21" w:lineRule="exact"/>
        <w:rPr>
          <w:sz w:val="24"/>
          <w:szCs w:val="24"/>
          <w:color w:val="auto"/>
        </w:rPr>
      </w:pPr>
    </w:p>
    <w:p>
      <w:pPr>
        <w:sectPr>
          <w:pgSz w:w="11900" w:h="16838" w:orient="portrait"/>
          <w:cols w:equalWidth="0" w:num="2">
            <w:col w:w="5340" w:space="720"/>
            <w:col w:w="2959"/>
          </w:cols>
          <w:pgMar w:left="1440" w:top="297" w:right="1440" w:bottom="1440"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539"/>
        <w:spacing w:after="0"/>
        <w:rPr>
          <w:sz w:val="20"/>
          <w:szCs w:val="20"/>
          <w:color w:val="auto"/>
        </w:rPr>
      </w:pPr>
      <w:r>
        <w:rPr>
          <w:rFonts w:ascii="Times New Roman" w:cs="Times New Roman" w:eastAsia="Times New Roman" w:hAnsi="Times New Roman"/>
          <w:sz w:val="8"/>
          <w:szCs w:val="8"/>
          <w:b w:val="1"/>
          <w:bCs w:val="1"/>
          <w:color w:val="auto"/>
        </w:rPr>
        <w:t>(Registrant’s telephone number, including area code)</w:t>
      </w:r>
    </w:p>
    <w:p>
      <w:pPr>
        <w:spacing w:after="0" w:line="136" w:lineRule="exact"/>
        <w:rPr>
          <w:sz w:val="24"/>
          <w:szCs w:val="24"/>
          <w:color w:val="auto"/>
        </w:rPr>
      </w:pPr>
    </w:p>
    <w:p>
      <w:pPr>
        <w:sectPr>
          <w:pgSz w:w="11900" w:h="16838" w:orient="portrait"/>
          <w:cols w:equalWidth="0" w:num="2">
            <w:col w:w="4600" w:space="720"/>
            <w:col w:w="3699"/>
          </w:cols>
          <w:pgMar w:left="1440" w:top="29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142240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6"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840" w:right="2539" w:hanging="8"/>
        <w:spacing w:after="0" w:line="405" w:lineRule="auto"/>
        <w:tabs>
          <w:tab w:leader="none" w:pos="11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35"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64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2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RCEL</w:t>
            </w:r>
          </w:p>
        </w:tc>
        <w:tc>
          <w:tcPr>
            <w:tcW w:w="60" w:type="dxa"/>
            <w:vAlign w:val="bottom"/>
          </w:tcPr>
          <w:p>
            <w:pPr>
              <w:spacing w:after="0"/>
              <w:rPr>
                <w:sz w:val="12"/>
                <w:szCs w:val="12"/>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840" w:right="899"/>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2"/>
          <w:szCs w:val="12"/>
          <w:color w:val="auto"/>
        </w:rPr>
        <w:t>☒</w:t>
      </w:r>
    </w:p>
    <w:p>
      <w:pPr>
        <w:spacing w:after="0" w:line="122"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 Item 7.01 Reg Fd Disclosure.</w:t>
      </w:r>
    </w:p>
    <w:p>
      <w:pPr>
        <w:spacing w:after="0" w:line="82"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On May 12, 2022, AVITA Medical, Inc. (the “Company”), reported financial results for its first quarter 2022, and certain other business updates. A webcast of the event is available on the Company’s website under Investor Events and Presentations. In conjunction with the report, the Company released a press release attached hereto as Exhibit 99.1 and a slide deck attached hereto as Exhibit 99.2.</w:t>
      </w:r>
    </w:p>
    <w:p>
      <w:pPr>
        <w:spacing w:after="0" w:line="119"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The information under Item 2.02, Item 7.01, Exhibit 99.1, and Exhibit 99.2 is preliminary, has not been audited, and is subject to change. The information disclosed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17"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38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115"/>
        </w:trPr>
        <w:tc>
          <w:tcPr>
            <w:tcW w:w="3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280" w:type="dxa"/>
            <w:vAlign w:val="bottom"/>
          </w:tcPr>
          <w:p>
            <w:pPr>
              <w:spacing w:after="0"/>
              <w:rPr>
                <w:sz w:val="10"/>
                <w:szCs w:val="10"/>
                <w:color w:val="auto"/>
              </w:rPr>
            </w:pPr>
          </w:p>
        </w:tc>
        <w:tc>
          <w:tcPr>
            <w:tcW w:w="38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280" w:type="dxa"/>
            <w:vAlign w:val="bottom"/>
          </w:tcPr>
          <w:p>
            <w:pPr>
              <w:spacing w:after="0"/>
              <w:rPr>
                <w:sz w:val="15"/>
                <w:szCs w:val="15"/>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AVITA Medical Reports First Quarter 2022 Financial Results</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28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rPr>
              <w:t>Company Update</w:t>
            </w:r>
          </w:p>
        </w:tc>
        <w:tc>
          <w:tcPr>
            <w:tcW w:w="204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8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103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May 17, 2022</w:t>
      </w:r>
    </w:p>
    <w:p>
      <w:pPr>
        <w:spacing w:after="0" w:line="1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AVITA MEDICAL, INC.</w:t>
      </w:r>
    </w:p>
    <w:p>
      <w:pPr>
        <w:spacing w:after="0" w:line="152"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12065</wp:posOffset>
            </wp:positionV>
            <wp:extent cx="161734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Donna Shiroma</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General Counsel</w:t>
      </w:r>
    </w:p>
    <w:p>
      <w:pPr>
        <w:sectPr>
          <w:pgSz w:w="11900" w:h="16838" w:orient="portrait"/>
          <w:cols w:equalWidth="0" w:num="1">
            <w:col w:w="9019"/>
          </w:cols>
          <w:pgMar w:left="1440" w:top="242" w:right="1440" w:bottom="1440" w:gutter="0" w:footer="0" w:header="0"/>
        </w:sectPr>
      </w:pPr>
    </w:p>
    <w:bookmarkStart w:id="3" w:name="page4"/>
    <w:bookmarkEnd w:id="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116205</wp:posOffset>
            </wp:positionV>
            <wp:extent cx="89154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915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AVITA Medical Reports First Quarter 2022 Financial Results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May 12, 2022</w:t>
      </w:r>
    </w:p>
    <w:p>
      <w:pPr>
        <w:spacing w:after="0" w:line="150"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VALENCIA, Calif. and MELBOURNE, Australia, May 12, 2022 (GLOBE NEWSWIRE) — AVITA Medical, Inc. (NASDAQ: RCEL, ASX: AVH)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 regenerative medicine company that is developing and commercializing a technology platform that enables point-of-care autologous skin restoration for multiple unmet needs, today reported financial results for its first quarter ended March 31, 2022.</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Financial Highlights and Recent Updates:</w:t>
      </w:r>
    </w:p>
    <w:p>
      <w:pPr>
        <w:spacing w:after="0" w:line="91" w:lineRule="exact"/>
        <w:rPr>
          <w:sz w:val="20"/>
          <w:szCs w:val="20"/>
          <w:color w:val="auto"/>
        </w:rPr>
      </w:pPr>
    </w:p>
    <w:p>
      <w:pPr>
        <w:ind w:left="1480" w:right="1359" w:hanging="288"/>
        <w:spacing w:after="0" w:line="279" w:lineRule="auto"/>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Reported commercial revenue, which excludes BARDA revenue, of $7.4 million a 61% increase compared to $4.6 million in the corresponding period in the prior year</w:t>
      </w:r>
    </w:p>
    <w:p>
      <w:pPr>
        <w:spacing w:after="0" w:line="48" w:lineRule="exact"/>
        <w:rPr>
          <w:rFonts w:ascii="Times New Roman" w:cs="Times New Roman" w:eastAsia="Times New Roman" w:hAnsi="Times New Roman"/>
          <w:sz w:val="12"/>
          <w:szCs w:val="12"/>
          <w:color w:val="auto"/>
        </w:rPr>
      </w:pPr>
    </w:p>
    <w:p>
      <w:pPr>
        <w:ind w:left="1480" w:right="879" w:hanging="288"/>
        <w:spacing w:after="0" w:line="279" w:lineRule="auto"/>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Reported total revenue, which includes BARDA revenue, of $7.5 million compared to $8.8 million in the corresponding period in the prior year, which included $4.1 million in BARDA revenue</w:t>
      </w:r>
    </w:p>
    <w:p>
      <w:pPr>
        <w:spacing w:after="0" w:line="48" w:lineRule="exact"/>
        <w:rPr>
          <w:rFonts w:ascii="Times New Roman" w:cs="Times New Roman" w:eastAsia="Times New Roman" w:hAnsi="Times New Roman"/>
          <w:sz w:val="12"/>
          <w:szCs w:val="12"/>
          <w:color w:val="auto"/>
        </w:rPr>
      </w:pPr>
    </w:p>
    <w:p>
      <w:pPr>
        <w:ind w:left="1480" w:right="1159" w:hanging="288"/>
        <w:spacing w:after="0" w:line="327" w:lineRule="auto"/>
        <w:tabs>
          <w:tab w:leader="none" w:pos="148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February 2022, FDA approved our premarket approval application (PMA) supplement for RECELL</w:t>
      </w:r>
      <w:r>
        <w:rPr>
          <w:rFonts w:ascii="Times New Roman" w:cs="Times New Roman" w:eastAsia="Times New Roman" w:hAnsi="Times New Roman"/>
          <w:sz w:val="9"/>
          <w:szCs w:val="9"/>
          <w:color w:val="auto"/>
        </w:rPr>
        <w:t>®</w:t>
      </w:r>
      <w:r>
        <w:rPr>
          <w:rFonts w:ascii="Times New Roman" w:cs="Times New Roman" w:eastAsia="Times New Roman" w:hAnsi="Times New Roman"/>
          <w:sz w:val="11"/>
          <w:szCs w:val="11"/>
          <w:color w:val="auto"/>
        </w:rPr>
        <w:t xml:space="preserve"> Autologous Cell Harvesting Device, an enhanced RECELL system aimed at providing clinicians a more efficient user experience and simplified workflow</w:t>
      </w:r>
    </w:p>
    <w:p>
      <w:pPr>
        <w:spacing w:after="0" w:line="24" w:lineRule="exact"/>
        <w:rPr>
          <w:rFonts w:ascii="Times New Roman" w:cs="Times New Roman" w:eastAsia="Times New Roman" w:hAnsi="Times New Roman"/>
          <w:sz w:val="11"/>
          <w:szCs w:val="11"/>
          <w:color w:val="auto"/>
        </w:rPr>
      </w:pPr>
    </w:p>
    <w:p>
      <w:pPr>
        <w:ind w:left="1480" w:right="939" w:hanging="288"/>
        <w:spacing w:after="0" w:line="279" w:lineRule="auto"/>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February 2022, Japan’s Pharmaceuticals and Medical Devices Agency (PMDA) approved our application for commercialization of the RECELL system in burns</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March 31, 2022, the Company had $95.0 million in cash, cash equivalents, and marketable securities, with no debt</w:t>
      </w:r>
    </w:p>
    <w:p>
      <w:pPr>
        <w:spacing w:after="0" w:line="150" w:lineRule="exact"/>
        <w:rPr>
          <w:sz w:val="20"/>
          <w:szCs w:val="20"/>
          <w:color w:val="auto"/>
        </w:rPr>
      </w:pPr>
    </w:p>
    <w:p>
      <w:pPr>
        <w:ind w:left="840" w:right="839"/>
        <w:spacing w:after="0" w:line="260" w:lineRule="auto"/>
        <w:rPr>
          <w:sz w:val="20"/>
          <w:szCs w:val="20"/>
          <w:color w:val="auto"/>
        </w:rPr>
      </w:pPr>
      <w:r>
        <w:rPr>
          <w:rFonts w:ascii="Times New Roman" w:cs="Times New Roman" w:eastAsia="Times New Roman" w:hAnsi="Times New Roman"/>
          <w:sz w:val="12"/>
          <w:szCs w:val="12"/>
          <w:color w:val="auto"/>
        </w:rPr>
        <w:t>“Our commercial team performed well this quarter driving further adoption and penetration within burn centers, and our clinical team continued to move the soft tissue reconstruction and vitiligo trials forward,” said Dr. Mike Perry, AVITA Medical Chief Executive Officer. “We are well positioned to drive revenue growth ahead and we look forward to topline data readouts from our soft tissue reconstruction and vitiligo clinical trials in the second half of this year.”</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First Quarter of Year 2022 Financial Results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Our commercial revenue, which excludes BARDA revenue, was $7.4 million in the current year, an increase of $2.8 million or 61%, compared to</w:t>
      </w:r>
    </w:p>
    <w:p>
      <w:pPr>
        <w:spacing w:after="0" w:line="17" w:lineRule="exact"/>
        <w:rPr>
          <w:sz w:val="20"/>
          <w:szCs w:val="20"/>
          <w:color w:val="auto"/>
        </w:rPr>
      </w:pPr>
    </w:p>
    <w:p>
      <w:pPr>
        <w:ind w:left="840" w:right="879"/>
        <w:spacing w:after="0" w:line="253" w:lineRule="auto"/>
        <w:rPr>
          <w:sz w:val="20"/>
          <w:szCs w:val="20"/>
          <w:color w:val="auto"/>
        </w:rPr>
      </w:pPr>
      <w:r>
        <w:rPr>
          <w:rFonts w:ascii="Times New Roman" w:cs="Times New Roman" w:eastAsia="Times New Roman" w:hAnsi="Times New Roman"/>
          <w:sz w:val="12"/>
          <w:szCs w:val="12"/>
          <w:color w:val="auto"/>
        </w:rPr>
        <w:t>$4.6 million the corresponding period in the prior year. Total revenue, which includes BARDA revenue, was $8.8 million in the corresponding period in the prior year which included $4.1 million in BARDA related revenue that resulted from our delivery of units to managed inventory for BARDA for emergency response preparedness. The increase in commercial revenue was largely driven by broader utilization among our customer base as well as deeper penetration within individual customer accounts.</w:t>
      </w:r>
    </w:p>
    <w:p>
      <w:pPr>
        <w:spacing w:after="0" w:line="1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Gross profit margin was 76% and is flat compared to the corresponding period in the prior year.</w:t>
      </w:r>
    </w:p>
    <w:p>
      <w:pPr>
        <w:spacing w:after="0" w:line="150" w:lineRule="exact"/>
        <w:rPr>
          <w:sz w:val="20"/>
          <w:szCs w:val="20"/>
          <w:color w:val="auto"/>
        </w:rPr>
      </w:pPr>
    </w:p>
    <w:p>
      <w:pPr>
        <w:ind w:left="840" w:right="899"/>
        <w:spacing w:after="0" w:line="257" w:lineRule="auto"/>
        <w:rPr>
          <w:sz w:val="20"/>
          <w:szCs w:val="20"/>
          <w:color w:val="auto"/>
        </w:rPr>
      </w:pPr>
      <w:r>
        <w:rPr>
          <w:rFonts w:ascii="Times New Roman" w:cs="Times New Roman" w:eastAsia="Times New Roman" w:hAnsi="Times New Roman"/>
          <w:sz w:val="12"/>
          <w:szCs w:val="12"/>
          <w:color w:val="auto"/>
        </w:rPr>
        <w:t>Total operating expenses increased by 21% to $16.0 million compared to $13.2 million in the corresponding period in the prior year. The increase in operating expenses is primarily attributable to higher share-based compensation, salary, and benefits. Higher share-based compensation expenses are associated with acceleration of expense for certain performance milestones being met in the current quarter. Higher salary and benefits are driven by the expansion of our workforce to support the overall operations, an increase in field resources to expand our market coverage and hiring of an executive at the end of March 2021.</w:t>
      </w:r>
    </w:p>
    <w:p>
      <w:pPr>
        <w:spacing w:after="0" w:line="125" w:lineRule="exact"/>
        <w:rPr>
          <w:sz w:val="20"/>
          <w:szCs w:val="20"/>
          <w:color w:val="auto"/>
        </w:rPr>
      </w:pPr>
    </w:p>
    <w:p>
      <w:pPr>
        <w:ind w:left="840" w:right="1359"/>
        <w:spacing w:after="0" w:line="279" w:lineRule="auto"/>
        <w:rPr>
          <w:sz w:val="20"/>
          <w:szCs w:val="20"/>
          <w:color w:val="auto"/>
        </w:rPr>
      </w:pPr>
      <w:r>
        <w:rPr>
          <w:rFonts w:ascii="Times New Roman" w:cs="Times New Roman" w:eastAsia="Times New Roman" w:hAnsi="Times New Roman"/>
          <w:sz w:val="12"/>
          <w:szCs w:val="12"/>
          <w:color w:val="auto"/>
        </w:rPr>
        <w:t>Net loss increased by 58% or $3.5 million to $9.5 million, or $0.38 per share, compared to a net loss of $6.0 million, or $0.26 per share, in the corresponding period of the prior year.</w:t>
      </w:r>
    </w:p>
    <w:p>
      <w:pPr>
        <w:spacing w:after="0" w:line="111" w:lineRule="exact"/>
        <w:rPr>
          <w:sz w:val="20"/>
          <w:szCs w:val="20"/>
          <w:color w:val="auto"/>
        </w:rPr>
      </w:pPr>
    </w:p>
    <w:p>
      <w:pPr>
        <w:ind w:left="840" w:right="1079"/>
        <w:spacing w:after="0" w:line="279" w:lineRule="auto"/>
        <w:rPr>
          <w:sz w:val="20"/>
          <w:szCs w:val="20"/>
          <w:color w:val="auto"/>
        </w:rPr>
      </w:pPr>
      <w:r>
        <w:rPr>
          <w:rFonts w:ascii="Times New Roman" w:cs="Times New Roman" w:eastAsia="Times New Roman" w:hAnsi="Times New Roman"/>
          <w:sz w:val="12"/>
          <w:szCs w:val="12"/>
          <w:color w:val="auto"/>
        </w:rPr>
        <w:t>Adjusted EBITDA* loss increased by 42%, or $1.9 million to $6.4 million, over the $4.5 million recognized in the corresponding period in the prior year. A table reconciling non-GAAP measures is included in this press release for reference.</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Calendar Year 2022 Revenue Guidance</w:t>
      </w:r>
    </w:p>
    <w:p>
      <w:pPr>
        <w:spacing w:after="0" w:line="82"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Commercial revenues in calendar year 2022 are projected to be approximately $30 million, excluding BARDA revenues, which represents a 20% increase year-over year. We project BARDA revenues of approximately $0.3 million in calendar year 2022, as compared to $7.9 million in calendar year 2021, since we completed delivery of RECELL units into the national stockpile in 2021.</w:t>
      </w:r>
    </w:p>
    <w:p>
      <w:pPr>
        <w:spacing w:after="0" w:line="137" w:lineRule="exact"/>
        <w:rPr>
          <w:sz w:val="20"/>
          <w:szCs w:val="20"/>
          <w:color w:val="auto"/>
        </w:rPr>
      </w:pPr>
    </w:p>
    <w:p>
      <w:pPr>
        <w:ind w:left="980" w:right="879" w:hanging="148"/>
        <w:spacing w:after="0" w:line="279" w:lineRule="auto"/>
        <w:tabs>
          <w:tab w:leader="none" w:pos="9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is a non-GAAP financial measure. See the appendix to this release for a discussion of Non-GAAP financial measures, including a reconciliation to the most closely correlated GAAP measure.</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Webcast and Conference Call Information</w:t>
      </w:r>
    </w:p>
    <w:p>
      <w:pPr>
        <w:spacing w:after="0" w:line="82" w:lineRule="exact"/>
        <w:rPr>
          <w:sz w:val="20"/>
          <w:szCs w:val="20"/>
          <w:color w:val="auto"/>
        </w:rPr>
      </w:pPr>
    </w:p>
    <w:p>
      <w:pPr>
        <w:ind w:left="840" w:right="939"/>
        <w:spacing w:after="0" w:line="260" w:lineRule="auto"/>
        <w:rPr>
          <w:sz w:val="20"/>
          <w:szCs w:val="20"/>
          <w:color w:val="auto"/>
        </w:rPr>
      </w:pPr>
      <w:r>
        <w:rPr>
          <w:rFonts w:ascii="Times New Roman" w:cs="Times New Roman" w:eastAsia="Times New Roman" w:hAnsi="Times New Roman"/>
          <w:sz w:val="12"/>
          <w:szCs w:val="12"/>
          <w:color w:val="auto"/>
        </w:rPr>
        <w:t>The Company will host a conference call to discuss the first quarter financial results after market close on Thursday May 12, 2022, at 1:30 p.m. Pacific Time / 4:30 p.m. Eastern Time (being 6.30 a.m. Australian Eastern Standard Time on Friday May 13, 2022). The conference call can be accessed live over the phone at (833) 614-1538 for U.S. callers or at (706) 634-6548 international callers, using conference ID:2592487. The live webinar can be accessed at https://ir.avitamedical.com.</w:t>
      </w:r>
    </w:p>
    <w:p>
      <w:pPr>
        <w:sectPr>
          <w:pgSz w:w="11900" w:h="16838" w:orient="portrait"/>
          <w:cols w:equalWidth="0" w:num="1">
            <w:col w:w="9019"/>
          </w:cols>
          <w:pgMar w:left="1440" w:top="125"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Authorized for release by the Chief Financial Officer of AVITA Medical, Inc.</w:t>
      </w:r>
    </w:p>
    <w:p>
      <w:pPr>
        <w:spacing w:after="0" w:line="1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AVITA Medical, Inc.</w:t>
      </w:r>
    </w:p>
    <w:p>
      <w:pPr>
        <w:spacing w:after="0" w:line="82" w:lineRule="exact"/>
        <w:rPr>
          <w:sz w:val="20"/>
          <w:szCs w:val="20"/>
          <w:color w:val="auto"/>
        </w:rPr>
      </w:pPr>
    </w:p>
    <w:p>
      <w:pPr>
        <w:ind w:left="840" w:right="959"/>
        <w:spacing w:after="0" w:line="257" w:lineRule="auto"/>
        <w:rPr>
          <w:sz w:val="20"/>
          <w:szCs w:val="20"/>
          <w:color w:val="auto"/>
        </w:rPr>
      </w:pPr>
      <w:r>
        <w:rPr>
          <w:rFonts w:ascii="Times New Roman" w:cs="Times New Roman" w:eastAsia="Times New Roman" w:hAnsi="Times New Roman"/>
          <w:sz w:val="12"/>
          <w:szCs w:val="12"/>
          <w:color w:val="auto"/>
        </w:rPr>
        <w:t>AVITA Medical, Inc. is a regenerative medicine company with a technology platform positioned to address unmet medical needs in burns, chronic wounds, and aesthetics indications. AVITA Medical Inc. patented, and proprietary collection and application technology provides innovative treatment solutions derived from the regenerative properties of a patient’s own skin. The medical devices work by preparing a RES</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25" w:lineRule="exact"/>
        <w:rPr>
          <w:sz w:val="20"/>
          <w:szCs w:val="20"/>
          <w:color w:val="auto"/>
        </w:rPr>
      </w:pPr>
    </w:p>
    <w:p>
      <w:pPr>
        <w:ind w:left="840" w:right="939"/>
        <w:spacing w:after="0" w:line="253" w:lineRule="auto"/>
        <w:rPr>
          <w:sz w:val="20"/>
          <w:szCs w:val="20"/>
          <w:color w:val="auto"/>
        </w:rPr>
      </w:pPr>
      <w:r>
        <w:rPr>
          <w:rFonts w:ascii="Times New Roman" w:cs="Times New Roman" w:eastAsia="Times New Roman" w:hAnsi="Times New Roman"/>
          <w:sz w:val="12"/>
          <w:szCs w:val="12"/>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The RECELL System is used to prepare Spray-On Skin</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 Autologous Cell Harvesting Device (</w:t>
      </w:r>
      <w:r>
        <w:rPr>
          <w:rFonts w:ascii="Times New Roman" w:cs="Times New Roman" w:eastAsia="Times New Roman" w:hAnsi="Times New Roman"/>
          <w:sz w:val="12"/>
          <w:szCs w:val="12"/>
          <w:u w:val="single" w:color="auto"/>
          <w:color w:val="auto"/>
        </w:rPr>
        <w:t>https://recellsystem.com/</w:t>
      </w:r>
      <w:r>
        <w:rPr>
          <w:rFonts w:ascii="Times New Roman" w:cs="Times New Roman" w:eastAsia="Times New Roman" w:hAnsi="Times New Roman"/>
          <w:sz w:val="12"/>
          <w:szCs w:val="12"/>
          <w:color w:val="auto"/>
        </w:rPr>
        <w:t>) for a full description of indications for use and important safety information including contraindications, warnings, and precautions.</w:t>
      </w:r>
    </w:p>
    <w:p>
      <w:pPr>
        <w:spacing w:after="0" w:line="129" w:lineRule="exact"/>
        <w:rPr>
          <w:sz w:val="20"/>
          <w:szCs w:val="20"/>
          <w:color w:val="auto"/>
        </w:rPr>
      </w:pPr>
    </w:p>
    <w:p>
      <w:pPr>
        <w:ind w:left="840" w:right="859"/>
        <w:spacing w:after="0" w:line="300" w:lineRule="auto"/>
        <w:rPr>
          <w:sz w:val="20"/>
          <w:szCs w:val="20"/>
          <w:color w:val="auto"/>
        </w:rPr>
      </w:pPr>
      <w:r>
        <w:rPr>
          <w:rFonts w:ascii="Times New Roman" w:cs="Times New Roman" w:eastAsia="Times New Roman" w:hAnsi="Times New Roman"/>
          <w:sz w:val="11"/>
          <w:szCs w:val="11"/>
          <w:color w:val="auto"/>
        </w:rPr>
        <w:t>In February 2022, the FDA reviewed and approved the PMA supplement for RECELL Autologous Cell Harvesting Device, an enhanced RECELL System aimed at providing clinicians a more efficient user experience and simplified workflow. The RECELL System is a device that enables healthcare professionals to produce a suspension of Spray-On Skin</w:t>
      </w:r>
      <w:r>
        <w:rPr>
          <w:rFonts w:ascii="Times New Roman" w:cs="Times New Roman" w:eastAsia="Times New Roman" w:hAnsi="Times New Roman"/>
          <w:sz w:val="9"/>
          <w:szCs w:val="9"/>
          <w:color w:val="auto"/>
        </w:rPr>
        <w:t>™</w:t>
      </w:r>
      <w:r>
        <w:rPr>
          <w:rFonts w:ascii="Times New Roman" w:cs="Times New Roman" w:eastAsia="Times New Roman" w:hAnsi="Times New Roman"/>
          <w:sz w:val="11"/>
          <w:szCs w:val="11"/>
          <w:color w:val="auto"/>
        </w:rPr>
        <w:t xml:space="preserve"> Cells using a small sample of the patient’s own skin for the treatment of acute thermal burns</w:t>
      </w:r>
    </w:p>
    <w:p>
      <w:pPr>
        <w:spacing w:after="0" w:line="102"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 xml:space="preserve">To learn more, visit </w:t>
      </w:r>
      <w:r>
        <w:rPr>
          <w:rFonts w:ascii="Times New Roman" w:cs="Times New Roman" w:eastAsia="Times New Roman" w:hAnsi="Times New Roman"/>
          <w:sz w:val="12"/>
          <w:szCs w:val="12"/>
          <w:u w:val="single" w:color="auto"/>
          <w:color w:val="auto"/>
        </w:rPr>
        <w:t>www.avitamedical.com</w:t>
      </w:r>
      <w:r>
        <w:rPr>
          <w:rFonts w:ascii="Times New Roman" w:cs="Times New Roman" w:eastAsia="Times New Roman" w:hAnsi="Times New Roman"/>
          <w:sz w:val="12"/>
          <w:szCs w:val="12"/>
          <w:color w:val="auto"/>
        </w:rPr>
        <w:t>.</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 Use of Non-GAAP Measure</w:t>
      </w:r>
    </w:p>
    <w:p>
      <w:pPr>
        <w:spacing w:after="0" w:line="82"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AVITA Medical’s reported earnings are prepared in accordance with generally accepted accounting principles in the United States, or GAAP, and represent earnings as reported to the Securities and Exchange Commission. AVITA Medical has provided in this release certain financial information that has not been prepared in accordance with GAAP. AVITA Medical’s management believes that the non-GAAP adjusted EBITDA described in the release, which includes adjustments for specific items that are generally not indicative of our core operations, provides additional information that is useful to investors in understanding AVITA Medical’s underlying performance, business and performance trends, and helps facilitate period-to-period comparisons and comparisons of its financial measures with other companies in AVITA Medical’s industry. However, the non-GAAP financial measures that AVITA Medical uses may differ from measures that other companies may use. Non-GAAP financial measures are not required to be uniformly applied, are not audited and should not be considered in isolation or as substitutes for results prepared in accordance with GAAP.</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82" w:lineRule="exact"/>
        <w:rPr>
          <w:sz w:val="20"/>
          <w:szCs w:val="20"/>
          <w:color w:val="auto"/>
        </w:rPr>
      </w:pPr>
    </w:p>
    <w:p>
      <w:pPr>
        <w:ind w:left="840" w:right="919"/>
        <w:spacing w:after="0" w:line="252" w:lineRule="auto"/>
        <w:rPr>
          <w:sz w:val="20"/>
          <w:szCs w:val="20"/>
          <w:color w:val="auto"/>
        </w:rPr>
      </w:pPr>
      <w:r>
        <w:rPr>
          <w:rFonts w:ascii="Times New Roman" w:cs="Times New Roman" w:eastAsia="Times New Roman" w:hAnsi="Times New Roman"/>
          <w:sz w:val="12"/>
          <w:szCs w:val="12"/>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goals. Forward-looking statements by their nature address matters that are, to different degrees, uncertain. Each forward- 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including, but not limited to the ongoing COVID-19 pandemic which are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ectPr>
          <w:pgSz w:w="11900" w:h="16838" w:orient="portrait"/>
          <w:cols w:equalWidth="0" w:num="1">
            <w:col w:w="9019"/>
          </w:cols>
          <w:pgMar w:left="1440" w:top="228" w:right="1440" w:bottom="1440" w:gutter="0" w:footer="0" w:header="0"/>
        </w:sectPr>
      </w:pPr>
    </w:p>
    <w:bookmarkStart w:id="5" w:name="page6"/>
    <w:bookmarkEnd w:id="5"/>
    <w:tbl>
      <w:tblPr>
        <w:tblLayout w:type="fixed"/>
        <w:tblInd w:w="840" w:type="dxa"/>
        <w:tblCellMar>
          <w:top w:w="0" w:type="dxa"/>
          <w:left w:w="0" w:type="dxa"/>
          <w:bottom w:w="0" w:type="dxa"/>
          <w:right w:w="0" w:type="dxa"/>
        </w:tblCellMar>
      </w:tblPr>
      <w:tr>
        <w:trPr>
          <w:trHeight w:val="159"/>
        </w:trPr>
        <w:tc>
          <w:tcPr>
            <w:tcW w:w="38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FOR FURTHER INFORMATION:</w:t>
            </w:r>
          </w:p>
        </w:tc>
        <w:tc>
          <w:tcPr>
            <w:tcW w:w="1580" w:type="dxa"/>
            <w:vAlign w:val="bottom"/>
          </w:tcPr>
          <w:p>
            <w:pPr>
              <w:spacing w:after="0"/>
              <w:rPr>
                <w:sz w:val="13"/>
                <w:szCs w:val="13"/>
                <w:color w:val="auto"/>
              </w:rPr>
            </w:pPr>
          </w:p>
        </w:tc>
      </w:tr>
      <w:tr>
        <w:trPr>
          <w:trHeight w:val="291"/>
        </w:trPr>
        <w:tc>
          <w:tcPr>
            <w:tcW w:w="38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U.S. Media</w:t>
            </w:r>
          </w:p>
        </w:tc>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Investors</w:t>
            </w:r>
          </w:p>
        </w:tc>
      </w:tr>
      <w:tr>
        <w:trPr>
          <w:trHeight w:val="148"/>
        </w:trPr>
        <w:tc>
          <w:tcPr>
            <w:tcW w:w="38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Sam Brown, Inc.</w:t>
            </w:r>
          </w:p>
        </w:tc>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ICR Westwicke</w:t>
            </w:r>
          </w:p>
        </w:tc>
      </w:tr>
      <w:tr>
        <w:trPr>
          <w:trHeight w:val="144"/>
        </w:trPr>
        <w:tc>
          <w:tcPr>
            <w:tcW w:w="38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Christy Curran</w:t>
            </w:r>
          </w:p>
        </w:tc>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Caroline Corner</w:t>
            </w:r>
          </w:p>
        </w:tc>
      </w:tr>
      <w:tr>
        <w:trPr>
          <w:trHeight w:val="144"/>
        </w:trPr>
        <w:tc>
          <w:tcPr>
            <w:tcW w:w="38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Phone +1 615 414 8668</w:t>
            </w:r>
          </w:p>
        </w:tc>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Phone +1 415 202 5678</w:t>
            </w:r>
          </w:p>
        </w:tc>
      </w:tr>
      <w:tr>
        <w:trPr>
          <w:trHeight w:val="128"/>
        </w:trPr>
        <w:tc>
          <w:tcPr>
            <w:tcW w:w="1480" w:type="dxa"/>
            <w:vAlign w:val="bottom"/>
            <w:tcBorders>
              <w:bottom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w w:val="98"/>
              </w:rPr>
              <w:t>christycurran@sambrown.com</w:t>
            </w:r>
          </w:p>
        </w:tc>
        <w:tc>
          <w:tcPr>
            <w:tcW w:w="2340" w:type="dxa"/>
            <w:vAlign w:val="bottom"/>
          </w:tcPr>
          <w:p>
            <w:pPr>
              <w:spacing w:after="0"/>
              <w:rPr>
                <w:sz w:val="11"/>
                <w:szCs w:val="11"/>
                <w:color w:val="auto"/>
              </w:rPr>
            </w:pPr>
          </w:p>
        </w:tc>
        <w:tc>
          <w:tcPr>
            <w:tcW w:w="1580" w:type="dxa"/>
            <w:vAlign w:val="bottom"/>
            <w:tcBorders>
              <w:bottom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w w:val="98"/>
              </w:rPr>
              <w:t>caroline.corner@westwicke.com</w:t>
            </w:r>
          </w:p>
        </w:tc>
      </w:tr>
      <w:tr>
        <w:trPr>
          <w:trHeight w:val="289"/>
        </w:trPr>
        <w:tc>
          <w:tcPr>
            <w:tcW w:w="38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O.U.S Media</w:t>
            </w:r>
          </w:p>
        </w:tc>
        <w:tc>
          <w:tcPr>
            <w:tcW w:w="1580" w:type="dxa"/>
            <w:vAlign w:val="bottom"/>
          </w:tcPr>
          <w:p>
            <w:pPr>
              <w:spacing w:after="0"/>
              <w:rPr>
                <w:sz w:val="24"/>
                <w:szCs w:val="24"/>
                <w:color w:val="auto"/>
              </w:rPr>
            </w:pPr>
          </w:p>
        </w:tc>
      </w:tr>
      <w:tr>
        <w:trPr>
          <w:trHeight w:val="148"/>
        </w:trPr>
        <w:tc>
          <w:tcPr>
            <w:tcW w:w="38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Monsoon Communications</w:t>
            </w:r>
          </w:p>
        </w:tc>
        <w:tc>
          <w:tcPr>
            <w:tcW w:w="1580" w:type="dxa"/>
            <w:vAlign w:val="bottom"/>
          </w:tcPr>
          <w:p>
            <w:pPr>
              <w:spacing w:after="0"/>
              <w:rPr>
                <w:sz w:val="12"/>
                <w:szCs w:val="12"/>
                <w:color w:val="auto"/>
              </w:rPr>
            </w:pPr>
          </w:p>
        </w:tc>
      </w:tr>
      <w:tr>
        <w:trPr>
          <w:trHeight w:val="144"/>
        </w:trPr>
        <w:tc>
          <w:tcPr>
            <w:tcW w:w="38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Rudi Michelson</w:t>
            </w:r>
          </w:p>
        </w:tc>
        <w:tc>
          <w:tcPr>
            <w:tcW w:w="1580" w:type="dxa"/>
            <w:vAlign w:val="bottom"/>
          </w:tcPr>
          <w:p>
            <w:pPr>
              <w:spacing w:after="0"/>
              <w:rPr>
                <w:sz w:val="12"/>
                <w:szCs w:val="12"/>
                <w:color w:val="auto"/>
              </w:rPr>
            </w:pPr>
          </w:p>
        </w:tc>
      </w:tr>
      <w:tr>
        <w:trPr>
          <w:trHeight w:val="144"/>
        </w:trPr>
        <w:tc>
          <w:tcPr>
            <w:tcW w:w="38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Phone +61 (0)3 9620 3333</w:t>
            </w:r>
          </w:p>
        </w:tc>
        <w:tc>
          <w:tcPr>
            <w:tcW w:w="1580" w:type="dxa"/>
            <w:vAlign w:val="bottom"/>
          </w:tcPr>
          <w:p>
            <w:pPr>
              <w:spacing w:after="0"/>
              <w:rPr>
                <w:sz w:val="12"/>
                <w:szCs w:val="12"/>
                <w:color w:val="auto"/>
              </w:rPr>
            </w:pPr>
          </w:p>
        </w:tc>
      </w:tr>
      <w:tr>
        <w:trPr>
          <w:trHeight w:val="144"/>
        </w:trPr>
        <w:tc>
          <w:tcPr>
            <w:tcW w:w="38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Mobile +61 (0)411 402 737</w:t>
            </w:r>
          </w:p>
        </w:tc>
        <w:tc>
          <w:tcPr>
            <w:tcW w:w="1580" w:type="dxa"/>
            <w:vAlign w:val="bottom"/>
          </w:tcPr>
          <w:p>
            <w:pPr>
              <w:spacing w:after="0"/>
              <w:rPr>
                <w:sz w:val="12"/>
                <w:szCs w:val="12"/>
                <w:color w:val="auto"/>
              </w:rPr>
            </w:pPr>
          </w:p>
        </w:tc>
      </w:tr>
      <w:tr>
        <w:trPr>
          <w:trHeight w:val="128"/>
        </w:trPr>
        <w:tc>
          <w:tcPr>
            <w:tcW w:w="382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auto"/>
              </w:rPr>
              <w:t>rudim@monsoon.com.au</w:t>
            </w:r>
          </w:p>
        </w:tc>
        <w:tc>
          <w:tcPr>
            <w:tcW w:w="1580" w:type="dxa"/>
            <w:vAlign w:val="bottom"/>
          </w:tcPr>
          <w:p>
            <w:pPr>
              <w:spacing w:after="0"/>
              <w:rPr>
                <w:sz w:val="11"/>
                <w:szCs w:val="1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ectPr>
          <w:pgSz w:w="11900" w:h="16838" w:orient="portrait"/>
          <w:cols w:equalWidth="0" w:num="1">
            <w:col w:w="9019"/>
          </w:cols>
          <w:pgMar w:left="1440" w:top="125"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AVITA MEDICAL,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5400" w:type="dxa"/>
            <w:vAlign w:val="bottom"/>
          </w:tcPr>
          <w:p>
            <w:pPr>
              <w:spacing w:after="0"/>
              <w:rPr>
                <w:sz w:val="7"/>
                <w:szCs w:val="7"/>
                <w:color w:val="auto"/>
              </w:rPr>
            </w:pPr>
          </w:p>
        </w:tc>
        <w:tc>
          <w:tcPr>
            <w:tcW w:w="74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March 31, 2022</w:t>
            </w:r>
          </w:p>
        </w:tc>
        <w:tc>
          <w:tcPr>
            <w:tcW w:w="340" w:type="dxa"/>
            <w:vAlign w:val="bottom"/>
          </w:tcPr>
          <w:p>
            <w:pPr>
              <w:spacing w:after="0"/>
              <w:rPr>
                <w:sz w:val="7"/>
                <w:szCs w:val="7"/>
                <w:color w:val="auto"/>
              </w:rPr>
            </w:pPr>
          </w:p>
        </w:tc>
        <w:tc>
          <w:tcPr>
            <w:tcW w:w="78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w w:val="91"/>
              </w:rPr>
              <w:t>December 31, 2021</w:t>
            </w:r>
          </w:p>
        </w:tc>
        <w:tc>
          <w:tcPr>
            <w:tcW w:w="80" w:type="dxa"/>
            <w:vAlign w:val="bottom"/>
          </w:tcPr>
          <w:p>
            <w:pPr>
              <w:spacing w:after="0"/>
              <w:rPr>
                <w:sz w:val="7"/>
                <w:szCs w:val="7"/>
                <w:color w:val="auto"/>
              </w:rPr>
            </w:pPr>
          </w:p>
        </w:tc>
      </w:tr>
      <w:tr>
        <w:trPr>
          <w:trHeight w:val="124"/>
        </w:trPr>
        <w:tc>
          <w:tcPr>
            <w:tcW w:w="54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5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23,535</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55,511</w:t>
            </w:r>
          </w:p>
        </w:tc>
      </w:tr>
      <w:tr>
        <w:trPr>
          <w:trHeight w:val="144"/>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Marketable securities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59,835</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29,649</w:t>
            </w:r>
          </w:p>
        </w:tc>
      </w:tr>
      <w:tr>
        <w:trPr>
          <w:trHeight w:val="144"/>
        </w:trPr>
        <w:tc>
          <w:tcPr>
            <w:tcW w:w="5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receivable, net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3,481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3,118</w:t>
            </w:r>
          </w:p>
        </w:tc>
      </w:tr>
      <w:tr>
        <w:trPr>
          <w:trHeight w:val="144"/>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BARDA receivables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682</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308</w:t>
            </w:r>
          </w:p>
        </w:tc>
      </w:tr>
      <w:tr>
        <w:trPr>
          <w:trHeight w:val="144"/>
        </w:trPr>
        <w:tc>
          <w:tcPr>
            <w:tcW w:w="5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Prepaids and other current assets</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1,146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1,213</w:t>
            </w:r>
          </w:p>
        </w:tc>
      </w:tr>
      <w:tr>
        <w:trPr>
          <w:trHeight w:val="144"/>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Restricted cash</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201</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201</w:t>
            </w:r>
          </w:p>
        </w:tc>
      </w:tr>
      <w:tr>
        <w:trPr>
          <w:trHeight w:val="144"/>
        </w:trPr>
        <w:tc>
          <w:tcPr>
            <w:tcW w:w="5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Inventory</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2,132</w:t>
            </w:r>
          </w:p>
        </w:tc>
      </w:tr>
      <w:tr>
        <w:trPr>
          <w:trHeight w:val="20"/>
        </w:trPr>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current assets</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90,683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92,132</w:t>
            </w:r>
          </w:p>
        </w:tc>
      </w:tr>
      <w:tr>
        <w:trPr>
          <w:trHeight w:val="144"/>
        </w:trPr>
        <w:tc>
          <w:tcPr>
            <w:tcW w:w="5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Marketable securities, long-term</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11,684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19,692</w:t>
            </w:r>
          </w:p>
        </w:tc>
      </w:tr>
      <w:tr>
        <w:trPr>
          <w:trHeight w:val="144"/>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Plant and equipment, net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1,171</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1,262</w:t>
            </w:r>
          </w:p>
        </w:tc>
      </w:tr>
      <w:tr>
        <w:trPr>
          <w:trHeight w:val="144"/>
        </w:trPr>
        <w:tc>
          <w:tcPr>
            <w:tcW w:w="5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1,375</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1,544</w:t>
            </w:r>
          </w:p>
        </w:tc>
      </w:tr>
      <w:tr>
        <w:trPr>
          <w:trHeight w:val="144"/>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Intangible assets, net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416</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443</w:t>
            </w:r>
          </w:p>
        </w:tc>
      </w:tr>
      <w:tr>
        <w:trPr>
          <w:trHeight w:val="144"/>
        </w:trPr>
        <w:tc>
          <w:tcPr>
            <w:tcW w:w="5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long-term assets</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942</w:t>
            </w:r>
          </w:p>
        </w:tc>
      </w:tr>
      <w:tr>
        <w:trPr>
          <w:trHeight w:val="20"/>
        </w:trPr>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106,491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116,015</w:t>
            </w:r>
          </w:p>
        </w:tc>
      </w:tr>
      <w:tr>
        <w:trPr>
          <w:trHeight w:val="142"/>
        </w:trPr>
        <w:tc>
          <w:tcPr>
            <w:tcW w:w="5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2,397</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2,708</w:t>
            </w:r>
          </w:p>
        </w:tc>
      </w:tr>
      <w:tr>
        <w:trPr>
          <w:trHeight w:val="144"/>
        </w:trPr>
        <w:tc>
          <w:tcPr>
            <w:tcW w:w="5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Accrued wages and fringe benefits</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2,914</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5,363</w:t>
            </w:r>
          </w:p>
        </w:tc>
      </w:tr>
      <w:tr>
        <w:trPr>
          <w:trHeight w:val="144"/>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1,186</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1,075</w:t>
            </w:r>
          </w:p>
        </w:tc>
      </w:tr>
      <w:tr>
        <w:trPr>
          <w:trHeight w:val="142"/>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6,497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9,146</w:t>
            </w:r>
          </w:p>
        </w:tc>
        <w:tc>
          <w:tcPr>
            <w:tcW w:w="80" w:type="dxa"/>
            <w:vAlign w:val="bottom"/>
          </w:tcPr>
          <w:p>
            <w:pPr>
              <w:spacing w:after="0"/>
              <w:rPr>
                <w:sz w:val="12"/>
                <w:szCs w:val="12"/>
                <w:color w:val="auto"/>
              </w:rPr>
            </w:pPr>
          </w:p>
        </w:tc>
      </w:tr>
      <w:tr>
        <w:trPr>
          <w:trHeight w:val="144"/>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Contract liabilities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882</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952</w:t>
            </w:r>
          </w:p>
        </w:tc>
      </w:tr>
      <w:tr>
        <w:trPr>
          <w:trHeight w:val="144"/>
        </w:trPr>
        <w:tc>
          <w:tcPr>
            <w:tcW w:w="5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Operating lease liabilities, long-term</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726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918</w:t>
            </w:r>
          </w:p>
        </w:tc>
      </w:tr>
      <w:tr>
        <w:trPr>
          <w:trHeight w:val="144"/>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571</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375</w:t>
            </w:r>
          </w:p>
        </w:tc>
      </w:tr>
      <w:tr>
        <w:trPr>
          <w:trHeight w:val="142"/>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8,676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11,391</w:t>
            </w:r>
          </w:p>
        </w:tc>
        <w:tc>
          <w:tcPr>
            <w:tcW w:w="80" w:type="dxa"/>
            <w:vAlign w:val="bottom"/>
          </w:tcPr>
          <w:p>
            <w:pPr>
              <w:spacing w:after="0"/>
              <w:rPr>
                <w:sz w:val="12"/>
                <w:szCs w:val="12"/>
                <w:color w:val="auto"/>
              </w:rPr>
            </w:pPr>
          </w:p>
        </w:tc>
      </w:tr>
      <w:tr>
        <w:trPr>
          <w:trHeight w:val="14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Contingencies (Note 12)</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Shareholders’ Equity:</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540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Common stock, $0.0001 par value per share, 200,000,000 shares authorized, 24,955,581 and</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24,925,743 shares issued and outstanding at March 31, 2022 and December 31, 2021,</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5"/>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respectively</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r>
      <w:tr>
        <w:trPr>
          <w:trHeight w:val="133"/>
        </w:trPr>
        <w:tc>
          <w:tcPr>
            <w:tcW w:w="540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Preferred stock, $0.0001 par value per share, 10,000,000 shares authorized, no shares issued 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54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outstanding at March 31, 2022 and December 31, 2021</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335,417</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332,484</w:t>
            </w:r>
          </w:p>
        </w:tc>
      </w:tr>
      <w:tr>
        <w:trPr>
          <w:trHeight w:val="144"/>
        </w:trPr>
        <w:tc>
          <w:tcPr>
            <w:tcW w:w="5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7,781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8,060</w:t>
            </w:r>
          </w:p>
        </w:tc>
      </w:tr>
      <w:tr>
        <w:trPr>
          <w:trHeight w:val="144"/>
        </w:trPr>
        <w:tc>
          <w:tcPr>
            <w:tcW w:w="5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Accumulated deficit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(245,386)</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(235,923)</w:t>
            </w:r>
          </w:p>
        </w:tc>
      </w:tr>
      <w:tr>
        <w:trPr>
          <w:trHeight w:val="142"/>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Total shareholders’ equity</w:t>
            </w: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97,815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104,624</w:t>
            </w:r>
          </w:p>
        </w:tc>
        <w:tc>
          <w:tcPr>
            <w:tcW w:w="80" w:type="dxa"/>
            <w:vAlign w:val="bottom"/>
          </w:tcPr>
          <w:p>
            <w:pPr>
              <w:spacing w:after="0"/>
              <w:rPr>
                <w:sz w:val="12"/>
                <w:szCs w:val="12"/>
                <w:color w:val="auto"/>
              </w:rPr>
            </w:pPr>
          </w:p>
        </w:tc>
      </w:tr>
      <w:tr>
        <w:trPr>
          <w:trHeight w:val="14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106,491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116,015</w:t>
            </w:r>
          </w:p>
        </w:tc>
      </w:tr>
      <w:tr>
        <w:trPr>
          <w:trHeight w:val="27"/>
        </w:trPr>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4"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AVITA MEDICAL,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1620" w:type="dxa"/>
            <w:vAlign w:val="bottom"/>
            <w:gridSpan w:val="11"/>
          </w:tcPr>
          <w:p>
            <w:pPr>
              <w:ind w:left="12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88"/>
        </w:trPr>
        <w:tc>
          <w:tcPr>
            <w:tcW w:w="5720" w:type="dxa"/>
            <w:vAlign w:val="bottom"/>
            <w:tcBorders>
              <w:bottom w:val="single" w:sz="8" w:color="CCEEFF"/>
            </w:tcBorders>
          </w:tcPr>
          <w:p>
            <w:pPr>
              <w:spacing w:after="0"/>
              <w:rPr>
                <w:sz w:val="7"/>
                <w:szCs w:val="7"/>
                <w:color w:val="auto"/>
              </w:rPr>
            </w:pPr>
          </w:p>
        </w:tc>
        <w:tc>
          <w:tcPr>
            <w:tcW w:w="600" w:type="dxa"/>
            <w:vAlign w:val="bottom"/>
            <w:tcBorders>
              <w:top w:val="single" w:sz="8" w:color="auto"/>
              <w:bottom w:val="single" w:sz="8" w:color="auto"/>
            </w:tcBorders>
            <w:gridSpan w:val="4"/>
          </w:tcPr>
          <w:p>
            <w:pPr>
              <w:ind w:left="20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4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r>
      <w:tr>
        <w:trPr>
          <w:trHeight w:val="133"/>
        </w:trPr>
        <w:tc>
          <w:tcPr>
            <w:tcW w:w="5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Revenues</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7,539</w:t>
            </w:r>
          </w:p>
        </w:tc>
        <w:tc>
          <w:tcPr>
            <w:tcW w:w="1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8,765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(1,778)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(2,146)</w:t>
            </w:r>
          </w:p>
        </w:tc>
      </w:tr>
      <w:tr>
        <w:trPr>
          <w:trHeight w:val="20"/>
        </w:trPr>
        <w:tc>
          <w:tcPr>
            <w:tcW w:w="5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Gross profit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5,761</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6,619</w:t>
            </w:r>
          </w:p>
        </w:tc>
        <w:tc>
          <w:tcPr>
            <w:tcW w:w="40" w:type="dxa"/>
            <w:vAlign w:val="bottom"/>
            <w:shd w:val="clear" w:color="auto" w:fill="CCEEFF"/>
          </w:tcPr>
          <w:p>
            <w:pPr>
              <w:spacing w:after="0"/>
              <w:rPr>
                <w:sz w:val="12"/>
                <w:szCs w:val="12"/>
                <w:color w:val="auto"/>
              </w:rPr>
            </w:pPr>
          </w:p>
        </w:tc>
      </w:tr>
      <w:tr>
        <w:trPr>
          <w:trHeight w:val="142"/>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BARDA income</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57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Sales and marketing expenses *</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(4,828)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(3,649)</w:t>
            </w:r>
          </w:p>
        </w:tc>
      </w:tr>
      <w:tr>
        <w:trPr>
          <w:trHeight w:val="144"/>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General and administrative expenses *</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(7,534)</w:t>
            </w:r>
          </w:p>
        </w:tc>
        <w:tc>
          <w:tcPr>
            <w:tcW w:w="2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(5,422)</w:t>
            </w:r>
          </w:p>
        </w:tc>
      </w:tr>
      <w:tr>
        <w:trPr>
          <w:trHeight w:val="144"/>
        </w:trPr>
        <w:tc>
          <w:tcPr>
            <w:tcW w:w="57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Research and development expenses *</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(3,620)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(4,109)</w:t>
            </w:r>
          </w:p>
        </w:tc>
      </w:tr>
      <w:tr>
        <w:trPr>
          <w:trHeight w:val="20"/>
        </w:trPr>
        <w:tc>
          <w:tcPr>
            <w:tcW w:w="5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7"/>
              </w:rPr>
              <w:t>(15,982)</w:t>
            </w:r>
          </w:p>
        </w:tc>
        <w:tc>
          <w:tcPr>
            <w:tcW w:w="2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(13,180)</w:t>
            </w:r>
          </w:p>
        </w:tc>
      </w:tr>
      <w:tr>
        <w:trPr>
          <w:trHeight w:val="142"/>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(9,487)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w:t>
            </w:r>
          </w:p>
        </w:tc>
        <w:tc>
          <w:tcPr>
            <w:tcW w:w="40" w:type="dxa"/>
            <w:vAlign w:val="bottom"/>
          </w:tcPr>
          <w:p>
            <w:pPr>
              <w:spacing w:after="0"/>
              <w:rPr>
                <w:sz w:val="12"/>
                <w:szCs w:val="12"/>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(9,459)</w:t>
            </w:r>
          </w:p>
        </w:tc>
        <w:tc>
          <w:tcPr>
            <w:tcW w:w="2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(5,987)</w:t>
            </w: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(10)</w:t>
            </w:r>
          </w:p>
        </w:tc>
      </w:tr>
      <w:tr>
        <w:trPr>
          <w:trHeight w:val="20"/>
        </w:trPr>
        <w:tc>
          <w:tcPr>
            <w:tcW w:w="5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(9,463)</w:t>
            </w:r>
          </w:p>
        </w:tc>
        <w:tc>
          <w:tcPr>
            <w:tcW w:w="2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(5,997)</w:t>
            </w:r>
          </w:p>
        </w:tc>
      </w:tr>
      <w:tr>
        <w:trPr>
          <w:trHeight w:val="153"/>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Net loss per common share:</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(0.38)</w:t>
            </w:r>
          </w:p>
        </w:tc>
        <w:tc>
          <w:tcPr>
            <w:tcW w:w="2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(0.26)</w:t>
            </w:r>
          </w:p>
        </w:tc>
      </w:tr>
      <w:tr>
        <w:trPr>
          <w:trHeight w:val="144"/>
        </w:trPr>
        <w:tc>
          <w:tcPr>
            <w:tcW w:w="57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(0.38)</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(0.26)</w:t>
            </w:r>
          </w:p>
        </w:tc>
      </w:tr>
      <w:tr>
        <w:trPr>
          <w:trHeight w:val="144"/>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common shares:</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57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72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auto"/>
              </w:rPr>
              <w:t>24,937,999</w:t>
            </w:r>
          </w:p>
        </w:tc>
        <w:tc>
          <w:tcPr>
            <w:tcW w:w="220" w:type="dxa"/>
            <w:vAlign w:val="bottom"/>
          </w:tcPr>
          <w:p>
            <w:pPr>
              <w:spacing w:after="0"/>
              <w:rPr>
                <w:sz w:val="12"/>
                <w:szCs w:val="12"/>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22,734,335</w:t>
            </w:r>
          </w:p>
        </w:tc>
        <w:tc>
          <w:tcPr>
            <w:tcW w:w="40" w:type="dxa"/>
            <w:vAlign w:val="bottom"/>
          </w:tcPr>
          <w:p>
            <w:pPr>
              <w:spacing w:after="0"/>
              <w:rPr>
                <w:sz w:val="12"/>
                <w:szCs w:val="12"/>
                <w:color w:val="auto"/>
              </w:rPr>
            </w:pPr>
          </w:p>
        </w:tc>
      </w:tr>
      <w:tr>
        <w:trPr>
          <w:trHeight w:val="144"/>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720" w:type="dxa"/>
            <w:vAlign w:val="bottom"/>
            <w:tcBorders>
              <w:right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24,937,999</w:t>
            </w:r>
          </w:p>
        </w:tc>
        <w:tc>
          <w:tcPr>
            <w:tcW w:w="22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22,734,335</w:t>
            </w:r>
          </w:p>
        </w:tc>
        <w:tc>
          <w:tcPr>
            <w:tcW w:w="40" w:type="dxa"/>
            <w:vAlign w:val="bottom"/>
            <w:shd w:val="clear" w:color="auto" w:fill="CCEEFF"/>
          </w:tcPr>
          <w:p>
            <w:pPr>
              <w:spacing w:after="0"/>
              <w:rPr>
                <w:sz w:val="12"/>
                <w:szCs w:val="12"/>
                <w:color w:val="auto"/>
              </w:rPr>
            </w:pPr>
          </w:p>
        </w:tc>
      </w:tr>
      <w:tr>
        <w:trPr>
          <w:trHeight w:val="306"/>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  Total operating expenses include impact of share-based compensation as follows: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60" w:type="dxa"/>
            <w:vAlign w:val="bottom"/>
            <w:gridSpan w:val="9"/>
          </w:tcPr>
          <w:p>
            <w:pPr>
              <w:ind w:left="40"/>
              <w:spacing w:after="0"/>
              <w:rPr>
                <w:sz w:val="20"/>
                <w:szCs w:val="20"/>
                <w:color w:val="auto"/>
              </w:rPr>
            </w:pPr>
            <w:r>
              <w:rPr>
                <w:rFonts w:ascii="Times New Roman" w:cs="Times New Roman" w:eastAsia="Times New Roman" w:hAnsi="Times New Roman"/>
                <w:sz w:val="10"/>
                <w:szCs w:val="10"/>
                <w:b w:val="1"/>
                <w:bCs w:val="1"/>
                <w:color w:val="auto"/>
              </w:rPr>
              <w:t>Three-months ended March 31,</w:t>
            </w:r>
          </w:p>
        </w:tc>
      </w:tr>
      <w:tr>
        <w:trPr>
          <w:trHeight w:val="88"/>
        </w:trPr>
        <w:tc>
          <w:tcPr>
            <w:tcW w:w="57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top w:val="single" w:sz="8" w:color="auto"/>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r>
      <w:tr>
        <w:trPr>
          <w:trHeight w:val="133"/>
        </w:trPr>
        <w:tc>
          <w:tcPr>
            <w:tcW w:w="5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Sales and marketing expenses</w:t>
            </w:r>
          </w:p>
        </w:tc>
        <w:tc>
          <w:tcPr>
            <w:tcW w:w="1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right w:val="single" w:sz="8" w:color="CCEEFF"/>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329</w:t>
            </w:r>
          </w:p>
        </w:tc>
        <w:tc>
          <w:tcPr>
            <w:tcW w:w="2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238</w:t>
            </w:r>
          </w:p>
        </w:tc>
        <w:tc>
          <w:tcPr>
            <w:tcW w:w="40" w:type="dxa"/>
            <w:vAlign w:val="bottom"/>
            <w:shd w:val="clear" w:color="auto" w:fill="CCEEFF"/>
          </w:tcPr>
          <w:p>
            <w:pPr>
              <w:spacing w:after="0"/>
              <w:rPr>
                <w:sz w:val="11"/>
                <w:szCs w:val="11"/>
                <w:color w:val="auto"/>
              </w:rPr>
            </w:pP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2,327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930</w:t>
            </w:r>
          </w:p>
        </w:tc>
      </w:tr>
      <w:tr>
        <w:trPr>
          <w:trHeight w:val="144"/>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276</w:t>
            </w:r>
          </w:p>
        </w:tc>
        <w:tc>
          <w:tcPr>
            <w:tcW w:w="2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165</w:t>
            </w:r>
          </w:p>
        </w:tc>
      </w:tr>
      <w:tr>
        <w:trPr>
          <w:trHeight w:val="149"/>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2,932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1,333</w:t>
            </w:r>
          </w:p>
        </w:tc>
        <w:tc>
          <w:tcPr>
            <w:tcW w:w="40" w:type="dxa"/>
            <w:vAlign w:val="bottom"/>
          </w:tcPr>
          <w:p>
            <w:pPr>
              <w:spacing w:after="0"/>
              <w:rPr>
                <w:sz w:val="12"/>
                <w:szCs w:val="12"/>
                <w:color w:val="auto"/>
              </w:rPr>
            </w:pPr>
          </w:p>
        </w:tc>
      </w:tr>
      <w:tr>
        <w:trPr>
          <w:trHeight w:val="441"/>
        </w:trPr>
        <w:tc>
          <w:tcPr>
            <w:tcW w:w="6660" w:type="dxa"/>
            <w:vAlign w:val="bottom"/>
            <w:gridSpan w:val="7"/>
          </w:tcPr>
          <w:p>
            <w:pPr>
              <w:ind w:left="1040"/>
              <w:spacing w:after="0"/>
              <w:rPr>
                <w:sz w:val="20"/>
                <w:szCs w:val="20"/>
                <w:color w:val="auto"/>
              </w:rPr>
            </w:pPr>
            <w:r>
              <w:rPr>
                <w:rFonts w:ascii="Times New Roman" w:cs="Times New Roman" w:eastAsia="Times New Roman" w:hAnsi="Times New Roman"/>
                <w:sz w:val="12"/>
                <w:szCs w:val="12"/>
                <w:b w:val="1"/>
                <w:bCs w:val="1"/>
                <w:color w:val="auto"/>
              </w:rPr>
              <w:t>Reconciliation of reported Net Loss (GAAP) to Adjusted EBIDTA (NON-GAAP) Measure – Unaudited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5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60" w:type="dxa"/>
            <w:vAlign w:val="bottom"/>
            <w:gridSpan w:val="9"/>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r>
      <w:tr>
        <w:trPr>
          <w:trHeight w:val="88"/>
        </w:trPr>
        <w:tc>
          <w:tcPr>
            <w:tcW w:w="57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r>
      <w:tr>
        <w:trPr>
          <w:trHeight w:val="133"/>
        </w:trPr>
        <w:tc>
          <w:tcPr>
            <w:tcW w:w="5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160" w:type="dxa"/>
            <w:vAlign w:val="bottom"/>
            <w:gridSpan w:val="2"/>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(9,463)</w:t>
            </w:r>
          </w:p>
        </w:tc>
        <w:tc>
          <w:tcPr>
            <w:tcW w:w="2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(5,997)</w:t>
            </w:r>
          </w:p>
        </w:tc>
        <w:tc>
          <w:tcPr>
            <w:tcW w:w="80" w:type="dxa"/>
            <w:vAlign w:val="bottom"/>
            <w:gridSpan w:val="2"/>
            <w:shd w:val="clear" w:color="auto" w:fill="CCEEFF"/>
          </w:tcPr>
          <w:p>
            <w:pPr>
              <w:spacing w:after="0"/>
              <w:rPr>
                <w:sz w:val="11"/>
                <w:szCs w:val="11"/>
                <w:color w:val="auto"/>
              </w:rPr>
            </w:pP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expense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137</w:t>
            </w:r>
          </w:p>
        </w:tc>
        <w:tc>
          <w:tcPr>
            <w:tcW w:w="40" w:type="dxa"/>
            <w:vAlign w:val="bottom"/>
          </w:tcPr>
          <w:p>
            <w:pPr>
              <w:spacing w:after="0"/>
              <w:rPr>
                <w:sz w:val="12"/>
                <w:szCs w:val="12"/>
                <w:color w:val="auto"/>
              </w:rPr>
            </w:pPr>
          </w:p>
        </w:tc>
      </w:tr>
      <w:tr>
        <w:trPr>
          <w:trHeight w:val="144"/>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Patent Amortization</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w:t>
            </w: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w:t>
            </w:r>
          </w:p>
        </w:tc>
        <w:tc>
          <w:tcPr>
            <w:tcW w:w="40" w:type="dxa"/>
            <w:vAlign w:val="bottom"/>
            <w:shd w:val="clear" w:color="auto" w:fill="CCEEFF"/>
          </w:tcPr>
          <w:p>
            <w:pPr>
              <w:spacing w:after="0"/>
              <w:rPr>
                <w:sz w:val="12"/>
                <w:szCs w:val="12"/>
                <w:color w:val="auto"/>
              </w:rPr>
            </w:pP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Share-based expense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2,932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1,333</w:t>
            </w:r>
          </w:p>
        </w:tc>
        <w:tc>
          <w:tcPr>
            <w:tcW w:w="40" w:type="dxa"/>
            <w:vAlign w:val="bottom"/>
          </w:tcPr>
          <w:p>
            <w:pPr>
              <w:spacing w:after="0"/>
              <w:rPr>
                <w:sz w:val="12"/>
                <w:szCs w:val="12"/>
                <w:color w:val="auto"/>
              </w:rPr>
            </w:pPr>
          </w:p>
        </w:tc>
      </w:tr>
      <w:tr>
        <w:trPr>
          <w:trHeight w:val="144"/>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shd w:val="clear" w:color="auto" w:fill="CCEEFF"/>
          </w:tcPr>
          <w:p>
            <w:pPr>
              <w:spacing w:after="0"/>
              <w:rPr>
                <w:sz w:val="12"/>
                <w:szCs w:val="12"/>
                <w:color w:val="auto"/>
              </w:rPr>
            </w:pP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w:t>
            </w:r>
          </w:p>
        </w:tc>
        <w:tc>
          <w:tcPr>
            <w:tcW w:w="40" w:type="dxa"/>
            <w:vAlign w:val="bottom"/>
          </w:tcPr>
          <w:p>
            <w:pPr>
              <w:spacing w:after="0"/>
              <w:rPr>
                <w:sz w:val="12"/>
                <w:szCs w:val="12"/>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(Non-GAAP)</w:t>
            </w:r>
          </w:p>
        </w:tc>
        <w:tc>
          <w:tcPr>
            <w:tcW w:w="160" w:type="dxa"/>
            <w:vAlign w:val="bottom"/>
            <w:gridSpan w:val="2"/>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(6,364)</w:t>
            </w:r>
          </w:p>
        </w:tc>
        <w:tc>
          <w:tcPr>
            <w:tcW w:w="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(4,484)</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24"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2022-05-17T15:07:34Z</dcterms:created>
  <dcterms:modified xsi:type="dcterms:W3CDTF">2022-05-17T15:07:34Z</dcterms:modified>
</cp:coreProperties>
</file>