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December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166370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Avita Medical,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85-1021707</w:t>
      </w:r>
    </w:p>
    <w:p>
      <w:pPr>
        <w:spacing w:after="0" w:line="21" w:lineRule="exact"/>
        <w:rPr>
          <w:sz w:val="24"/>
          <w:szCs w:val="24"/>
          <w:color w:val="auto"/>
        </w:rPr>
      </w:pPr>
    </w:p>
    <w:p>
      <w:pPr>
        <w:sectPr>
          <w:pgSz w:w="11900" w:h="16838" w:orient="portrait"/>
          <w:cols w:equalWidth="0" w:num="3">
            <w:col w:w="3600" w:space="720"/>
            <w:col w:w="1680" w:space="720"/>
            <w:col w:w="2299"/>
          </w:cols>
          <w:pgMar w:left="1440" w:top="301"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69" w:lineRule="exact"/>
        <w:rPr>
          <w:sz w:val="24"/>
          <w:szCs w:val="24"/>
          <w:color w:val="auto"/>
        </w:rPr>
      </w:pPr>
    </w:p>
    <w:p>
      <w:pPr>
        <w:sectPr>
          <w:pgSz w:w="11900" w:h="16838" w:orient="portrait"/>
          <w:cols w:equalWidth="0" w:num="3">
            <w:col w:w="3580" w:space="720"/>
            <w:col w:w="1600" w:space="720"/>
            <w:col w:w="2399"/>
          </w:cols>
          <w:pgMar w:left="1440" w:top="301" w:right="1440" w:bottom="1440" w:gutter="0" w:footer="0" w:header="0"/>
          <w:type w:val="continuous"/>
        </w:sectPr>
      </w:pPr>
    </w:p>
    <w:p>
      <w:pPr>
        <w:ind w:left="1300"/>
        <w:spacing w:after="0"/>
        <w:rPr>
          <w:sz w:val="20"/>
          <w:szCs w:val="20"/>
          <w:color w:val="auto"/>
        </w:rPr>
      </w:pPr>
      <w:r>
        <w:rPr>
          <w:rFonts w:ascii="Arial" w:cs="Arial" w:eastAsia="Arial" w:hAnsi="Arial"/>
          <w:sz w:val="10"/>
          <w:szCs w:val="10"/>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661.367.9170</w:t>
      </w:r>
    </w:p>
    <w:p>
      <w:pPr>
        <w:spacing w:after="0" w:line="42" w:lineRule="exact"/>
        <w:rPr>
          <w:sz w:val="24"/>
          <w:szCs w:val="24"/>
          <w:color w:val="auto"/>
        </w:rPr>
      </w:pPr>
    </w:p>
    <w:p>
      <w:pPr>
        <w:sectPr>
          <w:pgSz w:w="11900" w:h="16838" w:orient="portrait"/>
          <w:cols w:equalWidth="0" w:num="2">
            <w:col w:w="5340" w:space="720"/>
            <w:col w:w="2959"/>
          </w:cols>
          <w:pgMar w:left="1440" w:top="301" w:right="1440" w:bottom="1440" w:gutter="0" w:footer="0" w:header="0"/>
          <w:type w:val="continuous"/>
        </w:sectPr>
      </w:pPr>
    </w:p>
    <w:p>
      <w:pPr>
        <w:jc w:val="center"/>
        <w:ind w:left="78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38" w:lineRule="exact"/>
        <w:rPr>
          <w:sz w:val="24"/>
          <w:szCs w:val="24"/>
          <w:color w:val="auto"/>
        </w:rPr>
      </w:pPr>
    </w:p>
    <w:p>
      <w:pPr>
        <w:sectPr>
          <w:pgSz w:w="11900" w:h="16838" w:orient="portrait"/>
          <w:cols w:equalWidth="0" w:num="2">
            <w:col w:w="4600" w:space="720"/>
            <w:col w:w="3699"/>
          </w:cols>
          <w:pgMar w:left="1440" w:top="301"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8"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6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28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2"/>
        </w:trPr>
        <w:tc>
          <w:tcPr>
            <w:tcW w:w="25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RCEL</w:t>
            </w:r>
          </w:p>
        </w:tc>
        <w:tc>
          <w:tcPr>
            <w:tcW w:w="60" w:type="dxa"/>
            <w:vAlign w:val="bottom"/>
          </w:tcPr>
          <w:p>
            <w:pPr>
              <w:spacing w:after="0"/>
              <w:rPr>
                <w:sz w:val="12"/>
                <w:szCs w:val="12"/>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2"/>
              </w:rPr>
              <w:t>The Nasdaq Stock Market LLC</w:t>
            </w:r>
          </w:p>
        </w:tc>
      </w:tr>
    </w:tbl>
    <w:p>
      <w:pPr>
        <w:spacing w:after="0" w:line="126" w:lineRule="exact"/>
        <w:rPr>
          <w:sz w:val="24"/>
          <w:szCs w:val="24"/>
          <w:color w:val="auto"/>
        </w:rPr>
      </w:pPr>
    </w:p>
    <w:p>
      <w:pPr>
        <w:ind w:left="840" w:right="899"/>
        <w:spacing w:after="0" w:line="15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5.07.</w:t>
      </w:r>
      <w:r>
        <w:rPr>
          <w:sz w:val="20"/>
          <w:szCs w:val="20"/>
          <w:color w:val="auto"/>
        </w:rPr>
        <w:tab/>
      </w:r>
      <w:r>
        <w:rPr>
          <w:rFonts w:ascii="Arial" w:cs="Arial" w:eastAsia="Arial" w:hAnsi="Arial"/>
          <w:sz w:val="10"/>
          <w:szCs w:val="10"/>
          <w:b w:val="1"/>
          <w:bCs w:val="1"/>
          <w:color w:val="auto"/>
        </w:rPr>
        <w:t>Submission of Matters to a Vote of Security Holders.</w:t>
      </w:r>
    </w:p>
    <w:p>
      <w:pPr>
        <w:spacing w:after="0" w:line="82"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AVITA Medical, Inc. ( “Company”) held its 2022 Annual Meeting of Stockholders (“Annual Meeting”) virtually on December 12, 2022 (United States) (being December 13, 2022 in Australia). At the Annual Meeting, the total number of shares of common stock eligible to vote as of the record date, October 19, 2022 (Pacific Time), was 25,030,902 and, pursuant to the Company’s Amended and Restated Bylaws, majority shares were required to be present or represented at the Annual Meeting to constitute a quorum. The total number of shares of common stock present or represented at the Annual Meeting was 12,913,899, and a quorum therefore existed.</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At the Annual Meeting:</w:t>
      </w:r>
    </w:p>
    <w:p>
      <w:pPr>
        <w:spacing w:after="0" w:line="87" w:lineRule="exact"/>
        <w:rPr>
          <w:sz w:val="20"/>
          <w:szCs w:val="20"/>
          <w:color w:val="auto"/>
        </w:rPr>
      </w:pPr>
    </w:p>
    <w:p>
      <w:pPr>
        <w:ind w:left="1120" w:right="1039" w:hanging="288"/>
        <w:spacing w:after="0" w:line="276" w:lineRule="auto"/>
        <w:tabs>
          <w:tab w:leader="none" w:pos="112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Election of Directors</w:t>
      </w:r>
      <w:r>
        <w:rPr>
          <w:rFonts w:ascii="Arial" w:cs="Arial" w:eastAsia="Arial" w:hAnsi="Arial"/>
          <w:sz w:val="12"/>
          <w:szCs w:val="12"/>
          <w:color w:val="auto"/>
        </w:rPr>
        <w:t>. All five directors named in the Company’s Proxy Statement for the Annual Meeting (“Proxy Statement”) were elected to</w:t>
      </w:r>
      <w:r>
        <w:rPr>
          <w:rFonts w:ascii="Arial" w:cs="Arial" w:eastAsia="Arial" w:hAnsi="Arial"/>
          <w:sz w:val="12"/>
          <w:szCs w:val="12"/>
          <w:i w:val="1"/>
          <w:iCs w:val="1"/>
          <w:color w:val="auto"/>
        </w:rPr>
        <w:t xml:space="preserve"> </w:t>
      </w:r>
      <w:r>
        <w:rPr>
          <w:rFonts w:ascii="Arial" w:cs="Arial" w:eastAsia="Arial" w:hAnsi="Arial"/>
          <w:sz w:val="12"/>
          <w:szCs w:val="12"/>
          <w:color w:val="auto"/>
        </w:rPr>
        <w:t>serve on the Company’s Board of Directors with the following vote:</w:t>
      </w:r>
    </w:p>
    <w:p>
      <w:pPr>
        <w:spacing w:after="0" w:line="126"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398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580" w:type="dxa"/>
            <w:vAlign w:val="bottom"/>
          </w:tcPr>
          <w:p>
            <w:pPr>
              <w:jc w:val="right"/>
              <w:ind w:right="42"/>
              <w:spacing w:after="0"/>
              <w:rPr>
                <w:sz w:val="20"/>
                <w:szCs w:val="20"/>
                <w:color w:val="auto"/>
              </w:rPr>
            </w:pPr>
            <w:r>
              <w:rPr>
                <w:rFonts w:ascii="Arial" w:cs="Arial" w:eastAsia="Arial" w:hAnsi="Arial"/>
                <w:sz w:val="10"/>
                <w:szCs w:val="10"/>
                <w:b w:val="1"/>
                <w:bCs w:val="1"/>
                <w:color w:val="auto"/>
                <w:w w:val="99"/>
              </w:rPr>
              <w:t>Votes For</w:t>
            </w:r>
          </w:p>
        </w:tc>
        <w:tc>
          <w:tcPr>
            <w:tcW w:w="1060" w:type="dxa"/>
            <w:vAlign w:val="bottom"/>
            <w:gridSpan w:val="3"/>
          </w:tcPr>
          <w:p>
            <w:pPr>
              <w:ind w:left="200"/>
              <w:spacing w:after="0"/>
              <w:rPr>
                <w:sz w:val="20"/>
                <w:szCs w:val="20"/>
                <w:color w:val="auto"/>
              </w:rPr>
            </w:pPr>
            <w:r>
              <w:rPr>
                <w:rFonts w:ascii="Arial" w:cs="Arial" w:eastAsia="Arial" w:hAnsi="Arial"/>
                <w:sz w:val="10"/>
                <w:szCs w:val="10"/>
                <w:b w:val="1"/>
                <w:bCs w:val="1"/>
                <w:color w:val="auto"/>
              </w:rPr>
              <w:t>Votes Withheld</w:t>
            </w:r>
          </w:p>
        </w:tc>
        <w:tc>
          <w:tcPr>
            <w:tcW w:w="560" w:type="dxa"/>
            <w:vAlign w:val="bottom"/>
            <w:gridSpan w:val="2"/>
          </w:tcPr>
          <w:p>
            <w:pPr>
              <w:ind w:left="40"/>
              <w:spacing w:after="0"/>
              <w:rPr>
                <w:sz w:val="20"/>
                <w:szCs w:val="20"/>
                <w:color w:val="auto"/>
              </w:rPr>
            </w:pPr>
            <w:r>
              <w:rPr>
                <w:rFonts w:ascii="Arial" w:cs="Arial" w:eastAsia="Arial" w:hAnsi="Arial"/>
                <w:sz w:val="10"/>
                <w:szCs w:val="10"/>
                <w:b w:val="1"/>
                <w:bCs w:val="1"/>
                <w:color w:val="auto"/>
                <w:w w:val="99"/>
              </w:rPr>
              <w:t>Non-Votes</w:t>
            </w: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22"/>
        </w:trPr>
        <w:tc>
          <w:tcPr>
            <w:tcW w:w="398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Louis Panaccio (</w:t>
            </w:r>
            <w:r>
              <w:rPr>
                <w:rFonts w:ascii="Arial" w:cs="Arial" w:eastAsia="Arial" w:hAnsi="Arial"/>
                <w:sz w:val="12"/>
                <w:szCs w:val="12"/>
                <w:i w:val="1"/>
                <w:iCs w:val="1"/>
                <w:color w:val="auto"/>
              </w:rPr>
              <w:t>Chair</w:t>
            </w:r>
            <w:r>
              <w:rPr>
                <w:rFonts w:ascii="Arial" w:cs="Arial" w:eastAsia="Arial" w:hAnsi="Arial"/>
                <w:sz w:val="12"/>
                <w:szCs w:val="12"/>
                <w:color w:val="auto"/>
              </w:rPr>
              <w:t>)</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9,299,761</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rPr>
              <w:t>1,685,226</w:t>
            </w: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color w:val="auto"/>
                <w:w w:val="86"/>
              </w:rPr>
              <w:t>1,928,912</w:t>
            </w:r>
          </w:p>
        </w:tc>
        <w:tc>
          <w:tcPr>
            <w:tcW w:w="40" w:type="dxa"/>
            <w:vAlign w:val="bottom"/>
            <w:shd w:val="clear" w:color="auto" w:fill="CCEEFF"/>
          </w:tcPr>
          <w:p>
            <w:pPr>
              <w:spacing w:after="0"/>
              <w:rPr>
                <w:sz w:val="10"/>
                <w:szCs w:val="10"/>
                <w:color w:val="auto"/>
              </w:rPr>
            </w:pPr>
          </w:p>
        </w:tc>
      </w:tr>
      <w:tr>
        <w:trPr>
          <w:trHeight w:val="144"/>
        </w:trPr>
        <w:tc>
          <w:tcPr>
            <w:tcW w:w="3980" w:type="dxa"/>
            <w:vAlign w:val="bottom"/>
            <w:gridSpan w:val="2"/>
          </w:tcPr>
          <w:p>
            <w:pPr>
              <w:spacing w:after="0"/>
              <w:rPr>
                <w:sz w:val="20"/>
                <w:szCs w:val="20"/>
                <w:color w:val="auto"/>
              </w:rPr>
            </w:pPr>
            <w:r>
              <w:rPr>
                <w:rFonts w:ascii="Arial" w:cs="Arial" w:eastAsia="Arial" w:hAnsi="Arial"/>
                <w:sz w:val="12"/>
                <w:szCs w:val="12"/>
                <w:color w:val="auto"/>
              </w:rPr>
              <w:t>James Corbett (</w:t>
            </w:r>
            <w:r>
              <w:rPr>
                <w:rFonts w:ascii="Arial" w:cs="Arial" w:eastAsia="Arial" w:hAnsi="Arial"/>
                <w:sz w:val="12"/>
                <w:szCs w:val="12"/>
                <w:i w:val="1"/>
                <w:iCs w:val="1"/>
                <w:color w:val="auto"/>
              </w:rPr>
              <w:t>Executive Director and CEO</w:t>
            </w: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10,360,740</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624,247</w:t>
            </w:r>
          </w:p>
        </w:tc>
        <w:tc>
          <w:tcPr>
            <w:tcW w:w="22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Arial" w:cs="Arial" w:eastAsia="Arial" w:hAnsi="Arial"/>
                <w:sz w:val="12"/>
                <w:szCs w:val="12"/>
                <w:color w:val="auto"/>
                <w:w w:val="86"/>
              </w:rPr>
              <w:t>1,928,912</w:t>
            </w:r>
          </w:p>
        </w:tc>
        <w:tc>
          <w:tcPr>
            <w:tcW w:w="40" w:type="dxa"/>
            <w:vAlign w:val="bottom"/>
          </w:tcPr>
          <w:p>
            <w:pPr>
              <w:spacing w:after="0"/>
              <w:rPr>
                <w:sz w:val="12"/>
                <w:szCs w:val="12"/>
                <w:color w:val="auto"/>
              </w:rPr>
            </w:pPr>
          </w:p>
        </w:tc>
      </w:tr>
      <w:tr>
        <w:trPr>
          <w:trHeight w:val="144"/>
        </w:trPr>
        <w:tc>
          <w:tcPr>
            <w:tcW w:w="3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Jeremy Curnock Cook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9,803,894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1,181,093</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6"/>
              </w:rPr>
              <w:t>1,928,912</w:t>
            </w:r>
          </w:p>
        </w:tc>
        <w:tc>
          <w:tcPr>
            <w:tcW w:w="40" w:type="dxa"/>
            <w:vAlign w:val="bottom"/>
            <w:shd w:val="clear" w:color="auto" w:fill="CCEEFF"/>
          </w:tcPr>
          <w:p>
            <w:pPr>
              <w:spacing w:after="0"/>
              <w:rPr>
                <w:sz w:val="12"/>
                <w:szCs w:val="12"/>
                <w:color w:val="auto"/>
              </w:rPr>
            </w:pPr>
          </w:p>
        </w:tc>
      </w:tr>
      <w:tr>
        <w:trPr>
          <w:trHeight w:val="144"/>
        </w:trPr>
        <w:tc>
          <w:tcPr>
            <w:tcW w:w="3980" w:type="dxa"/>
            <w:vAlign w:val="bottom"/>
            <w:gridSpan w:val="2"/>
          </w:tcPr>
          <w:p>
            <w:pPr>
              <w:spacing w:after="0"/>
              <w:rPr>
                <w:sz w:val="20"/>
                <w:szCs w:val="20"/>
                <w:color w:val="auto"/>
              </w:rPr>
            </w:pPr>
            <w:r>
              <w:rPr>
                <w:rFonts w:ascii="Arial" w:cs="Arial" w:eastAsia="Arial" w:hAnsi="Arial"/>
                <w:sz w:val="12"/>
                <w:szCs w:val="12"/>
                <w:color w:val="auto"/>
              </w:rPr>
              <w:t>Professor Suzanne Crowe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9,216,541</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1,768,446</w:t>
            </w:r>
          </w:p>
        </w:tc>
        <w:tc>
          <w:tcPr>
            <w:tcW w:w="22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Arial" w:cs="Arial" w:eastAsia="Arial" w:hAnsi="Arial"/>
                <w:sz w:val="12"/>
                <w:szCs w:val="12"/>
                <w:color w:val="auto"/>
                <w:w w:val="86"/>
              </w:rPr>
              <w:t>1,928,912</w:t>
            </w:r>
          </w:p>
        </w:tc>
        <w:tc>
          <w:tcPr>
            <w:tcW w:w="40" w:type="dxa"/>
            <w:vAlign w:val="bottom"/>
          </w:tcPr>
          <w:p>
            <w:pPr>
              <w:spacing w:after="0"/>
              <w:rPr>
                <w:sz w:val="12"/>
                <w:szCs w:val="12"/>
                <w:color w:val="auto"/>
              </w:rPr>
            </w:pPr>
          </w:p>
        </w:tc>
      </w:tr>
      <w:tr>
        <w:trPr>
          <w:trHeight w:val="144"/>
        </w:trPr>
        <w:tc>
          <w:tcPr>
            <w:tcW w:w="3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Jan Stern Reed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9,926,444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1,058,543</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6"/>
              </w:rPr>
              <w:t>1,928,912</w:t>
            </w:r>
          </w:p>
        </w:tc>
        <w:tc>
          <w:tcPr>
            <w:tcW w:w="40" w:type="dxa"/>
            <w:vAlign w:val="bottom"/>
            <w:shd w:val="clear" w:color="auto" w:fill="CCEEFF"/>
          </w:tcPr>
          <w:p>
            <w:pPr>
              <w:spacing w:after="0"/>
              <w:rPr>
                <w:sz w:val="12"/>
                <w:szCs w:val="12"/>
                <w:color w:val="auto"/>
              </w:rPr>
            </w:pPr>
          </w:p>
        </w:tc>
      </w:tr>
    </w:tbl>
    <w:p>
      <w:pPr>
        <w:spacing w:after="0" w:line="153" w:lineRule="exact"/>
        <w:rPr>
          <w:sz w:val="20"/>
          <w:szCs w:val="20"/>
          <w:color w:val="auto"/>
        </w:rPr>
      </w:pPr>
    </w:p>
    <w:p>
      <w:pPr>
        <w:ind w:left="1120" w:right="999" w:hanging="288"/>
        <w:spacing w:after="0" w:line="323" w:lineRule="auto"/>
        <w:tabs>
          <w:tab w:leader="none" w:pos="112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Appointment of Independent Auditors</w:t>
      </w:r>
      <w:r>
        <w:rPr>
          <w:rFonts w:ascii="Arial" w:cs="Arial" w:eastAsia="Arial" w:hAnsi="Arial"/>
          <w:sz w:val="11"/>
          <w:szCs w:val="11"/>
          <w:color w:val="auto"/>
        </w:rPr>
        <w:t>. The appointment of Grant Thornton LLP as the Company’s independent public accountants for the fiscal</w:t>
      </w:r>
      <w:r>
        <w:rPr>
          <w:rFonts w:ascii="Arial" w:cs="Arial" w:eastAsia="Arial" w:hAnsi="Arial"/>
          <w:sz w:val="11"/>
          <w:szCs w:val="11"/>
          <w:i w:val="1"/>
          <w:iCs w:val="1"/>
          <w:color w:val="auto"/>
        </w:rPr>
        <w:t xml:space="preserve"> </w:t>
      </w:r>
      <w:r>
        <w:rPr>
          <w:rFonts w:ascii="Arial" w:cs="Arial" w:eastAsia="Arial" w:hAnsi="Arial"/>
          <w:sz w:val="11"/>
          <w:szCs w:val="11"/>
          <w:color w:val="auto"/>
        </w:rPr>
        <w:t>year ending December 31, 2022, was ratified by a vote of (i) 12,430,789 in favor, (ii) 224,743 against, and (iii) 258,367 abstaining.</w:t>
      </w:r>
    </w:p>
    <w:p>
      <w:pPr>
        <w:spacing w:after="0" w:line="28" w:lineRule="exact"/>
        <w:rPr>
          <w:rFonts w:ascii="Arial" w:cs="Arial" w:eastAsia="Arial" w:hAnsi="Arial"/>
          <w:sz w:val="11"/>
          <w:szCs w:val="11"/>
          <w:color w:val="auto"/>
        </w:rPr>
      </w:pPr>
    </w:p>
    <w:p>
      <w:pPr>
        <w:ind w:left="1120" w:right="899" w:hanging="288"/>
        <w:spacing w:after="0" w:line="259" w:lineRule="auto"/>
        <w:tabs>
          <w:tab w:leader="none" w:pos="11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Amendments to the Company’s Amended and Restated Bylaws</w:t>
      </w:r>
      <w:r>
        <w:rPr>
          <w:rFonts w:ascii="Arial" w:cs="Arial" w:eastAsia="Arial" w:hAnsi="Arial"/>
          <w:sz w:val="12"/>
          <w:szCs w:val="12"/>
          <w:color w:val="auto"/>
        </w:rPr>
        <w:t>: Shareholders did not approve amendments to the Company’s Certificate of</w:t>
      </w:r>
      <w:r>
        <w:rPr>
          <w:rFonts w:ascii="Arial" w:cs="Arial" w:eastAsia="Arial" w:hAnsi="Arial"/>
          <w:sz w:val="12"/>
          <w:szCs w:val="12"/>
          <w:i w:val="1"/>
          <w:iCs w:val="1"/>
          <w:color w:val="auto"/>
        </w:rPr>
        <w:t xml:space="preserve"> </w:t>
      </w:r>
      <w:r>
        <w:rPr>
          <w:rFonts w:ascii="Arial" w:cs="Arial" w:eastAsia="Arial" w:hAnsi="Arial"/>
          <w:sz w:val="12"/>
          <w:szCs w:val="12"/>
          <w:color w:val="auto"/>
        </w:rPr>
        <w:t>Incorporation and Amended and Restated Bylaws to reduce the quorum requirement for stockholder meetings, on the terms and conditions set out in the Proxy Statement, by a vote of (i) 9,587,285 in favor, (ii) 956,344 against, and (iii) 441,358 abstaining. Proposal 3 was not carried as the number of votes required to approve the proposal was not reached.</w:t>
      </w:r>
    </w:p>
    <w:p>
      <w:pPr>
        <w:spacing w:after="0" w:line="61" w:lineRule="exact"/>
        <w:rPr>
          <w:rFonts w:ascii="Arial" w:cs="Arial" w:eastAsia="Arial" w:hAnsi="Arial"/>
          <w:sz w:val="12"/>
          <w:szCs w:val="12"/>
          <w:color w:val="auto"/>
        </w:rPr>
      </w:pPr>
    </w:p>
    <w:p>
      <w:pPr>
        <w:ind w:left="1120" w:right="859" w:hanging="288"/>
        <w:spacing w:after="0" w:line="256" w:lineRule="auto"/>
        <w:tabs>
          <w:tab w:leader="none" w:pos="11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Issuance of Securities to Mr. Louis Panaccio</w:t>
      </w:r>
      <w:r>
        <w:rPr>
          <w:rFonts w:ascii="Arial" w:cs="Arial" w:eastAsia="Arial" w:hAnsi="Arial"/>
          <w:sz w:val="12"/>
          <w:szCs w:val="12"/>
          <w:color w:val="auto"/>
        </w:rPr>
        <w:t>: Shareholders approved the grant of restricted stock units to acquire shares of common stock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(which may be represented by CDIs) equal in value to US$87,500 (at the time of the grant) and the grant of options to acquire shares of common stock of the Company (which may be represented by CDIs) equal in value to US$37,500 (at the time of the grant) to Mr. Louis Panaccio on the terms and conditions set out in this Proxy Statement, pursuant to and for the purposes of ASX Listing Rule 10.11, by a vote of (i) 7,637,405 in favor, (ii) 2,735,159 against, and (iii) 612,423 abstaining.</w:t>
      </w:r>
    </w:p>
    <w:p>
      <w:pPr>
        <w:spacing w:after="0" w:line="65" w:lineRule="exact"/>
        <w:rPr>
          <w:rFonts w:ascii="Arial" w:cs="Arial" w:eastAsia="Arial" w:hAnsi="Arial"/>
          <w:sz w:val="12"/>
          <w:szCs w:val="12"/>
          <w:color w:val="auto"/>
        </w:rPr>
      </w:pPr>
    </w:p>
    <w:p>
      <w:pPr>
        <w:ind w:left="1120" w:right="859" w:hanging="288"/>
        <w:spacing w:after="0" w:line="285" w:lineRule="auto"/>
        <w:tabs>
          <w:tab w:leader="none" w:pos="112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Issuance of Securities to Professor Suzanne Crowe</w:t>
      </w:r>
      <w:r>
        <w:rPr>
          <w:rFonts w:ascii="Arial" w:cs="Arial" w:eastAsia="Arial" w:hAnsi="Arial"/>
          <w:sz w:val="11"/>
          <w:szCs w:val="11"/>
          <w:color w:val="auto"/>
        </w:rPr>
        <w:t>: Shareholders approved the grant of restricted stock units to acquire shares of common stock of</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(which may be represented by CDIs) equal in value to US$87,500 (at the time of the grant) and the grant of options to acquire shares of common stock of the Company (which may be represented by CDIs) equal in value to US$37,500 (at the time of the grant) to Professor Suzanne Crowe on the terms and conditions set out in this Proxy Statement, pursuant to and for the purposes of ASX Listing Rule 10.11, by a vote of (i) 7,656,800 in favor, (ii) 2,666,551 against, and (iii) 661,636 abstaining.</w:t>
      </w:r>
    </w:p>
    <w:p>
      <w:pPr>
        <w:spacing w:after="0" w:line="50" w:lineRule="exact"/>
        <w:rPr>
          <w:rFonts w:ascii="Arial" w:cs="Arial" w:eastAsia="Arial" w:hAnsi="Arial"/>
          <w:sz w:val="11"/>
          <w:szCs w:val="11"/>
          <w:color w:val="auto"/>
        </w:rPr>
      </w:pPr>
    </w:p>
    <w:p>
      <w:pPr>
        <w:ind w:left="1120" w:right="959" w:hanging="288"/>
        <w:spacing w:after="0" w:line="306" w:lineRule="auto"/>
        <w:tabs>
          <w:tab w:leader="none" w:pos="1120" w:val="left"/>
        </w:tabs>
        <w:numPr>
          <w:ilvl w:val="0"/>
          <w:numId w:val="3"/>
        </w:numPr>
        <w:rPr>
          <w:rFonts w:ascii="Arial" w:cs="Arial" w:eastAsia="Arial" w:hAnsi="Arial"/>
          <w:sz w:val="10"/>
          <w:szCs w:val="10"/>
          <w:color w:val="auto"/>
        </w:rPr>
      </w:pPr>
      <w:r>
        <w:rPr>
          <w:rFonts w:ascii="Arial" w:cs="Arial" w:eastAsia="Arial" w:hAnsi="Arial"/>
          <w:sz w:val="10"/>
          <w:szCs w:val="10"/>
          <w:i w:val="1"/>
          <w:iCs w:val="1"/>
          <w:color w:val="auto"/>
        </w:rPr>
        <w:t>Issuance of Securities to Mr. Jeremy Curnock Cook</w:t>
      </w:r>
      <w:r>
        <w:rPr>
          <w:rFonts w:ascii="Arial" w:cs="Arial" w:eastAsia="Arial" w:hAnsi="Arial"/>
          <w:sz w:val="10"/>
          <w:szCs w:val="10"/>
          <w:color w:val="auto"/>
        </w:rPr>
        <w:t>: Shareholders approved the grant of restricted stock units to acquire shares of common stock</w:t>
      </w:r>
      <w:r>
        <w:rPr>
          <w:rFonts w:ascii="Arial" w:cs="Arial" w:eastAsia="Arial" w:hAnsi="Arial"/>
          <w:sz w:val="10"/>
          <w:szCs w:val="10"/>
          <w:i w:val="1"/>
          <w:iCs w:val="1"/>
          <w:color w:val="auto"/>
        </w:rPr>
        <w:t xml:space="preserve"> </w:t>
      </w:r>
      <w:r>
        <w:rPr>
          <w:rFonts w:ascii="Arial" w:cs="Arial" w:eastAsia="Arial" w:hAnsi="Arial"/>
          <w:sz w:val="10"/>
          <w:szCs w:val="10"/>
          <w:color w:val="auto"/>
        </w:rPr>
        <w:t>of the Company (which may be represented by CDIs) equal in value to US$87,500 (at the time of the grant) and the grant of options to acquire shares of common stock of the Company (which may be represented by CDIs) equal in value to US$37,500 (at the time of the grant) to</w:t>
      </w:r>
    </w:p>
    <w:p>
      <w:pPr>
        <w:spacing w:after="0" w:line="1" w:lineRule="exact"/>
        <w:rPr>
          <w:rFonts w:ascii="Arial" w:cs="Arial" w:eastAsia="Arial" w:hAnsi="Arial"/>
          <w:sz w:val="10"/>
          <w:szCs w:val="10"/>
          <w:color w:val="auto"/>
        </w:rPr>
      </w:pPr>
    </w:p>
    <w:p>
      <w:pPr>
        <w:ind w:left="1120" w:right="1139"/>
        <w:spacing w:after="0" w:line="260" w:lineRule="auto"/>
        <w:rPr>
          <w:rFonts w:ascii="Arial" w:cs="Arial" w:eastAsia="Arial" w:hAnsi="Arial"/>
          <w:sz w:val="10"/>
          <w:szCs w:val="10"/>
          <w:color w:val="auto"/>
        </w:rPr>
      </w:pPr>
      <w:r>
        <w:rPr>
          <w:rFonts w:ascii="Arial" w:cs="Arial" w:eastAsia="Arial" w:hAnsi="Arial"/>
          <w:sz w:val="12"/>
          <w:szCs w:val="12"/>
          <w:color w:val="auto"/>
        </w:rPr>
        <w:t>Mr. Jeremy Curnock Cook on the terms and conditions set out in this Proxy Statement, pursuant to and for the purposes of ASX Listing Rule 10.11, by a vote of (i) 7,612,792 in favor, (ii) 2,745,543 against, and (iii) 626,652 abstaining.</w:t>
      </w:r>
    </w:p>
    <w:p>
      <w:pPr>
        <w:spacing w:after="0" w:line="61" w:lineRule="exact"/>
        <w:rPr>
          <w:rFonts w:ascii="Arial" w:cs="Arial" w:eastAsia="Arial" w:hAnsi="Arial"/>
          <w:sz w:val="10"/>
          <w:szCs w:val="10"/>
          <w:color w:val="auto"/>
        </w:rPr>
      </w:pPr>
    </w:p>
    <w:p>
      <w:pPr>
        <w:ind w:left="1120" w:right="859" w:hanging="288"/>
        <w:spacing w:after="0" w:line="285" w:lineRule="auto"/>
        <w:tabs>
          <w:tab w:leader="none" w:pos="112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Issuance of Securities to Ms. Jan Stern Reed</w:t>
      </w:r>
      <w:r>
        <w:rPr>
          <w:rFonts w:ascii="Arial" w:cs="Arial" w:eastAsia="Arial" w:hAnsi="Arial"/>
          <w:sz w:val="11"/>
          <w:szCs w:val="11"/>
          <w:color w:val="auto"/>
        </w:rPr>
        <w:t>: Shareholders approved the grant of restricted stock units to acquire shares of common stock of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 (which may be represented by CDIs) equal in value to US$87,500 (at the time of the grant) and the grant of options to acquire shares of common stock of the Company (which may be represented by CDIs) equal in value to US$37,500 (at the time of the grant) to Ms. Jan Stern Reed on the terms and conditions set out in this Proxy Statement, pursuant to and for the purposes of ASX Listing Rule 10.11, by a vote of (i) 7,657,643 in favor, (ii) 2,674,563 against, and (iii) 652,781 abstaining.</w:t>
      </w:r>
    </w:p>
    <w:p>
      <w:pPr>
        <w:spacing w:after="0" w:line="50" w:lineRule="exact"/>
        <w:rPr>
          <w:rFonts w:ascii="Arial" w:cs="Arial" w:eastAsia="Arial" w:hAnsi="Arial"/>
          <w:sz w:val="11"/>
          <w:szCs w:val="11"/>
          <w:color w:val="auto"/>
        </w:rPr>
      </w:pPr>
    </w:p>
    <w:p>
      <w:pPr>
        <w:ind w:left="1120" w:right="999" w:hanging="288"/>
        <w:spacing w:after="0" w:line="259" w:lineRule="auto"/>
        <w:tabs>
          <w:tab w:leader="none" w:pos="11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Issuance of Securities to Mr. James Corbett</w:t>
      </w:r>
      <w:r>
        <w:rPr>
          <w:rFonts w:ascii="Arial" w:cs="Arial" w:eastAsia="Arial" w:hAnsi="Arial"/>
          <w:sz w:val="12"/>
          <w:szCs w:val="12"/>
          <w:color w:val="auto"/>
        </w:rPr>
        <w:t>: Shareholders approved the grant of options to acquire shares of common stock of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(which may be represented by CDIs) equal in value to US$1,000,000 (at the time of the grant) to Mr. James Corbett on the terms and conditions set out in this Proxy Statement, pursuant to and for the purposes of ASX Listing Rule 10.11, by a vote of (i) 8,476,617 in favor, (ii) 1,869,887 against, and (iii) 638,483 abstaining.</w:t>
      </w:r>
    </w:p>
    <w:p>
      <w:pPr>
        <w:spacing w:after="0" w:line="61" w:lineRule="exact"/>
        <w:rPr>
          <w:rFonts w:ascii="Arial" w:cs="Arial" w:eastAsia="Arial" w:hAnsi="Arial"/>
          <w:sz w:val="12"/>
          <w:szCs w:val="12"/>
          <w:color w:val="auto"/>
        </w:rPr>
      </w:pPr>
    </w:p>
    <w:p>
      <w:pPr>
        <w:ind w:left="1120" w:right="1019" w:hanging="288"/>
        <w:spacing w:after="0" w:line="263" w:lineRule="auto"/>
        <w:tabs>
          <w:tab w:leader="none" w:pos="11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Advisory Vote to Approve Compensation of Named Executive Officers</w:t>
      </w:r>
      <w:r>
        <w:rPr>
          <w:rFonts w:ascii="Arial" w:cs="Arial" w:eastAsia="Arial" w:hAnsi="Arial"/>
          <w:sz w:val="12"/>
          <w:szCs w:val="12"/>
          <w:color w:val="auto"/>
        </w:rPr>
        <w:t>: Shareholders voted in favor of the non-binding advisory vote to approve</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compensation of the Company’s named executive officers, by a vote of (i) 7,832,181 in favor, (ii) 2,381,954 against, and (iii) 770,852 abstaining.</w:t>
      </w:r>
    </w:p>
    <w:p>
      <w:pPr>
        <w:sectPr>
          <w:pgSz w:w="11900" w:h="16838" w:orient="portrait"/>
          <w:cols w:equalWidth="0" w:num="1">
            <w:col w:w="9019"/>
          </w:cols>
          <w:pgMar w:left="1440" w:top="244" w:right="1440" w:bottom="1440" w:gutter="0" w:footer="0" w:header="0"/>
        </w:sectPr>
      </w:pPr>
    </w:p>
    <w:bookmarkStart w:id="2" w:name="page3"/>
    <w:bookmarkEnd w:id="2"/>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 Fd Disclosure; Item 8.01 Other Events</w:t>
      </w:r>
    </w:p>
    <w:p>
      <w:pPr>
        <w:spacing w:after="0" w:line="82"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At the Annual Meeting, the Company presented a slide deck containing certain information attached hereto as Exhibit 99.1. Following the Annual Meeting, the Company issued a press release announcing the voting results with respect to each of the proposals presented to stockholders at the Annual Meeting. A copy of the Company’s press release is included as Exhibit 99.2.</w:t>
      </w:r>
    </w:p>
    <w:p>
      <w:pPr>
        <w:spacing w:after="0" w:line="122" w:lineRule="exact"/>
        <w:rPr>
          <w:sz w:val="20"/>
          <w:szCs w:val="20"/>
          <w:color w:val="auto"/>
        </w:rPr>
      </w:pPr>
    </w:p>
    <w:p>
      <w:pPr>
        <w:jc w:val="both"/>
        <w:ind w:left="840" w:right="939"/>
        <w:spacing w:after="0" w:line="263" w:lineRule="auto"/>
        <w:rPr>
          <w:sz w:val="20"/>
          <w:szCs w:val="20"/>
          <w:color w:val="auto"/>
        </w:rPr>
      </w:pPr>
      <w:r>
        <w:rPr>
          <w:rFonts w:ascii="Arial" w:cs="Arial" w:eastAsia="Arial" w:hAnsi="Arial"/>
          <w:sz w:val="12"/>
          <w:szCs w:val="12"/>
          <w:color w:val="auto"/>
        </w:rPr>
        <w:t>The information under Item 5.07, Item 7.01, Item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Exhibit</w:t>
            </w: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80" w:type="dxa"/>
            <w:vAlign w:val="bottom"/>
          </w:tcPr>
          <w:p>
            <w:pPr>
              <w:spacing w:after="0"/>
              <w:rPr>
                <w:sz w:val="10"/>
                <w:szCs w:val="10"/>
                <w:color w:val="auto"/>
              </w:rPr>
            </w:pPr>
          </w:p>
        </w:tc>
      </w:tr>
      <w:tr>
        <w:trPr>
          <w:trHeight w:val="113"/>
        </w:trPr>
        <w:tc>
          <w:tcPr>
            <w:tcW w:w="3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6"/>
              </w:rPr>
              <w:t>No.</w:t>
            </w:r>
          </w:p>
        </w:tc>
        <w:tc>
          <w:tcPr>
            <w:tcW w:w="280" w:type="dxa"/>
            <w:vAlign w:val="bottom"/>
          </w:tcPr>
          <w:p>
            <w:pPr>
              <w:spacing w:after="0"/>
              <w:rPr>
                <w:sz w:val="9"/>
                <w:szCs w:val="9"/>
                <w:color w:val="auto"/>
              </w:rPr>
            </w:pPr>
          </w:p>
        </w:tc>
        <w:tc>
          <w:tcPr>
            <w:tcW w:w="39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20"/>
        </w:trPr>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78"/>
        </w:trPr>
        <w:tc>
          <w:tcPr>
            <w:tcW w:w="300" w:type="dxa"/>
            <w:vAlign w:val="bottom"/>
          </w:tcPr>
          <w:p>
            <w:pPr>
              <w:spacing w:after="0"/>
              <w:rPr>
                <w:sz w:val="20"/>
                <w:szCs w:val="20"/>
                <w:color w:val="auto"/>
              </w:rPr>
            </w:pPr>
            <w:r>
              <w:rPr>
                <w:rFonts w:ascii="Arial" w:cs="Arial" w:eastAsia="Arial" w:hAnsi="Arial"/>
                <w:sz w:val="12"/>
                <w:szCs w:val="12"/>
                <w:b w:val="1"/>
                <w:bCs w:val="1"/>
                <w:color w:val="auto"/>
              </w:rPr>
              <w:t>99.1</w:t>
            </w:r>
          </w:p>
        </w:tc>
        <w:tc>
          <w:tcPr>
            <w:tcW w:w="280" w:type="dxa"/>
            <w:vAlign w:val="bottom"/>
          </w:tcPr>
          <w:p>
            <w:pPr>
              <w:spacing w:after="0"/>
              <w:rPr>
                <w:sz w:val="15"/>
                <w:szCs w:val="15"/>
                <w:color w:val="auto"/>
              </w:rPr>
            </w:pPr>
          </w:p>
        </w:tc>
        <w:tc>
          <w:tcPr>
            <w:tcW w:w="154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b w:val="1"/>
                <w:bCs w:val="1"/>
                <w:color w:val="0000EE"/>
                <w:w w:val="90"/>
              </w:rPr>
              <w:t>Annual Meeting Presentation.</w:t>
            </w:r>
          </w:p>
        </w:tc>
        <w:tc>
          <w:tcPr>
            <w:tcW w:w="2380" w:type="dxa"/>
            <w:vAlign w:val="bottom"/>
          </w:tcPr>
          <w:p>
            <w:pPr>
              <w:spacing w:after="0"/>
              <w:rPr>
                <w:sz w:val="15"/>
                <w:szCs w:val="15"/>
                <w:color w:val="auto"/>
              </w:rPr>
            </w:pPr>
          </w:p>
        </w:tc>
      </w:tr>
      <w:tr>
        <w:trPr>
          <w:trHeight w:val="196"/>
        </w:trPr>
        <w:tc>
          <w:tcPr>
            <w:tcW w:w="300" w:type="dxa"/>
            <w:vAlign w:val="bottom"/>
          </w:tcPr>
          <w:p>
            <w:pPr>
              <w:spacing w:after="0"/>
              <w:rPr>
                <w:sz w:val="20"/>
                <w:szCs w:val="20"/>
                <w:color w:val="auto"/>
              </w:rPr>
            </w:pPr>
            <w:r>
              <w:rPr>
                <w:rFonts w:ascii="Arial" w:cs="Arial" w:eastAsia="Arial" w:hAnsi="Arial"/>
                <w:sz w:val="12"/>
                <w:szCs w:val="12"/>
                <w:b w:val="1"/>
                <w:bCs w:val="1"/>
                <w:color w:val="auto"/>
              </w:rPr>
              <w:t>99.2</w:t>
            </w:r>
          </w:p>
        </w:tc>
        <w:tc>
          <w:tcPr>
            <w:tcW w:w="280" w:type="dxa"/>
            <w:vAlign w:val="bottom"/>
          </w:tcPr>
          <w:p>
            <w:pPr>
              <w:spacing w:after="0"/>
              <w:rPr>
                <w:sz w:val="17"/>
                <w:szCs w:val="17"/>
                <w:color w:val="auto"/>
              </w:rPr>
            </w:pPr>
          </w:p>
        </w:tc>
        <w:tc>
          <w:tcPr>
            <w:tcW w:w="3920" w:type="dxa"/>
            <w:vAlign w:val="bottom"/>
            <w:tcBorders>
              <w:bottom w:val="single" w:sz="8" w:color="0000EE"/>
            </w:tcBorders>
            <w:gridSpan w:val="3"/>
          </w:tcPr>
          <w:p>
            <w:pPr>
              <w:spacing w:after="0"/>
              <w:rPr>
                <w:sz w:val="20"/>
                <w:szCs w:val="20"/>
                <w:color w:val="auto"/>
              </w:rPr>
            </w:pPr>
            <w:r>
              <w:rPr>
                <w:rFonts w:ascii="Arial" w:cs="Arial" w:eastAsia="Arial" w:hAnsi="Arial"/>
                <w:sz w:val="12"/>
                <w:szCs w:val="12"/>
                <w:b w:val="1"/>
                <w:bCs w:val="1"/>
                <w:color w:val="0000EE"/>
                <w:w w:val="89"/>
              </w:rPr>
              <w:t>AVITA Medical Announces Results of 2022 Annual Meeting of Stockholders.</w:t>
            </w: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104</w:t>
            </w:r>
          </w:p>
        </w:tc>
        <w:tc>
          <w:tcPr>
            <w:tcW w:w="28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2"/>
                <w:szCs w:val="12"/>
                <w:color w:val="auto"/>
                <w:w w:val="92"/>
              </w:rPr>
              <w:t>Cover Page Interactive Data File (embedded within the Inline XBRL document).</w:t>
            </w:r>
          </w:p>
        </w:tc>
      </w:tr>
    </w:tbl>
    <w:p>
      <w:pPr>
        <w:sectPr>
          <w:pgSz w:w="11900" w:h="16838" w:orient="portrait"/>
          <w:cols w:equalWidth="0" w:num="1">
            <w:col w:w="9019"/>
          </w:cols>
          <w:pgMar w:left="1440" w:top="24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December 14, 2022</w:t>
      </w:r>
    </w:p>
    <w:p>
      <w:pPr>
        <w:spacing w:after="0" w:line="164"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AVITA MEDICAL, INC.</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Donna Shiroma</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General Counsel</w:t>
      </w:r>
    </w:p>
    <w:p>
      <w:pPr>
        <w:sectPr>
          <w:pgSz w:w="11900" w:h="16838" w:orient="portrait"/>
          <w:cols w:equalWidth="0" w:num="1">
            <w:col w:w="9019"/>
          </w:cols>
          <w:pgMar w:left="1440" w:top="244" w:right="1440" w:bottom="1440" w:gutter="0" w:footer="0" w:header="0"/>
        </w:sectPr>
      </w:pPr>
    </w:p>
    <w:bookmarkStart w:id="4" w:name="page5"/>
    <w:bookmarkEnd w:id="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ind w:right="839"/>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114935</wp:posOffset>
            </wp:positionV>
            <wp:extent cx="788670" cy="3543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88670" cy="35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AVITA Medical Announces Results of 2022 Annual Meeting of Stockholders</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VALENCIA, Calif. and MELBOURNE, Australia, December 12, 2022 (United States) / December 13, 2022 (Australia) (GLOBE NEWSWIRE)</w:t>
      </w:r>
    </w:p>
    <w:p>
      <w:pPr>
        <w:spacing w:after="0" w:line="30" w:lineRule="exact"/>
        <w:rPr>
          <w:sz w:val="20"/>
          <w:szCs w:val="20"/>
          <w:color w:val="auto"/>
        </w:rPr>
      </w:pPr>
    </w:p>
    <w:p>
      <w:pPr>
        <w:ind w:left="840" w:right="859"/>
        <w:spacing w:after="0" w:line="255" w:lineRule="auto"/>
        <w:rPr>
          <w:sz w:val="20"/>
          <w:szCs w:val="20"/>
          <w:color w:val="auto"/>
        </w:rPr>
      </w:pPr>
      <w:r>
        <w:rPr>
          <w:rFonts w:ascii="Arial" w:cs="Arial" w:eastAsia="Arial" w:hAnsi="Arial"/>
          <w:sz w:val="12"/>
          <w:szCs w:val="12"/>
          <w:color w:val="auto"/>
        </w:rPr>
        <w:t>— AVITA Medical, Inc. (NASDAQ: RCEL, ASX: AVH) (Company), a regenerative medicine company leading the development and commercialization of first-in-class devices and autologous cellular therapies for skin restoration, today announced the results of its 2022 Annual Meeting of Stockholders, which was held virtually on December 12, 2022 (United States) (being December 13, 2022 in Australia).</w:t>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 xml:space="preserve">Election of Directors: </w:t>
      </w:r>
      <w:r>
        <w:rPr>
          <w:rFonts w:ascii="Arial" w:cs="Arial" w:eastAsia="Arial" w:hAnsi="Arial"/>
          <w:sz w:val="10"/>
          <w:szCs w:val="10"/>
          <w:color w:val="auto"/>
        </w:rPr>
        <w:t>All five directors named in the Company’s proxy statement dated October 19, 2022 (Proxy Statement) were elected or re-elected,</w:t>
      </w:r>
    </w:p>
    <w:p>
      <w:pPr>
        <w:spacing w:after="0" w:line="42" w:lineRule="exact"/>
        <w:rPr>
          <w:sz w:val="20"/>
          <w:szCs w:val="20"/>
          <w:color w:val="auto"/>
        </w:rPr>
      </w:pPr>
    </w:p>
    <w:p>
      <w:pPr>
        <w:ind w:left="840" w:right="1019"/>
        <w:spacing w:after="0" w:line="260" w:lineRule="auto"/>
        <w:rPr>
          <w:sz w:val="20"/>
          <w:szCs w:val="20"/>
          <w:color w:val="auto"/>
        </w:rPr>
      </w:pPr>
      <w:r>
        <w:rPr>
          <w:rFonts w:ascii="Arial" w:cs="Arial" w:eastAsia="Arial" w:hAnsi="Arial"/>
          <w:sz w:val="12"/>
          <w:szCs w:val="12"/>
          <w:color w:val="auto"/>
        </w:rPr>
        <w:t>as applicable, to serve on the Company’s Board of Directors: Louis Panaccio, Chair; James Corbett, Executive Director and CEO; Professor Suzanne Crowe, Director; Jeremy Curnock Cook, Director; and Jan Stern Reed, Director.</w:t>
      </w:r>
    </w:p>
    <w:p>
      <w:pPr>
        <w:spacing w:after="0" w:line="120" w:lineRule="exact"/>
        <w:rPr>
          <w:sz w:val="20"/>
          <w:szCs w:val="20"/>
          <w:color w:val="auto"/>
        </w:rPr>
      </w:pPr>
    </w:p>
    <w:p>
      <w:pPr>
        <w:ind w:left="840" w:right="1159"/>
        <w:spacing w:after="0" w:line="283" w:lineRule="auto"/>
        <w:rPr>
          <w:sz w:val="20"/>
          <w:szCs w:val="20"/>
          <w:color w:val="auto"/>
        </w:rPr>
      </w:pPr>
      <w:r>
        <w:rPr>
          <w:rFonts w:ascii="Arial" w:cs="Arial" w:eastAsia="Arial" w:hAnsi="Arial"/>
          <w:sz w:val="12"/>
          <w:szCs w:val="12"/>
          <w:b w:val="1"/>
          <w:bCs w:val="1"/>
          <w:color w:val="auto"/>
        </w:rPr>
        <w:t xml:space="preserve">Appointment of Independent Auditors: </w:t>
      </w:r>
      <w:r>
        <w:rPr>
          <w:rFonts w:ascii="Arial" w:cs="Arial" w:eastAsia="Arial" w:hAnsi="Arial"/>
          <w:sz w:val="12"/>
          <w:szCs w:val="12"/>
          <w:color w:val="auto"/>
        </w:rPr>
        <w:t>Stockholders approved the ratification of Grant Thornton LLP as the Company’s independent registered</w:t>
      </w:r>
      <w:r>
        <w:rPr>
          <w:rFonts w:ascii="Arial" w:cs="Arial" w:eastAsia="Arial" w:hAnsi="Arial"/>
          <w:sz w:val="12"/>
          <w:szCs w:val="12"/>
          <w:b w:val="1"/>
          <w:bCs w:val="1"/>
          <w:color w:val="auto"/>
        </w:rPr>
        <w:t xml:space="preserve"> </w:t>
      </w:r>
      <w:r>
        <w:rPr>
          <w:rFonts w:ascii="Arial" w:cs="Arial" w:eastAsia="Arial" w:hAnsi="Arial"/>
          <w:sz w:val="12"/>
          <w:szCs w:val="12"/>
          <w:color w:val="auto"/>
        </w:rPr>
        <w:t>public accounting firm for the fiscal year ending December 31, 2022, as described in the Proxy Statement.</w:t>
      </w:r>
    </w:p>
    <w:p>
      <w:pPr>
        <w:spacing w:after="0" w:line="107" w:lineRule="exact"/>
        <w:rPr>
          <w:sz w:val="20"/>
          <w:szCs w:val="20"/>
          <w:color w:val="auto"/>
        </w:rPr>
      </w:pPr>
    </w:p>
    <w:p>
      <w:pPr>
        <w:jc w:val="both"/>
        <w:ind w:left="840" w:right="939"/>
        <w:spacing w:after="0" w:line="387" w:lineRule="auto"/>
        <w:rPr>
          <w:sz w:val="20"/>
          <w:szCs w:val="20"/>
          <w:color w:val="auto"/>
        </w:rPr>
      </w:pPr>
      <w:r>
        <w:rPr>
          <w:rFonts w:ascii="Arial" w:cs="Arial" w:eastAsia="Arial" w:hAnsi="Arial"/>
          <w:sz w:val="10"/>
          <w:szCs w:val="10"/>
          <w:b w:val="1"/>
          <w:bCs w:val="1"/>
          <w:color w:val="auto"/>
        </w:rPr>
        <w:t xml:space="preserve">Amendments to the Company’s Amended and Restated Bylaws: </w:t>
      </w:r>
      <w:r>
        <w:rPr>
          <w:rFonts w:ascii="Arial" w:cs="Arial" w:eastAsia="Arial" w:hAnsi="Arial"/>
          <w:sz w:val="10"/>
          <w:szCs w:val="10"/>
          <w:color w:val="auto"/>
        </w:rPr>
        <w:t>Stockholders did not approve the proposal to amend the Company’s Amended and</w:t>
      </w:r>
      <w:r>
        <w:rPr>
          <w:rFonts w:ascii="Arial" w:cs="Arial" w:eastAsia="Arial" w:hAnsi="Arial"/>
          <w:sz w:val="10"/>
          <w:szCs w:val="10"/>
          <w:b w:val="1"/>
          <w:bCs w:val="1"/>
          <w:color w:val="auto"/>
        </w:rPr>
        <w:t xml:space="preserve"> </w:t>
      </w:r>
      <w:r>
        <w:rPr>
          <w:rFonts w:ascii="Arial" w:cs="Arial" w:eastAsia="Arial" w:hAnsi="Arial"/>
          <w:sz w:val="10"/>
          <w:szCs w:val="10"/>
          <w:color w:val="auto"/>
        </w:rPr>
        <w:t>Restated Bylaws to reduce the quorum requirement for stockholder meetings, as the number of votes required to approve the proposal was not reached.</w:t>
      </w:r>
    </w:p>
    <w:p>
      <w:pPr>
        <w:spacing w:after="0" w:line="61" w:lineRule="exact"/>
        <w:rPr>
          <w:sz w:val="20"/>
          <w:szCs w:val="20"/>
          <w:color w:val="auto"/>
        </w:rPr>
      </w:pPr>
    </w:p>
    <w:p>
      <w:pPr>
        <w:ind w:left="840" w:right="1019"/>
        <w:spacing w:after="0" w:line="292" w:lineRule="auto"/>
        <w:rPr>
          <w:sz w:val="20"/>
          <w:szCs w:val="20"/>
          <w:color w:val="auto"/>
        </w:rPr>
      </w:pPr>
      <w:r>
        <w:rPr>
          <w:rFonts w:ascii="Arial" w:cs="Arial" w:eastAsia="Arial" w:hAnsi="Arial"/>
          <w:sz w:val="11"/>
          <w:szCs w:val="11"/>
          <w:b w:val="1"/>
          <w:bCs w:val="1"/>
          <w:color w:val="auto"/>
        </w:rPr>
        <w:t xml:space="preserve">Issuance of Securities to Mr. Louis Panaccio: </w:t>
      </w:r>
      <w:r>
        <w:rPr>
          <w:rFonts w:ascii="Arial" w:cs="Arial" w:eastAsia="Arial" w:hAnsi="Arial"/>
          <w:sz w:val="11"/>
          <w:szCs w:val="11"/>
          <w:color w:val="auto"/>
        </w:rPr>
        <w:t>Stockholders approved the grant of restricted stock units to acquire shares of common stock of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(which may be represented by CDIs) equal in value to US$87,500 (at the time of the grant) and the grant of options to acquire shares of common stock of the Company (which may be represented by CDIs) equal in value to US$37,500 (at the time of the grant) to Mr. Louis Panaccio, on the terms and conditions set out in the Proxy Statement, pursuant to and for the purposes of ASX Listing Rule 10.11.</w:t>
      </w:r>
    </w:p>
    <w:p>
      <w:pPr>
        <w:spacing w:after="0" w:line="104" w:lineRule="exact"/>
        <w:rPr>
          <w:sz w:val="20"/>
          <w:szCs w:val="20"/>
          <w:color w:val="auto"/>
        </w:rPr>
      </w:pPr>
    </w:p>
    <w:p>
      <w:pPr>
        <w:ind w:left="840" w:right="859"/>
        <w:spacing w:after="0" w:line="292" w:lineRule="auto"/>
        <w:rPr>
          <w:sz w:val="20"/>
          <w:szCs w:val="20"/>
          <w:color w:val="auto"/>
        </w:rPr>
      </w:pPr>
      <w:r>
        <w:rPr>
          <w:rFonts w:ascii="Arial" w:cs="Arial" w:eastAsia="Arial" w:hAnsi="Arial"/>
          <w:sz w:val="11"/>
          <w:szCs w:val="11"/>
          <w:b w:val="1"/>
          <w:bCs w:val="1"/>
          <w:color w:val="auto"/>
        </w:rPr>
        <w:t xml:space="preserve">Issuance of Securities to Professor Suzanne Crowe: </w:t>
      </w:r>
      <w:r>
        <w:rPr>
          <w:rFonts w:ascii="Arial" w:cs="Arial" w:eastAsia="Arial" w:hAnsi="Arial"/>
          <w:sz w:val="11"/>
          <w:szCs w:val="11"/>
          <w:color w:val="auto"/>
        </w:rPr>
        <w:t>Stockholders approved the grant of restricted stock units to acquire shares of common stock of</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(which may be represented by CDIs) equal in value to US$87,500 (at the time of the grant) and the grant of options to acquire shares of common stock of the Company (which may be represented by CDIs) equal in value to US$37,500 (at the time of the grant) to Professor Suzanne Crowe, on the terms and conditions set out in the Proxy Statement, pursuant to and for the purposes of ASX Listing Rule 10.11.</w:t>
      </w:r>
    </w:p>
    <w:p>
      <w:pPr>
        <w:spacing w:after="0" w:line="104" w:lineRule="exact"/>
        <w:rPr>
          <w:sz w:val="20"/>
          <w:szCs w:val="20"/>
          <w:color w:val="auto"/>
        </w:rPr>
      </w:pPr>
    </w:p>
    <w:p>
      <w:pPr>
        <w:ind w:left="840" w:right="939"/>
        <w:spacing w:after="0" w:line="292" w:lineRule="auto"/>
        <w:rPr>
          <w:sz w:val="20"/>
          <w:szCs w:val="20"/>
          <w:color w:val="auto"/>
        </w:rPr>
      </w:pPr>
      <w:r>
        <w:rPr>
          <w:rFonts w:ascii="Arial" w:cs="Arial" w:eastAsia="Arial" w:hAnsi="Arial"/>
          <w:sz w:val="11"/>
          <w:szCs w:val="11"/>
          <w:b w:val="1"/>
          <w:bCs w:val="1"/>
          <w:color w:val="auto"/>
        </w:rPr>
        <w:t xml:space="preserve">Issuance of Securities to Mr. Jeremy Curnock Cook: </w:t>
      </w:r>
      <w:r>
        <w:rPr>
          <w:rFonts w:ascii="Arial" w:cs="Arial" w:eastAsia="Arial" w:hAnsi="Arial"/>
          <w:sz w:val="11"/>
          <w:szCs w:val="11"/>
          <w:color w:val="auto"/>
        </w:rPr>
        <w:t>Stockholders approved the grant of restricted stock units to acquire shares of common stock of</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(which may be represented by CDIs) equal in value to US$87,500 (at the time of the grant) and the grant of options to acquire shares of common stock of the Company (which may be represented by CDIs) equal in value to US$37,500 (at the time of the grant) to Mr. Jeremy Curnock Cook, on the terms and conditions set out in the Proxy Statement, pursuant to and for the purposes of ASX Listing Rule 10.11.</w:t>
      </w:r>
    </w:p>
    <w:p>
      <w:pPr>
        <w:spacing w:after="0" w:line="104" w:lineRule="exact"/>
        <w:rPr>
          <w:sz w:val="20"/>
          <w:szCs w:val="20"/>
          <w:color w:val="auto"/>
        </w:rPr>
      </w:pPr>
    </w:p>
    <w:p>
      <w:pPr>
        <w:jc w:val="both"/>
        <w:ind w:left="840" w:right="1139"/>
        <w:spacing w:after="0" w:line="266" w:lineRule="auto"/>
        <w:rPr>
          <w:sz w:val="20"/>
          <w:szCs w:val="20"/>
          <w:color w:val="auto"/>
        </w:rPr>
      </w:pPr>
      <w:r>
        <w:rPr>
          <w:rFonts w:ascii="Arial" w:cs="Arial" w:eastAsia="Arial" w:hAnsi="Arial"/>
          <w:sz w:val="12"/>
          <w:szCs w:val="12"/>
          <w:b w:val="1"/>
          <w:bCs w:val="1"/>
          <w:color w:val="auto"/>
        </w:rPr>
        <w:t xml:space="preserve">Issuance of Securities to Ms. Jan Stern Reed: </w:t>
      </w:r>
      <w:r>
        <w:rPr>
          <w:rFonts w:ascii="Arial" w:cs="Arial" w:eastAsia="Arial" w:hAnsi="Arial"/>
          <w:sz w:val="12"/>
          <w:szCs w:val="12"/>
          <w:color w:val="auto"/>
        </w:rPr>
        <w:t>Stockholders approved the grant of restricted stock units to acquire shares of common stock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(which may be represented by CDIs) equal in value to US$87,500 (at the time of the grant) and the grant of options to acquire shares of common stock of the</w:t>
      </w:r>
    </w:p>
    <w:p>
      <w:pPr>
        <w:sectPr>
          <w:pgSz w:w="11900" w:h="16838" w:orient="portrait"/>
          <w:cols w:equalWidth="0" w:num="1">
            <w:col w:w="9019"/>
          </w:cols>
          <w:pgMar w:left="1440" w:top="127" w:right="1440" w:bottom="1440" w:gutter="0" w:footer="0" w:header="0"/>
        </w:sectPr>
      </w:pPr>
    </w:p>
    <w:bookmarkStart w:id="53" w:name="page54"/>
    <w:bookmarkEnd w:id="53"/>
    <w:p>
      <w:pPr>
        <w:ind w:left="840" w:right="85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Company (which may be represented by CDIs) equal in value to US$37,500 (at the time of the grant) to Ms. Jan Stern Reed, on the terms and conditions set out in the Proxy Statement, pursuant to and for the purposes of ASX Listing Rule 10.11.</w:t>
      </w:r>
    </w:p>
    <w:p>
      <w:pPr>
        <w:spacing w:after="0" w:line="111" w:lineRule="exact"/>
        <w:rPr>
          <w:sz w:val="20"/>
          <w:szCs w:val="20"/>
          <w:color w:val="auto"/>
        </w:rPr>
      </w:pPr>
    </w:p>
    <w:p>
      <w:pPr>
        <w:jc w:val="both"/>
        <w:ind w:left="840" w:right="959"/>
        <w:spacing w:after="0" w:line="266" w:lineRule="auto"/>
        <w:rPr>
          <w:sz w:val="20"/>
          <w:szCs w:val="20"/>
          <w:color w:val="auto"/>
        </w:rPr>
      </w:pPr>
      <w:r>
        <w:rPr>
          <w:rFonts w:ascii="Arial" w:cs="Arial" w:eastAsia="Arial" w:hAnsi="Arial"/>
          <w:sz w:val="12"/>
          <w:szCs w:val="12"/>
          <w:b w:val="1"/>
          <w:bCs w:val="1"/>
          <w:color w:val="auto"/>
        </w:rPr>
        <w:t xml:space="preserve">Issuance of Securities to Mr. James Corbett: </w:t>
      </w:r>
      <w:r>
        <w:rPr>
          <w:rFonts w:ascii="Arial" w:cs="Arial" w:eastAsia="Arial" w:hAnsi="Arial"/>
          <w:sz w:val="12"/>
          <w:szCs w:val="12"/>
          <w:color w:val="auto"/>
        </w:rPr>
        <w:t>Stockholders approved the grant of options to acquire shares of common stock of the Company (which</w:t>
      </w:r>
      <w:r>
        <w:rPr>
          <w:rFonts w:ascii="Arial" w:cs="Arial" w:eastAsia="Arial" w:hAnsi="Arial"/>
          <w:sz w:val="12"/>
          <w:szCs w:val="12"/>
          <w:b w:val="1"/>
          <w:bCs w:val="1"/>
          <w:color w:val="auto"/>
        </w:rPr>
        <w:t xml:space="preserve"> </w:t>
      </w:r>
      <w:r>
        <w:rPr>
          <w:rFonts w:ascii="Arial" w:cs="Arial" w:eastAsia="Arial" w:hAnsi="Arial"/>
          <w:sz w:val="12"/>
          <w:szCs w:val="12"/>
          <w:color w:val="auto"/>
        </w:rPr>
        <w:t>may be represented by CDIs) equal in value to US$1,000,000 (at the time of the grant) to Mr. James Corbett on the terms and conditions set out in the Proxy Statement, pursuant to and for the purposes of ASX Listing Rule 10.11.</w:t>
      </w:r>
    </w:p>
    <w:p>
      <w:pPr>
        <w:spacing w:after="0" w:line="117" w:lineRule="exact"/>
        <w:rPr>
          <w:sz w:val="20"/>
          <w:szCs w:val="20"/>
          <w:color w:val="auto"/>
        </w:rPr>
      </w:pPr>
    </w:p>
    <w:p>
      <w:pPr>
        <w:ind w:left="840" w:right="879"/>
        <w:spacing w:after="0" w:line="283" w:lineRule="auto"/>
        <w:rPr>
          <w:sz w:val="20"/>
          <w:szCs w:val="20"/>
          <w:color w:val="auto"/>
        </w:rPr>
      </w:pPr>
      <w:r>
        <w:rPr>
          <w:rFonts w:ascii="Arial" w:cs="Arial" w:eastAsia="Arial" w:hAnsi="Arial"/>
          <w:sz w:val="12"/>
          <w:szCs w:val="12"/>
          <w:b w:val="1"/>
          <w:bCs w:val="1"/>
          <w:color w:val="auto"/>
        </w:rPr>
        <w:t xml:space="preserve">Advisory Vote to Approve Compensation of Named Executive Officers: </w:t>
      </w:r>
      <w:r>
        <w:rPr>
          <w:rFonts w:ascii="Arial" w:cs="Arial" w:eastAsia="Arial" w:hAnsi="Arial"/>
          <w:sz w:val="12"/>
          <w:szCs w:val="12"/>
          <w:color w:val="auto"/>
        </w:rPr>
        <w:t>Stockholders voted in favor of the non-binding advisory vote to approve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of the Company’s named executive officers.</w:t>
      </w:r>
    </w:p>
    <w:p>
      <w:pPr>
        <w:spacing w:after="0" w:line="111" w:lineRule="exact"/>
        <w:rPr>
          <w:sz w:val="20"/>
          <w:szCs w:val="20"/>
          <w:color w:val="auto"/>
        </w:rPr>
      </w:pPr>
    </w:p>
    <w:p>
      <w:pPr>
        <w:ind w:left="840" w:right="919"/>
        <w:spacing w:after="0" w:line="276" w:lineRule="auto"/>
        <w:rPr>
          <w:sz w:val="20"/>
          <w:szCs w:val="20"/>
          <w:color w:val="auto"/>
        </w:rPr>
      </w:pPr>
      <w:r>
        <w:rPr>
          <w:rFonts w:ascii="Arial" w:cs="Arial" w:eastAsia="Arial" w:hAnsi="Arial"/>
          <w:sz w:val="12"/>
          <w:szCs w:val="12"/>
          <w:color w:val="auto"/>
        </w:rPr>
        <w:t xml:space="preserve">The final votes have been reported in a Form 8-K that was filed with the Securities and Exchange Commission earlier today. The filing can be found on the Company’s website at </w:t>
      </w:r>
      <w:r>
        <w:rPr>
          <w:rFonts w:ascii="Arial" w:cs="Arial" w:eastAsia="Arial" w:hAnsi="Arial"/>
          <w:sz w:val="12"/>
          <w:szCs w:val="12"/>
          <w:u w:val="single" w:color="auto"/>
          <w:color w:val="auto"/>
        </w:rPr>
        <w:t>https://ir.avitamedical.com/financials/sec-filings</w:t>
      </w:r>
      <w:r>
        <w:rPr>
          <w:rFonts w:ascii="Arial" w:cs="Arial" w:eastAsia="Arial" w:hAnsi="Arial"/>
          <w:sz w:val="12"/>
          <w:szCs w:val="12"/>
          <w:color w:val="auto"/>
        </w:rPr>
        <w:t>.</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voting results of the Annual Meeting of Stockholders for the purposes of ASX Listing Rule 3.13.2 are attached to this announcement.</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Authorized for release by the Chief Executive Officer of AVITA Medical,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 #</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AVITA MEDICAL, INC.</w:t>
      </w:r>
    </w:p>
    <w:p>
      <w:pPr>
        <w:spacing w:after="0" w:line="82" w:lineRule="exact"/>
        <w:rPr>
          <w:sz w:val="20"/>
          <w:szCs w:val="20"/>
          <w:color w:val="auto"/>
        </w:rPr>
      </w:pPr>
    </w:p>
    <w:p>
      <w:pPr>
        <w:ind w:left="840" w:right="879"/>
        <w:spacing w:after="0" w:line="209" w:lineRule="auto"/>
        <w:rPr>
          <w:sz w:val="20"/>
          <w:szCs w:val="20"/>
          <w:color w:val="auto"/>
        </w:rPr>
      </w:pPr>
      <w:r>
        <w:rPr>
          <w:rFonts w:ascii="Arial" w:cs="Arial" w:eastAsia="Arial" w:hAnsi="Arial"/>
          <w:sz w:val="12"/>
          <w:szCs w:val="12"/>
          <w:color w:val="auto"/>
        </w:rPr>
        <w:t>AVITA Medical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is a regenerative medicine company leading the development and commercialization of devices and autologous cellular therapies for skin restoration. The RECELL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System technology platform, approved by the FDA for the treatment of acute thermal burns in both adults and children, harnesses the regenerative properties of a patient’s own skin to create Spray-On Skin</w:t>
      </w:r>
      <w:r>
        <w:rPr>
          <w:rFonts w:ascii="Arial" w:cs="Arial" w:eastAsia="Arial" w:hAnsi="Arial"/>
          <w:sz w:val="17"/>
          <w:szCs w:val="17"/>
          <w:color w:val="auto"/>
          <w:vertAlign w:val="superscript"/>
        </w:rPr>
        <w:t>™</w:t>
      </w:r>
      <w:r>
        <w:rPr>
          <w:rFonts w:ascii="Arial" w:cs="Arial" w:eastAsia="Arial" w:hAnsi="Arial"/>
          <w:sz w:val="12"/>
          <w:szCs w:val="12"/>
          <w:color w:val="auto"/>
        </w:rPr>
        <w:t xml:space="preserve"> cells. Delivered at the point-of- care, RECELL enables improved clinical outcomes and validated cost savings. RECELL is the catalyst of a new treatment paradigm and AVITA Medical is leveraging its proven and differentiated capabilities to develop first-in-class cellular therapies for multiple indications, including soft tissue repair and repigmentation of stable vitiligo lesions.</w:t>
      </w:r>
    </w:p>
    <w:p>
      <w:pPr>
        <w:spacing w:after="0" w:line="137" w:lineRule="exact"/>
        <w:rPr>
          <w:sz w:val="20"/>
          <w:szCs w:val="20"/>
          <w:color w:val="auto"/>
        </w:rPr>
      </w:pPr>
    </w:p>
    <w:p>
      <w:pPr>
        <w:ind w:left="840" w:right="879"/>
        <w:spacing w:after="0" w:line="256" w:lineRule="auto"/>
        <w:rPr>
          <w:sz w:val="20"/>
          <w:szCs w:val="20"/>
          <w:color w:val="auto"/>
        </w:rPr>
      </w:pPr>
      <w:r>
        <w:rPr>
          <w:rFonts w:ascii="Arial" w:cs="Arial" w:eastAsia="Arial" w:hAnsi="Arial"/>
          <w:sz w:val="12"/>
          <w:szCs w:val="12"/>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28" w:lineRule="exact"/>
        <w:rPr>
          <w:sz w:val="20"/>
          <w:szCs w:val="20"/>
          <w:color w:val="auto"/>
        </w:rPr>
      </w:pPr>
    </w:p>
    <w:p>
      <w:pPr>
        <w:ind w:left="840" w:right="879"/>
        <w:spacing w:after="0" w:line="261" w:lineRule="auto"/>
        <w:rPr>
          <w:sz w:val="20"/>
          <w:szCs w:val="20"/>
          <w:color w:val="auto"/>
        </w:rPr>
      </w:pPr>
      <w:r>
        <w:rPr>
          <w:rFonts w:ascii="Arial" w:cs="Arial" w:eastAsia="Arial" w:hAnsi="Arial"/>
          <w:sz w:val="11"/>
          <w:szCs w:val="11"/>
          <w:color w:val="auto"/>
        </w:rPr>
        <w:t>The RECELL System is used to prepare Spray-On Skin</w:t>
      </w:r>
      <w:r>
        <w:rPr>
          <w:rFonts w:ascii="Arial" w:cs="Arial" w:eastAsia="Arial" w:hAnsi="Arial"/>
          <w:sz w:val="16"/>
          <w:szCs w:val="16"/>
          <w:color w:val="auto"/>
          <w:vertAlign w:val="superscript"/>
        </w:rPr>
        <w:t>™</w:t>
      </w:r>
      <w:r>
        <w:rPr>
          <w:rFonts w:ascii="Arial" w:cs="Arial" w:eastAsia="Arial" w:hAnsi="Arial"/>
          <w:sz w:val="11"/>
          <w:szCs w:val="11"/>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 - RECELL Autologous Cell Harvesting Device (</w:t>
      </w:r>
      <w:r>
        <w:rPr>
          <w:rFonts w:ascii="Arial" w:cs="Arial" w:eastAsia="Arial" w:hAnsi="Arial"/>
          <w:sz w:val="11"/>
          <w:szCs w:val="11"/>
          <w:u w:val="single" w:color="auto"/>
          <w:color w:val="auto"/>
        </w:rPr>
        <w:t>https://recellsystem.com</w:t>
      </w:r>
      <w:r>
        <w:rPr>
          <w:rFonts w:ascii="Arial" w:cs="Arial" w:eastAsia="Arial" w:hAnsi="Arial"/>
          <w:sz w:val="11"/>
          <w:szCs w:val="11"/>
          <w:color w:val="auto"/>
        </w:rPr>
        <w:t>) for a full description of indications for use and important safety information including contraindications, warnings, and precautions.</w:t>
      </w:r>
    </w:p>
    <w:p>
      <w:pPr>
        <w:sectPr>
          <w:pgSz w:w="11900" w:h="16838" w:orient="portrait"/>
          <w:cols w:equalWidth="0" w:num="1">
            <w:col w:w="9019"/>
          </w:cols>
          <w:pgMar w:left="1440" w:top="230" w:right="1440" w:bottom="1440" w:gutter="0" w:footer="0" w:header="0"/>
        </w:sectPr>
      </w:pPr>
    </w:p>
    <w:bookmarkStart w:id="54" w:name="page55"/>
    <w:bookmarkEnd w:id="54"/>
    <w:p>
      <w:pPr>
        <w:ind w:left="840" w:right="91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international markets, our products are approved under the RECELL System brand to promote skin healing in a wide range of applications including burns, soft tissue repair, vitiligo, and aesthetics. The RECELL System is TGA-registered in Australia, received CE-mark approval in Europe and has PMDA approval in Japan.</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To learn more, visit </w:t>
      </w:r>
      <w:r>
        <w:rPr>
          <w:rFonts w:ascii="Arial" w:cs="Arial" w:eastAsia="Arial" w:hAnsi="Arial"/>
          <w:sz w:val="12"/>
          <w:szCs w:val="12"/>
          <w:u w:val="single" w:color="auto"/>
          <w:color w:val="auto"/>
        </w:rPr>
        <w:t>www.avitamedical.com</w:t>
      </w:r>
      <w:r>
        <w:rPr>
          <w:rFonts w:ascii="Arial" w:cs="Arial" w:eastAsia="Arial" w:hAnsi="Arial"/>
          <w:sz w:val="12"/>
          <w:szCs w:val="12"/>
          <w:color w:val="auto"/>
        </w:rPr>
        <w:t>.</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82" w:lineRule="exact"/>
        <w:rPr>
          <w:sz w:val="20"/>
          <w:szCs w:val="20"/>
          <w:color w:val="auto"/>
        </w:rPr>
      </w:pPr>
    </w:p>
    <w:p>
      <w:pPr>
        <w:ind w:left="840" w:right="859"/>
        <w:spacing w:after="0" w:line="277" w:lineRule="auto"/>
        <w:rPr>
          <w:sz w:val="20"/>
          <w:szCs w:val="20"/>
          <w:color w:val="auto"/>
        </w:rPr>
      </w:pPr>
      <w:r>
        <w:rPr>
          <w:rFonts w:ascii="Arial" w:cs="Arial" w:eastAsia="Arial" w:hAnsi="Arial"/>
          <w:sz w:val="11"/>
          <w:szCs w:val="11"/>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262"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This press release was authorized by the review committee of AVITA Medical, Inc.</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 FURTHER INFORMATION:</w:t>
      </w:r>
    </w:p>
    <w:p>
      <w:pPr>
        <w:spacing w:after="0" w:line="177" w:lineRule="exact"/>
        <w:rPr>
          <w:sz w:val="20"/>
          <w:szCs w:val="20"/>
          <w:color w:val="auto"/>
        </w:rPr>
      </w:pPr>
    </w:p>
    <w:p>
      <w:pPr>
        <w:ind w:left="940"/>
        <w:spacing w:after="0"/>
        <w:rPr>
          <w:sz w:val="20"/>
          <w:szCs w:val="20"/>
          <w:color w:val="auto"/>
        </w:rPr>
      </w:pPr>
      <w:r>
        <w:rPr>
          <w:rFonts w:ascii="Arial" w:cs="Arial" w:eastAsia="Arial" w:hAnsi="Arial"/>
          <w:sz w:val="12"/>
          <w:szCs w:val="12"/>
          <w:b w:val="1"/>
          <w:bCs w:val="1"/>
          <w:color w:val="auto"/>
        </w:rPr>
        <w:t>Investors &amp;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-84455</wp:posOffset>
            </wp:positionV>
            <wp:extent cx="1868805" cy="5829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68805" cy="58293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2"/>
          <w:szCs w:val="12"/>
          <w:b w:val="1"/>
          <w:bCs w:val="1"/>
          <w:color w:val="auto"/>
        </w:rPr>
        <w:t>AVITA Medical, Inc.</w:t>
      </w:r>
    </w:p>
    <w:p>
      <w:pPr>
        <w:spacing w:after="0" w:line="6" w:lineRule="exact"/>
        <w:rPr>
          <w:sz w:val="20"/>
          <w:szCs w:val="20"/>
          <w:color w:val="auto"/>
        </w:rPr>
      </w:pPr>
    </w:p>
    <w:p>
      <w:pPr>
        <w:ind w:left="940"/>
        <w:spacing w:after="0"/>
        <w:rPr>
          <w:sz w:val="20"/>
          <w:szCs w:val="20"/>
          <w:color w:val="auto"/>
        </w:rPr>
      </w:pPr>
      <w:r>
        <w:rPr>
          <w:rFonts w:ascii="Arial" w:cs="Arial" w:eastAsia="Arial" w:hAnsi="Arial"/>
          <w:sz w:val="12"/>
          <w:szCs w:val="12"/>
          <w:color w:val="auto"/>
        </w:rPr>
        <w:t>Jessica Ekeberg</w:t>
      </w:r>
    </w:p>
    <w:p>
      <w:pPr>
        <w:spacing w:after="0" w:line="6" w:lineRule="exact"/>
        <w:rPr>
          <w:sz w:val="20"/>
          <w:szCs w:val="20"/>
          <w:color w:val="auto"/>
        </w:rPr>
      </w:pPr>
    </w:p>
    <w:p>
      <w:pPr>
        <w:ind w:left="940"/>
        <w:spacing w:after="0"/>
        <w:rPr>
          <w:sz w:val="20"/>
          <w:szCs w:val="20"/>
          <w:color w:val="auto"/>
        </w:rPr>
      </w:pPr>
      <w:r>
        <w:rPr>
          <w:rFonts w:ascii="Arial" w:cs="Arial" w:eastAsia="Arial" w:hAnsi="Arial"/>
          <w:sz w:val="12"/>
          <w:szCs w:val="12"/>
          <w:color w:val="auto"/>
        </w:rPr>
        <w:t>Phone +1-661-904-9269</w:t>
      </w:r>
    </w:p>
    <w:p>
      <w:pPr>
        <w:spacing w:after="0" w:line="6" w:lineRule="exact"/>
        <w:rPr>
          <w:sz w:val="20"/>
          <w:szCs w:val="20"/>
          <w:color w:val="auto"/>
        </w:rPr>
      </w:pPr>
    </w:p>
    <w:p>
      <w:pPr>
        <w:ind w:left="940"/>
        <w:spacing w:after="0"/>
        <w:rPr>
          <w:sz w:val="20"/>
          <w:szCs w:val="20"/>
          <w:color w:val="auto"/>
        </w:rPr>
      </w:pPr>
      <w:r>
        <w:rPr>
          <w:rFonts w:ascii="Arial" w:cs="Arial" w:eastAsia="Arial" w:hAnsi="Arial"/>
          <w:sz w:val="12"/>
          <w:szCs w:val="12"/>
          <w:u w:val="single" w:color="auto"/>
          <w:color w:val="auto"/>
        </w:rPr>
        <w:t>investor@avitamedical.com</w:t>
      </w:r>
    </w:p>
    <w:p>
      <w:pPr>
        <w:spacing w:after="0" w:line="6" w:lineRule="exact"/>
        <w:rPr>
          <w:sz w:val="20"/>
          <w:szCs w:val="20"/>
          <w:color w:val="auto"/>
        </w:rPr>
      </w:pPr>
    </w:p>
    <w:p>
      <w:pPr>
        <w:ind w:left="940"/>
        <w:spacing w:after="0"/>
        <w:rPr>
          <w:sz w:val="20"/>
          <w:szCs w:val="20"/>
          <w:color w:val="auto"/>
        </w:rPr>
      </w:pPr>
      <w:r>
        <w:rPr>
          <w:rFonts w:ascii="Arial" w:cs="Arial" w:eastAsia="Arial" w:hAnsi="Arial"/>
          <w:sz w:val="12"/>
          <w:szCs w:val="12"/>
          <w:u w:val="single" w:color="auto"/>
          <w:color w:val="auto"/>
        </w:rPr>
        <w:t>media@avitamedical.com</w:t>
      </w:r>
    </w:p>
    <w:p>
      <w:pPr>
        <w:spacing w:after="0" w:line="186" w:lineRule="exact"/>
        <w:rPr>
          <w:sz w:val="20"/>
          <w:szCs w:val="20"/>
          <w:color w:val="auto"/>
        </w:rPr>
      </w:pPr>
    </w:p>
    <w:p>
      <w:pPr>
        <w:jc w:val="right"/>
        <w:ind w:right="839"/>
        <w:spacing w:after="0"/>
        <w:rPr>
          <w:sz w:val="20"/>
          <w:szCs w:val="20"/>
          <w:color w:val="auto"/>
        </w:rPr>
      </w:pPr>
      <w:r>
        <w:rPr>
          <w:rFonts w:ascii="Arial" w:cs="Arial" w:eastAsia="Arial" w:hAnsi="Arial"/>
          <w:sz w:val="12"/>
          <w:szCs w:val="12"/>
          <w:color w:val="auto"/>
        </w:rPr>
        <w:t>PR 2022AGM 12122022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ectPr>
          <w:pgSz w:w="11900" w:h="16838" w:orient="portrait"/>
          <w:cols w:equalWidth="0" w:num="1">
            <w:col w:w="9019"/>
          </w:cols>
          <w:pgMar w:left="1440" w:top="230"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AVITA Medical,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Annual Meeting of Shareholders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12, 2022 (United States) / December 13, 2022 (Australia)</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Voting Results</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following information is provided for the purposes of ASX Listing Rule 3.13.2.</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700" w:type="dxa"/>
            <w:vAlign w:val="bottom"/>
            <w:gridSpan w:val="2"/>
          </w:tcPr>
          <w:p>
            <w:pPr>
              <w:spacing w:after="0"/>
              <w:rPr>
                <w:sz w:val="20"/>
                <w:szCs w:val="20"/>
                <w:color w:val="auto"/>
              </w:rPr>
            </w:pPr>
            <w:r>
              <w:rPr>
                <w:rFonts w:ascii="Arial" w:cs="Arial" w:eastAsia="Arial" w:hAnsi="Arial"/>
                <w:sz w:val="10"/>
                <w:szCs w:val="10"/>
                <w:b w:val="1"/>
                <w:bCs w:val="1"/>
                <w:color w:val="auto"/>
              </w:rPr>
              <w:t>Resolution</w:t>
            </w:r>
          </w:p>
        </w:tc>
        <w:tc>
          <w:tcPr>
            <w:tcW w:w="100" w:type="dxa"/>
            <w:vAlign w:val="bottom"/>
          </w:tcPr>
          <w:p>
            <w:pPr>
              <w:spacing w:after="0"/>
              <w:rPr>
                <w:sz w:val="10"/>
                <w:szCs w:val="10"/>
                <w:color w:val="auto"/>
              </w:rPr>
            </w:pPr>
          </w:p>
        </w:tc>
        <w:tc>
          <w:tcPr>
            <w:tcW w:w="2840" w:type="dxa"/>
            <w:vAlign w:val="bottom"/>
            <w:gridSpan w:val="8"/>
          </w:tcPr>
          <w:p>
            <w:pPr>
              <w:jc w:val="center"/>
              <w:ind w:right="220"/>
              <w:spacing w:after="0"/>
              <w:rPr>
                <w:sz w:val="20"/>
                <w:szCs w:val="20"/>
                <w:color w:val="auto"/>
              </w:rPr>
            </w:pPr>
            <w:r>
              <w:rPr>
                <w:rFonts w:ascii="Arial" w:cs="Arial" w:eastAsia="Arial" w:hAnsi="Arial"/>
                <w:sz w:val="10"/>
                <w:szCs w:val="10"/>
                <w:b w:val="1"/>
                <w:bCs w:val="1"/>
                <w:color w:val="auto"/>
                <w:w w:val="85"/>
              </w:rPr>
              <w:t>Instructions given to validly appointed proxies</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85"/>
              </w:rPr>
              <w:t>Resolution</w:t>
            </w:r>
          </w:p>
        </w:tc>
        <w:tc>
          <w:tcPr>
            <w:tcW w:w="0" w:type="dxa"/>
            <w:vAlign w:val="bottom"/>
          </w:tcPr>
          <w:p>
            <w:pPr>
              <w:spacing w:after="0"/>
              <w:rPr>
                <w:sz w:val="1"/>
                <w:szCs w:val="1"/>
                <w:color w:val="auto"/>
              </w:rPr>
            </w:pPr>
          </w:p>
        </w:tc>
      </w:tr>
      <w:tr>
        <w:trPr>
          <w:trHeight w:val="108"/>
        </w:trPr>
        <w:tc>
          <w:tcPr>
            <w:tcW w:w="440" w:type="dxa"/>
            <w:vAlign w:val="bottom"/>
            <w:tcBorders>
              <w:bottom w:val="single" w:sz="8" w:color="auto"/>
            </w:tcBorders>
          </w:tcPr>
          <w:p>
            <w:pPr>
              <w:spacing w:after="0" w:line="108" w:lineRule="exact"/>
              <w:rPr>
                <w:sz w:val="20"/>
                <w:szCs w:val="20"/>
                <w:color w:val="auto"/>
              </w:rPr>
            </w:pPr>
            <w:r>
              <w:rPr>
                <w:rFonts w:ascii="Arial" w:cs="Arial" w:eastAsia="Arial" w:hAnsi="Arial"/>
                <w:sz w:val="10"/>
                <w:szCs w:val="10"/>
                <w:b w:val="1"/>
                <w:bCs w:val="1"/>
                <w:color w:val="auto"/>
              </w:rPr>
              <w:t>details</w:t>
            </w: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4"/>
          </w:tcPr>
          <w:p>
            <w:pPr>
              <w:jc w:val="center"/>
              <w:ind w:right="300"/>
              <w:spacing w:after="0" w:line="108" w:lineRule="exact"/>
              <w:rPr>
                <w:sz w:val="20"/>
                <w:szCs w:val="20"/>
                <w:color w:val="auto"/>
              </w:rPr>
            </w:pPr>
            <w:r>
              <w:rPr>
                <w:rFonts w:ascii="Arial" w:cs="Arial" w:eastAsia="Arial" w:hAnsi="Arial"/>
                <w:sz w:val="10"/>
                <w:szCs w:val="10"/>
                <w:b w:val="1"/>
                <w:bCs w:val="1"/>
                <w:color w:val="auto"/>
                <w:w w:val="84"/>
              </w:rPr>
              <w:t>(as at proxy close)</w:t>
            </w: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Borders>
              <w:bottom w:val="single" w:sz="8" w:color="auto"/>
            </w:tcBorders>
            <w:gridSpan w:val="5"/>
          </w:tcPr>
          <w:p>
            <w:pPr>
              <w:jc w:val="right"/>
              <w:ind w:right="264"/>
              <w:spacing w:after="0" w:line="108" w:lineRule="exact"/>
              <w:rPr>
                <w:sz w:val="20"/>
                <w:szCs w:val="20"/>
                <w:color w:val="auto"/>
              </w:rPr>
            </w:pPr>
            <w:r>
              <w:rPr>
                <w:rFonts w:ascii="Arial" w:cs="Arial" w:eastAsia="Arial" w:hAnsi="Arial"/>
                <w:sz w:val="10"/>
                <w:szCs w:val="10"/>
                <w:b w:val="1"/>
                <w:bCs w:val="1"/>
                <w:color w:val="auto"/>
              </w:rPr>
              <w:t>Number of votes cast on the poll</w:t>
            </w:r>
          </w:p>
        </w:tc>
        <w:tc>
          <w:tcPr>
            <w:tcW w:w="220" w:type="dxa"/>
            <w:vAlign w:val="bottom"/>
          </w:tcPr>
          <w:p>
            <w:pPr>
              <w:spacing w:after="0"/>
              <w:rPr>
                <w:sz w:val="9"/>
                <w:szCs w:val="9"/>
                <w:color w:val="auto"/>
              </w:rPr>
            </w:pPr>
          </w:p>
        </w:tc>
        <w:tc>
          <w:tcPr>
            <w:tcW w:w="500" w:type="dxa"/>
            <w:vAlign w:val="bottom"/>
            <w:tcBorders>
              <w:bottom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0"/>
              </w:rPr>
              <w:t>result</w:t>
            </w:r>
          </w:p>
        </w:tc>
        <w:tc>
          <w:tcPr>
            <w:tcW w:w="0" w:type="dxa"/>
            <w:vAlign w:val="bottom"/>
          </w:tcPr>
          <w:p>
            <w:pPr>
              <w:spacing w:after="0"/>
              <w:rPr>
                <w:sz w:val="1"/>
                <w:szCs w:val="1"/>
                <w:color w:val="auto"/>
              </w:rPr>
            </w:pPr>
          </w:p>
        </w:tc>
      </w:tr>
      <w:tr>
        <w:trPr>
          <w:trHeight w:val="83"/>
        </w:trPr>
        <w:tc>
          <w:tcPr>
            <w:tcW w:w="440" w:type="dxa"/>
            <w:vAlign w:val="bottom"/>
            <w:vMerge w:val="restart"/>
          </w:tcPr>
          <w:p>
            <w:pPr>
              <w:spacing w:after="0"/>
              <w:rPr>
                <w:sz w:val="20"/>
                <w:szCs w:val="20"/>
                <w:color w:val="auto"/>
              </w:rPr>
            </w:pPr>
            <w:r>
              <w:rPr>
                <w:rFonts w:ascii="Arial" w:cs="Arial" w:eastAsia="Arial" w:hAnsi="Arial"/>
                <w:sz w:val="10"/>
                <w:szCs w:val="10"/>
                <w:b w:val="1"/>
                <w:bCs w:val="1"/>
                <w:color w:val="auto"/>
                <w:w w:val="81"/>
              </w:rPr>
              <w:t>Resolution</w:t>
            </w:r>
          </w:p>
        </w:tc>
        <w:tc>
          <w:tcPr>
            <w:tcW w:w="126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gridSpan w:val="2"/>
          </w:tcPr>
          <w:p>
            <w:pPr>
              <w:jc w:val="center"/>
              <w:ind w:right="220"/>
              <w:spacing w:after="0" w:line="83" w:lineRule="exact"/>
              <w:rPr>
                <w:sz w:val="20"/>
                <w:szCs w:val="20"/>
                <w:color w:val="auto"/>
              </w:rPr>
            </w:pPr>
            <w:r>
              <w:rPr>
                <w:rFonts w:ascii="Arial" w:cs="Arial" w:eastAsia="Arial" w:hAnsi="Arial"/>
                <w:sz w:val="8"/>
                <w:szCs w:val="8"/>
                <w:b w:val="1"/>
                <w:bCs w:val="1"/>
                <w:color w:val="auto"/>
              </w:rPr>
              <w:t>Proxy’s</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Carried /</w:t>
            </w:r>
          </w:p>
        </w:tc>
        <w:tc>
          <w:tcPr>
            <w:tcW w:w="0" w:type="dxa"/>
            <w:vAlign w:val="bottom"/>
          </w:tcPr>
          <w:p>
            <w:pPr>
              <w:spacing w:after="0"/>
              <w:rPr>
                <w:sz w:val="1"/>
                <w:szCs w:val="1"/>
                <w:color w:val="auto"/>
              </w:rPr>
            </w:pPr>
          </w:p>
        </w:tc>
      </w:tr>
      <w:tr>
        <w:trPr>
          <w:trHeight w:val="124"/>
        </w:trPr>
        <w:tc>
          <w:tcPr>
            <w:tcW w:w="440" w:type="dxa"/>
            <w:vAlign w:val="bottom"/>
            <w:tcBorders>
              <w:bottom w:val="single" w:sz="8" w:color="auto"/>
            </w:tcBorders>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For</w:t>
            </w:r>
          </w:p>
        </w:tc>
        <w:tc>
          <w:tcPr>
            <w:tcW w:w="64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rPr>
              <w:t>Against</w:t>
            </w:r>
          </w:p>
        </w:tc>
        <w:tc>
          <w:tcPr>
            <w:tcW w:w="640" w:type="dxa"/>
            <w:vAlign w:val="bottom"/>
            <w:gridSpan w:val="2"/>
          </w:tcPr>
          <w:p>
            <w:pPr>
              <w:jc w:val="center"/>
              <w:ind w:right="220"/>
              <w:spacing w:after="0" w:line="105" w:lineRule="exact"/>
              <w:rPr>
                <w:sz w:val="20"/>
                <w:szCs w:val="20"/>
                <w:color w:val="auto"/>
              </w:rPr>
            </w:pPr>
            <w:r>
              <w:rPr>
                <w:rFonts w:ascii="Arial" w:cs="Arial" w:eastAsia="Arial" w:hAnsi="Arial"/>
                <w:sz w:val="10"/>
                <w:szCs w:val="10"/>
                <w:b w:val="1"/>
                <w:bCs w:val="1"/>
                <w:color w:val="auto"/>
                <w:w w:val="87"/>
              </w:rPr>
              <w:t>discretion</w:t>
            </w:r>
          </w:p>
        </w:tc>
        <w:tc>
          <w:tcPr>
            <w:tcW w:w="74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rPr>
              <w:t>Abstain</w:t>
            </w:r>
          </w:p>
        </w:tc>
        <w:tc>
          <w:tcPr>
            <w:tcW w:w="80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For</w:t>
            </w:r>
          </w:p>
        </w:tc>
        <w:tc>
          <w:tcPr>
            <w:tcW w:w="66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Against</w:t>
            </w:r>
          </w:p>
        </w:tc>
        <w:tc>
          <w:tcPr>
            <w:tcW w:w="74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rPr>
              <w:t>Abstain*</w:t>
            </w:r>
          </w:p>
        </w:tc>
        <w:tc>
          <w:tcPr>
            <w:tcW w:w="5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8"/>
              </w:rPr>
              <w:t>not carried</w:t>
            </w:r>
          </w:p>
        </w:tc>
        <w:tc>
          <w:tcPr>
            <w:tcW w:w="0" w:type="dxa"/>
            <w:vAlign w:val="bottom"/>
          </w:tcPr>
          <w:p>
            <w:pPr>
              <w:spacing w:after="0"/>
              <w:rPr>
                <w:sz w:val="1"/>
                <w:szCs w:val="1"/>
                <w:color w:val="auto"/>
              </w:rPr>
            </w:pPr>
          </w:p>
        </w:tc>
      </w:tr>
      <w:tr>
        <w:trPr>
          <w:trHeight w:val="104"/>
        </w:trPr>
        <w:tc>
          <w:tcPr>
            <w:tcW w:w="1700" w:type="dxa"/>
            <w:vAlign w:val="bottom"/>
            <w:tcBorders>
              <w:top w:val="single" w:sz="8" w:color="CCEEFF"/>
            </w:tcBorders>
            <w:gridSpan w:val="2"/>
            <w:shd w:val="clear" w:color="auto" w:fill="CCEEFF"/>
          </w:tcPr>
          <w:p>
            <w:pPr>
              <w:spacing w:after="0" w:line="105" w:lineRule="exact"/>
              <w:rPr>
                <w:sz w:val="20"/>
                <w:szCs w:val="20"/>
                <w:color w:val="auto"/>
              </w:rPr>
            </w:pPr>
            <w:r>
              <w:rPr>
                <w:rFonts w:ascii="Arial" w:cs="Arial" w:eastAsia="Arial" w:hAnsi="Arial"/>
                <w:sz w:val="12"/>
                <w:szCs w:val="12"/>
                <w:color w:val="auto"/>
                <w:w w:val="92"/>
              </w:rPr>
              <w:t>Resolution 1: Election of Directors</w:t>
            </w: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7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 serve a one-year term</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9,299,761</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0</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1.685,226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9,299,761</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3"/>
              </w:rPr>
              <w:t>1,685,226</w:t>
            </w: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9"/>
              </w:rPr>
              <w:t>Louis Panaccio, Non- Executive</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44"/>
        </w:trPr>
        <w:tc>
          <w:tcPr>
            <w:tcW w:w="17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Chairman of the Board of</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84.66%</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0%</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84.66%</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15.34%</w:t>
            </w: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Directors</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9019"/>
          </w:cols>
          <w:pgMar w:left="1440" w:top="226" w:right="1440" w:bottom="1440" w:gutter="0" w:footer="0" w:header="0"/>
        </w:sectPr>
      </w:pPr>
    </w:p>
    <w:tbl>
      <w:tblPr>
        <w:tblLayout w:type="fixed"/>
        <w:tblInd w:w="840" w:type="dxa"/>
        <w:tblCellMar>
          <w:top w:w="0" w:type="dxa"/>
          <w:left w:w="0" w:type="dxa"/>
          <w:bottom w:w="0" w:type="dxa"/>
          <w:right w:w="0" w:type="dxa"/>
        </w:tblCellMar>
      </w:tblPr>
      <w:tr>
        <w:trPr>
          <w:trHeight w:val="144"/>
        </w:trPr>
        <w:tc>
          <w:tcPr>
            <w:tcW w:w="1700" w:type="dxa"/>
            <w:vAlign w:val="bottom"/>
          </w:tcPr>
          <w:p>
            <w:pPr>
              <w:spacing w:after="0"/>
              <w:rPr>
                <w:sz w:val="20"/>
                <w:szCs w:val="20"/>
                <w:color w:val="auto"/>
              </w:rPr>
            </w:pPr>
            <w:r>
              <w:rPr>
                <w:rFonts w:ascii="Arial" w:cs="Arial" w:eastAsia="Arial" w:hAnsi="Arial"/>
                <w:sz w:val="12"/>
                <w:szCs w:val="12"/>
                <w:color w:val="auto"/>
                <w:w w:val="92"/>
              </w:rPr>
              <w:t>Resolution 1: Election of Directors</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20"/>
              <w:spacing w:after="0"/>
              <w:rPr>
                <w:sz w:val="20"/>
                <w:szCs w:val="20"/>
                <w:color w:val="auto"/>
              </w:rPr>
            </w:pPr>
            <w:r>
              <w:rPr>
                <w:rFonts w:ascii="Arial" w:cs="Arial" w:eastAsia="Arial" w:hAnsi="Arial"/>
                <w:sz w:val="12"/>
                <w:szCs w:val="12"/>
                <w:color w:val="auto"/>
              </w:rPr>
              <w:t>to serve a one-year term</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10,360,740</w:t>
            </w:r>
          </w:p>
        </w:tc>
        <w:tc>
          <w:tcPr>
            <w:tcW w:w="820" w:type="dxa"/>
            <w:vAlign w:val="bottom"/>
          </w:tcPr>
          <w:p>
            <w:pPr>
              <w:jc w:val="right"/>
              <w:ind w:right="280"/>
              <w:spacing w:after="0"/>
              <w:rPr>
                <w:sz w:val="20"/>
                <w:szCs w:val="20"/>
                <w:color w:val="auto"/>
              </w:rPr>
            </w:pPr>
            <w:r>
              <w:rPr>
                <w:rFonts w:ascii="Arial" w:cs="Arial" w:eastAsia="Arial" w:hAnsi="Arial"/>
                <w:sz w:val="12"/>
                <w:szCs w:val="12"/>
                <w:color w:val="auto"/>
              </w:rPr>
              <w:t>0</w:t>
            </w:r>
          </w:p>
        </w:tc>
        <w:tc>
          <w:tcPr>
            <w:tcW w:w="480" w:type="dxa"/>
            <w:vAlign w:val="bottom"/>
          </w:tcPr>
          <w:p>
            <w:pPr>
              <w:ind w:lef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ind w:right="120"/>
              <w:spacing w:after="0"/>
              <w:rPr>
                <w:sz w:val="20"/>
                <w:szCs w:val="20"/>
                <w:color w:val="auto"/>
              </w:rPr>
            </w:pPr>
            <w:r>
              <w:rPr>
                <w:rFonts w:ascii="Arial" w:cs="Arial" w:eastAsia="Arial" w:hAnsi="Arial"/>
                <w:sz w:val="12"/>
                <w:szCs w:val="12"/>
                <w:color w:val="auto"/>
              </w:rPr>
              <w:t>624,247</w:t>
            </w:r>
          </w:p>
        </w:tc>
        <w:tc>
          <w:tcPr>
            <w:tcW w:w="800" w:type="dxa"/>
            <w:vAlign w:val="bottom"/>
          </w:tcPr>
          <w:p>
            <w:pPr>
              <w:jc w:val="right"/>
              <w:ind w:right="120"/>
              <w:spacing w:after="0"/>
              <w:rPr>
                <w:sz w:val="20"/>
                <w:szCs w:val="20"/>
                <w:color w:val="auto"/>
              </w:rPr>
            </w:pPr>
            <w:r>
              <w:rPr>
                <w:rFonts w:ascii="Arial" w:cs="Arial" w:eastAsia="Arial" w:hAnsi="Arial"/>
                <w:sz w:val="12"/>
                <w:szCs w:val="12"/>
                <w:color w:val="auto"/>
                <w:w w:val="99"/>
              </w:rPr>
              <w:t>10,360,740</w:t>
            </w:r>
          </w:p>
        </w:tc>
        <w:tc>
          <w:tcPr>
            <w:tcW w:w="660" w:type="dxa"/>
            <w:vAlign w:val="bottom"/>
          </w:tcPr>
          <w:p>
            <w:pPr>
              <w:jc w:val="right"/>
              <w:ind w:right="120"/>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624,247</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20"/>
                <w:szCs w:val="20"/>
                <w:color w:val="auto"/>
              </w:rPr>
            </w:pPr>
            <w:r>
              <w:rPr>
                <w:rFonts w:ascii="Arial" w:cs="Arial" w:eastAsia="Arial" w:hAnsi="Arial"/>
                <w:sz w:val="12"/>
                <w:szCs w:val="12"/>
                <w:color w:val="auto"/>
                <w:w w:val="92"/>
              </w:rPr>
              <w:t>James Corbett, Executive Director</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ind w:left="120"/>
              <w:spacing w:after="0"/>
              <w:rPr>
                <w:sz w:val="20"/>
                <w:szCs w:val="20"/>
                <w:color w:val="auto"/>
              </w:rPr>
            </w:pPr>
            <w:r>
              <w:rPr>
                <w:rFonts w:ascii="Arial" w:cs="Arial" w:eastAsia="Arial" w:hAnsi="Arial"/>
                <w:sz w:val="12"/>
                <w:szCs w:val="12"/>
                <w:color w:val="auto"/>
              </w:rPr>
              <w:t>and Chief Executive Officer</w:t>
            </w: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94.32%</w:t>
            </w:r>
          </w:p>
        </w:tc>
        <w:tc>
          <w:tcPr>
            <w:tcW w:w="820" w:type="dxa"/>
            <w:vAlign w:val="bottom"/>
          </w:tcPr>
          <w:p>
            <w:pPr>
              <w:jc w:val="right"/>
              <w:ind w:right="180"/>
              <w:spacing w:after="0"/>
              <w:rPr>
                <w:sz w:val="20"/>
                <w:szCs w:val="20"/>
                <w:color w:val="auto"/>
              </w:rPr>
            </w:pPr>
            <w:r>
              <w:rPr>
                <w:rFonts w:ascii="Arial" w:cs="Arial" w:eastAsia="Arial" w:hAnsi="Arial"/>
                <w:sz w:val="12"/>
                <w:szCs w:val="12"/>
                <w:color w:val="auto"/>
              </w:rPr>
              <w:t>0%</w:t>
            </w:r>
          </w:p>
        </w:tc>
        <w:tc>
          <w:tcPr>
            <w:tcW w:w="480" w:type="dxa"/>
            <w:vAlign w:val="bottom"/>
          </w:tcPr>
          <w:p>
            <w:pPr>
              <w:ind w:lef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5.68%</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94.32%</w:t>
            </w: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0%</w:t>
            </w:r>
          </w:p>
        </w:tc>
        <w:tc>
          <w:tcPr>
            <w:tcW w:w="700" w:type="dxa"/>
            <w:vAlign w:val="bottom"/>
          </w:tcPr>
          <w:p>
            <w:pPr>
              <w:jc w:val="right"/>
              <w:spacing w:after="0"/>
              <w:rPr>
                <w:sz w:val="20"/>
                <w:szCs w:val="20"/>
                <w:color w:val="auto"/>
              </w:rPr>
            </w:pPr>
            <w:r>
              <w:rPr>
                <w:rFonts w:ascii="Arial" w:cs="Arial" w:eastAsia="Arial" w:hAnsi="Arial"/>
                <w:sz w:val="12"/>
                <w:szCs w:val="12"/>
                <w:color w:val="auto"/>
              </w:rPr>
              <w:t>5.68%</w:t>
            </w:r>
          </w:p>
        </w:tc>
        <w:tc>
          <w:tcPr>
            <w:tcW w:w="0" w:type="dxa"/>
            <w:vAlign w:val="bottom"/>
          </w:tcPr>
          <w:p>
            <w:pPr>
              <w:spacing w:after="0"/>
              <w:rPr>
                <w:sz w:val="1"/>
                <w:szCs w:val="1"/>
                <w:color w:val="auto"/>
              </w:rPr>
            </w:pPr>
          </w:p>
        </w:tc>
      </w:tr>
      <w:tr>
        <w:trPr>
          <w:trHeight w:val="72"/>
        </w:trPr>
        <w:tc>
          <w:tcPr>
            <w:tcW w:w="1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2"/>
              </w:rPr>
              <w:t>Resolution 1: Election of Directors</w:t>
            </w:r>
          </w:p>
        </w:tc>
        <w:tc>
          <w:tcPr>
            <w:tcW w:w="8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 serve a one-year term</w:t>
            </w: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9,803,894</w:t>
            </w:r>
          </w:p>
        </w:tc>
        <w:tc>
          <w:tcPr>
            <w:tcW w:w="8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0</w:t>
            </w:r>
          </w:p>
        </w:tc>
        <w:tc>
          <w:tcPr>
            <w:tcW w:w="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0</w:t>
            </w:r>
          </w:p>
        </w:tc>
        <w:tc>
          <w:tcPr>
            <w:tcW w:w="7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1,181,093</w:t>
            </w:r>
          </w:p>
        </w:tc>
        <w:tc>
          <w:tcPr>
            <w:tcW w:w="8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9,855,810</w:t>
            </w:r>
          </w:p>
        </w:tc>
        <w:tc>
          <w:tcPr>
            <w:tcW w:w="6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1,181,093</w:t>
            </w: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Jeremy Curnock Cook,</w:t>
            </w:r>
          </w:p>
        </w:tc>
        <w:tc>
          <w:tcPr>
            <w:tcW w:w="8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Non-Executive Director</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89.25%</w:t>
            </w:r>
          </w:p>
        </w:tc>
        <w:tc>
          <w:tcPr>
            <w:tcW w:w="8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0%</w:t>
            </w:r>
          </w:p>
        </w:tc>
        <w:tc>
          <w:tcPr>
            <w:tcW w:w="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0%</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10.75%</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87.45%</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Arial" w:cs="Arial" w:eastAsia="Arial" w:hAnsi="Arial"/>
                <w:sz w:val="12"/>
                <w:szCs w:val="12"/>
                <w:color w:val="auto"/>
                <w:w w:val="92"/>
              </w:rPr>
              <w:t>Resolution 1: Election of Directors</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20"/>
              <w:spacing w:after="0"/>
              <w:rPr>
                <w:sz w:val="20"/>
                <w:szCs w:val="20"/>
                <w:color w:val="auto"/>
              </w:rPr>
            </w:pPr>
            <w:r>
              <w:rPr>
                <w:rFonts w:ascii="Arial" w:cs="Arial" w:eastAsia="Arial" w:hAnsi="Arial"/>
                <w:sz w:val="12"/>
                <w:szCs w:val="12"/>
                <w:color w:val="auto"/>
              </w:rPr>
              <w:t>to serve a one-year term</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9,216,541</w:t>
            </w:r>
          </w:p>
        </w:tc>
        <w:tc>
          <w:tcPr>
            <w:tcW w:w="820" w:type="dxa"/>
            <w:vAlign w:val="bottom"/>
          </w:tcPr>
          <w:p>
            <w:pPr>
              <w:jc w:val="right"/>
              <w:ind w:right="280"/>
              <w:spacing w:after="0"/>
              <w:rPr>
                <w:sz w:val="20"/>
                <w:szCs w:val="20"/>
                <w:color w:val="auto"/>
              </w:rPr>
            </w:pPr>
            <w:r>
              <w:rPr>
                <w:rFonts w:ascii="Arial" w:cs="Arial" w:eastAsia="Arial" w:hAnsi="Arial"/>
                <w:sz w:val="12"/>
                <w:szCs w:val="12"/>
                <w:color w:val="auto"/>
              </w:rPr>
              <w:t>0</w:t>
            </w:r>
          </w:p>
        </w:tc>
        <w:tc>
          <w:tcPr>
            <w:tcW w:w="480" w:type="dxa"/>
            <w:vAlign w:val="bottom"/>
          </w:tcPr>
          <w:p>
            <w:pPr>
              <w:ind w:lef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ind w:right="120"/>
              <w:spacing w:after="0"/>
              <w:rPr>
                <w:sz w:val="20"/>
                <w:szCs w:val="20"/>
                <w:color w:val="auto"/>
              </w:rPr>
            </w:pPr>
            <w:r>
              <w:rPr>
                <w:rFonts w:ascii="Arial" w:cs="Arial" w:eastAsia="Arial" w:hAnsi="Arial"/>
                <w:sz w:val="12"/>
                <w:szCs w:val="12"/>
                <w:color w:val="auto"/>
              </w:rPr>
              <w:t>1,768,446</w:t>
            </w: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9,216,541</w:t>
            </w:r>
          </w:p>
        </w:tc>
        <w:tc>
          <w:tcPr>
            <w:tcW w:w="660" w:type="dxa"/>
            <w:vAlign w:val="bottom"/>
          </w:tcPr>
          <w:p>
            <w:pPr>
              <w:jc w:val="right"/>
              <w:ind w:right="120"/>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1,768,446</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20"/>
                <w:szCs w:val="20"/>
                <w:color w:val="auto"/>
              </w:rPr>
            </w:pPr>
            <w:r>
              <w:rPr>
                <w:rFonts w:ascii="Arial" w:cs="Arial" w:eastAsia="Arial" w:hAnsi="Arial"/>
                <w:sz w:val="12"/>
                <w:szCs w:val="12"/>
                <w:color w:val="auto"/>
              </w:rPr>
              <w:t>Professor Suzanne Crowe,</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20"/>
              <w:spacing w:after="0"/>
              <w:rPr>
                <w:sz w:val="20"/>
                <w:szCs w:val="20"/>
                <w:color w:val="auto"/>
              </w:rPr>
            </w:pPr>
            <w:r>
              <w:rPr>
                <w:rFonts w:ascii="Arial" w:cs="Arial" w:eastAsia="Arial" w:hAnsi="Arial"/>
                <w:sz w:val="12"/>
                <w:szCs w:val="12"/>
                <w:color w:val="auto"/>
              </w:rPr>
              <w:t>Non-Executive Director</w:t>
            </w: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83.90%</w:t>
            </w:r>
          </w:p>
        </w:tc>
        <w:tc>
          <w:tcPr>
            <w:tcW w:w="820" w:type="dxa"/>
            <w:vAlign w:val="bottom"/>
          </w:tcPr>
          <w:p>
            <w:pPr>
              <w:jc w:val="right"/>
              <w:ind w:right="180"/>
              <w:spacing w:after="0"/>
              <w:rPr>
                <w:sz w:val="20"/>
                <w:szCs w:val="20"/>
                <w:color w:val="auto"/>
              </w:rPr>
            </w:pPr>
            <w:r>
              <w:rPr>
                <w:rFonts w:ascii="Arial" w:cs="Arial" w:eastAsia="Arial" w:hAnsi="Arial"/>
                <w:sz w:val="12"/>
                <w:szCs w:val="12"/>
                <w:color w:val="auto"/>
              </w:rPr>
              <w:t>0%</w:t>
            </w:r>
          </w:p>
        </w:tc>
        <w:tc>
          <w:tcPr>
            <w:tcW w:w="480" w:type="dxa"/>
            <w:vAlign w:val="bottom"/>
          </w:tcPr>
          <w:p>
            <w:pPr>
              <w:ind w:lef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16.10%</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83.90%</w:t>
            </w: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0%</w:t>
            </w:r>
          </w:p>
        </w:tc>
        <w:tc>
          <w:tcPr>
            <w:tcW w:w="700" w:type="dxa"/>
            <w:vAlign w:val="bottom"/>
          </w:tcPr>
          <w:p>
            <w:pPr>
              <w:jc w:val="right"/>
              <w:spacing w:after="0"/>
              <w:rPr>
                <w:sz w:val="20"/>
                <w:szCs w:val="20"/>
                <w:color w:val="auto"/>
              </w:rPr>
            </w:pPr>
            <w:r>
              <w:rPr>
                <w:rFonts w:ascii="Arial" w:cs="Arial" w:eastAsia="Arial" w:hAnsi="Arial"/>
                <w:sz w:val="12"/>
                <w:szCs w:val="12"/>
                <w:color w:val="auto"/>
              </w:rPr>
              <w:t>16.10%</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20"/>
                <w:szCs w:val="20"/>
                <w:color w:val="auto"/>
              </w:rPr>
            </w:pPr>
            <w:r>
              <w:rPr>
                <w:rFonts w:ascii="Arial" w:cs="Arial" w:eastAsia="Arial" w:hAnsi="Arial"/>
                <w:sz w:val="12"/>
                <w:szCs w:val="12"/>
                <w:color w:val="auto"/>
                <w:w w:val="92"/>
              </w:rPr>
              <w:t>Resolution 1: Election of Directors</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00" w:type="dxa"/>
            <w:vAlign w:val="bottom"/>
          </w:tcPr>
          <w:p>
            <w:pPr>
              <w:ind w:left="120"/>
              <w:spacing w:after="0"/>
              <w:rPr>
                <w:sz w:val="20"/>
                <w:szCs w:val="20"/>
                <w:color w:val="auto"/>
              </w:rPr>
            </w:pPr>
            <w:r>
              <w:rPr>
                <w:rFonts w:ascii="Arial" w:cs="Arial" w:eastAsia="Arial" w:hAnsi="Arial"/>
                <w:sz w:val="12"/>
                <w:szCs w:val="12"/>
                <w:color w:val="auto"/>
              </w:rPr>
              <w:t>to serve a one-year term</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9,926,444</w:t>
            </w:r>
          </w:p>
        </w:tc>
        <w:tc>
          <w:tcPr>
            <w:tcW w:w="820" w:type="dxa"/>
            <w:vAlign w:val="bottom"/>
          </w:tcPr>
          <w:p>
            <w:pPr>
              <w:jc w:val="right"/>
              <w:ind w:right="280"/>
              <w:spacing w:after="0"/>
              <w:rPr>
                <w:sz w:val="20"/>
                <w:szCs w:val="20"/>
                <w:color w:val="auto"/>
              </w:rPr>
            </w:pPr>
            <w:r>
              <w:rPr>
                <w:rFonts w:ascii="Arial" w:cs="Arial" w:eastAsia="Arial" w:hAnsi="Arial"/>
                <w:sz w:val="12"/>
                <w:szCs w:val="12"/>
                <w:color w:val="auto"/>
              </w:rPr>
              <w:t>0</w:t>
            </w:r>
          </w:p>
        </w:tc>
        <w:tc>
          <w:tcPr>
            <w:tcW w:w="480" w:type="dxa"/>
            <w:vAlign w:val="bottom"/>
          </w:tcPr>
          <w:p>
            <w:pPr>
              <w:ind w:lef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ind w:right="120"/>
              <w:spacing w:after="0"/>
              <w:rPr>
                <w:sz w:val="20"/>
                <w:szCs w:val="20"/>
                <w:color w:val="auto"/>
              </w:rPr>
            </w:pPr>
            <w:r>
              <w:rPr>
                <w:rFonts w:ascii="Arial" w:cs="Arial" w:eastAsia="Arial" w:hAnsi="Arial"/>
                <w:sz w:val="12"/>
                <w:szCs w:val="12"/>
                <w:color w:val="auto"/>
              </w:rPr>
              <w:t>1,058,543</w:t>
            </w:r>
          </w:p>
        </w:tc>
        <w:tc>
          <w:tcPr>
            <w:tcW w:w="800" w:type="dxa"/>
            <w:vAlign w:val="bottom"/>
          </w:tcPr>
          <w:p>
            <w:pPr>
              <w:jc w:val="right"/>
              <w:ind w:right="120"/>
              <w:spacing w:after="0"/>
              <w:rPr>
                <w:sz w:val="20"/>
                <w:szCs w:val="20"/>
                <w:color w:val="auto"/>
              </w:rPr>
            </w:pPr>
            <w:r>
              <w:rPr>
                <w:rFonts w:ascii="Arial" w:cs="Arial" w:eastAsia="Arial" w:hAnsi="Arial"/>
                <w:sz w:val="12"/>
                <w:szCs w:val="12"/>
                <w:color w:val="auto"/>
              </w:rPr>
              <w:t>9,926,444</w:t>
            </w:r>
          </w:p>
        </w:tc>
        <w:tc>
          <w:tcPr>
            <w:tcW w:w="660" w:type="dxa"/>
            <w:vAlign w:val="bottom"/>
          </w:tcPr>
          <w:p>
            <w:pPr>
              <w:jc w:val="right"/>
              <w:ind w:right="120"/>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1,058,543</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2"/>
                <w:szCs w:val="12"/>
                <w:color w:val="auto"/>
                <w:w w:val="99"/>
              </w:rPr>
              <w:t>Jan Stern Reed, Non-Executive</w:t>
            </w: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90.36%</w:t>
            </w:r>
          </w:p>
        </w:tc>
        <w:tc>
          <w:tcPr>
            <w:tcW w:w="820" w:type="dxa"/>
            <w:vAlign w:val="bottom"/>
          </w:tcPr>
          <w:p>
            <w:pPr>
              <w:jc w:val="right"/>
              <w:ind w:right="180"/>
              <w:spacing w:after="0"/>
              <w:rPr>
                <w:sz w:val="20"/>
                <w:szCs w:val="20"/>
                <w:color w:val="auto"/>
              </w:rPr>
            </w:pPr>
            <w:r>
              <w:rPr>
                <w:rFonts w:ascii="Arial" w:cs="Arial" w:eastAsia="Arial" w:hAnsi="Arial"/>
                <w:sz w:val="12"/>
                <w:szCs w:val="12"/>
                <w:color w:val="auto"/>
              </w:rPr>
              <w:t>0%</w:t>
            </w:r>
          </w:p>
        </w:tc>
        <w:tc>
          <w:tcPr>
            <w:tcW w:w="480" w:type="dxa"/>
            <w:vAlign w:val="bottom"/>
          </w:tcPr>
          <w:p>
            <w:pPr>
              <w:ind w:lef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9.64%</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90.36%</w:t>
            </w: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0%</w:t>
            </w:r>
          </w:p>
        </w:tc>
        <w:tc>
          <w:tcPr>
            <w:tcW w:w="700" w:type="dxa"/>
            <w:vAlign w:val="bottom"/>
          </w:tcPr>
          <w:p>
            <w:pPr>
              <w:jc w:val="right"/>
              <w:spacing w:after="0"/>
              <w:rPr>
                <w:sz w:val="20"/>
                <w:szCs w:val="20"/>
                <w:color w:val="auto"/>
              </w:rPr>
            </w:pPr>
            <w:r>
              <w:rPr>
                <w:rFonts w:ascii="Arial" w:cs="Arial" w:eastAsia="Arial" w:hAnsi="Arial"/>
                <w:sz w:val="12"/>
                <w:szCs w:val="12"/>
                <w:color w:val="auto"/>
              </w:rPr>
              <w:t>9.64%</w:t>
            </w:r>
          </w:p>
        </w:tc>
        <w:tc>
          <w:tcPr>
            <w:tcW w:w="0" w:type="dxa"/>
            <w:vAlign w:val="bottom"/>
          </w:tcPr>
          <w:p>
            <w:pPr>
              <w:spacing w:after="0"/>
              <w:rPr>
                <w:sz w:val="1"/>
                <w:szCs w:val="1"/>
                <w:color w:val="auto"/>
              </w:rPr>
            </w:pPr>
          </w:p>
        </w:tc>
      </w:tr>
      <w:tr>
        <w:trPr>
          <w:trHeight w:val="153"/>
        </w:trPr>
        <w:tc>
          <w:tcPr>
            <w:tcW w:w="1700" w:type="dxa"/>
            <w:vAlign w:val="bottom"/>
          </w:tcPr>
          <w:p>
            <w:pPr>
              <w:ind w:left="120"/>
              <w:spacing w:after="0"/>
              <w:rPr>
                <w:sz w:val="20"/>
                <w:szCs w:val="20"/>
                <w:color w:val="auto"/>
              </w:rPr>
            </w:pPr>
            <w:r>
              <w:rPr>
                <w:rFonts w:ascii="Arial" w:cs="Arial" w:eastAsia="Arial" w:hAnsi="Arial"/>
                <w:sz w:val="12"/>
                <w:szCs w:val="12"/>
                <w:color w:val="auto"/>
              </w:rPr>
              <w:t>Director</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2"/>
                <w:szCs w:val="12"/>
                <w:color w:val="auto"/>
              </w:rPr>
              <w:t>Resolution 2: To ratify the</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20"/>
              <w:spacing w:after="0"/>
              <w:rPr>
                <w:sz w:val="20"/>
                <w:szCs w:val="20"/>
                <w:color w:val="auto"/>
              </w:rPr>
            </w:pPr>
            <w:r>
              <w:rPr>
                <w:rFonts w:ascii="Arial" w:cs="Arial" w:eastAsia="Arial" w:hAnsi="Arial"/>
                <w:sz w:val="12"/>
                <w:szCs w:val="12"/>
                <w:color w:val="auto"/>
                <w:w w:val="95"/>
              </w:rPr>
              <w:t>appointment of Grant Thornton</w:t>
            </w:r>
          </w:p>
        </w:tc>
        <w:tc>
          <w:tcPr>
            <w:tcW w:w="860" w:type="dxa"/>
            <w:vAlign w:val="bottom"/>
            <w:vMerge w:val="restart"/>
          </w:tcPr>
          <w:p>
            <w:pPr>
              <w:jc w:val="right"/>
              <w:ind w:right="120"/>
              <w:spacing w:after="0"/>
              <w:rPr>
                <w:sz w:val="20"/>
                <w:szCs w:val="20"/>
                <w:color w:val="auto"/>
              </w:rPr>
            </w:pPr>
            <w:r>
              <w:rPr>
                <w:rFonts w:ascii="Arial" w:cs="Arial" w:eastAsia="Arial" w:hAnsi="Arial"/>
                <w:sz w:val="12"/>
                <w:szCs w:val="12"/>
                <w:color w:val="auto"/>
              </w:rPr>
              <w:t>12,430,789</w:t>
            </w:r>
          </w:p>
        </w:tc>
        <w:tc>
          <w:tcPr>
            <w:tcW w:w="820" w:type="dxa"/>
            <w:vAlign w:val="bottom"/>
            <w:vMerge w:val="restart"/>
          </w:tcPr>
          <w:p>
            <w:pPr>
              <w:jc w:val="right"/>
              <w:ind w:right="280"/>
              <w:spacing w:after="0"/>
              <w:rPr>
                <w:sz w:val="20"/>
                <w:szCs w:val="20"/>
                <w:color w:val="auto"/>
              </w:rPr>
            </w:pPr>
            <w:r>
              <w:rPr>
                <w:rFonts w:ascii="Arial" w:cs="Arial" w:eastAsia="Arial" w:hAnsi="Arial"/>
                <w:sz w:val="12"/>
                <w:szCs w:val="12"/>
                <w:color w:val="auto"/>
              </w:rPr>
              <w:t>224,743</w:t>
            </w:r>
          </w:p>
        </w:tc>
        <w:tc>
          <w:tcPr>
            <w:tcW w:w="48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740" w:type="dxa"/>
            <w:vAlign w:val="bottom"/>
            <w:vMerge w:val="restart"/>
          </w:tcPr>
          <w:p>
            <w:pPr>
              <w:jc w:val="right"/>
              <w:ind w:right="120"/>
              <w:spacing w:after="0"/>
              <w:rPr>
                <w:sz w:val="20"/>
                <w:szCs w:val="20"/>
                <w:color w:val="auto"/>
              </w:rPr>
            </w:pPr>
            <w:r>
              <w:rPr>
                <w:rFonts w:ascii="Arial" w:cs="Arial" w:eastAsia="Arial" w:hAnsi="Arial"/>
                <w:sz w:val="12"/>
                <w:szCs w:val="12"/>
                <w:color w:val="auto"/>
              </w:rPr>
              <w:t>258,367</w:t>
            </w:r>
          </w:p>
        </w:tc>
        <w:tc>
          <w:tcPr>
            <w:tcW w:w="800" w:type="dxa"/>
            <w:vAlign w:val="bottom"/>
            <w:vMerge w:val="restart"/>
          </w:tcPr>
          <w:p>
            <w:pPr>
              <w:jc w:val="right"/>
              <w:ind w:right="120"/>
              <w:spacing w:after="0"/>
              <w:rPr>
                <w:sz w:val="20"/>
                <w:szCs w:val="20"/>
                <w:color w:val="auto"/>
              </w:rPr>
            </w:pPr>
            <w:r>
              <w:rPr>
                <w:rFonts w:ascii="Arial" w:cs="Arial" w:eastAsia="Arial" w:hAnsi="Arial"/>
                <w:sz w:val="12"/>
                <w:szCs w:val="12"/>
                <w:color w:val="auto"/>
                <w:w w:val="99"/>
              </w:rPr>
              <w:t>12,430,789</w:t>
            </w:r>
          </w:p>
        </w:tc>
        <w:tc>
          <w:tcPr>
            <w:tcW w:w="660" w:type="dxa"/>
            <w:vAlign w:val="bottom"/>
            <w:vMerge w:val="restart"/>
          </w:tcPr>
          <w:p>
            <w:pPr>
              <w:jc w:val="right"/>
              <w:ind w:right="120"/>
              <w:spacing w:after="0"/>
              <w:rPr>
                <w:sz w:val="20"/>
                <w:szCs w:val="20"/>
                <w:color w:val="auto"/>
              </w:rPr>
            </w:pPr>
            <w:r>
              <w:rPr>
                <w:rFonts w:ascii="Arial" w:cs="Arial" w:eastAsia="Arial" w:hAnsi="Arial"/>
                <w:sz w:val="12"/>
                <w:szCs w:val="12"/>
                <w:color w:val="auto"/>
              </w:rPr>
              <w:t>224,743</w:t>
            </w:r>
          </w:p>
        </w:tc>
        <w:tc>
          <w:tcPr>
            <w:tcW w:w="700" w:type="dxa"/>
            <w:vAlign w:val="bottom"/>
            <w:vMerge w:val="restart"/>
          </w:tcPr>
          <w:p>
            <w:pPr>
              <w:jc w:val="right"/>
              <w:ind w:right="80"/>
              <w:spacing w:after="0"/>
              <w:rPr>
                <w:sz w:val="20"/>
                <w:szCs w:val="20"/>
                <w:color w:val="auto"/>
              </w:rPr>
            </w:pPr>
            <w:r>
              <w:rPr>
                <w:rFonts w:ascii="Arial" w:cs="Arial" w:eastAsia="Arial" w:hAnsi="Arial"/>
                <w:sz w:val="12"/>
                <w:szCs w:val="12"/>
                <w:color w:val="auto"/>
              </w:rPr>
              <w:t>258,367</w:t>
            </w:r>
          </w:p>
        </w:tc>
        <w:tc>
          <w:tcPr>
            <w:tcW w:w="0" w:type="dxa"/>
            <w:vAlign w:val="bottom"/>
          </w:tcPr>
          <w:p>
            <w:pPr>
              <w:spacing w:after="0"/>
              <w:rPr>
                <w:sz w:val="1"/>
                <w:szCs w:val="1"/>
                <w:color w:val="auto"/>
              </w:rPr>
            </w:pPr>
          </w:p>
        </w:tc>
      </w:tr>
      <w:tr>
        <w:trPr>
          <w:trHeight w:val="108"/>
        </w:trPr>
        <w:tc>
          <w:tcPr>
            <w:tcW w:w="1700" w:type="dxa"/>
            <w:vAlign w:val="bottom"/>
            <w:vMerge w:val="restart"/>
          </w:tcPr>
          <w:p>
            <w:pPr>
              <w:ind w:left="120"/>
              <w:spacing w:after="0"/>
              <w:rPr>
                <w:sz w:val="20"/>
                <w:szCs w:val="20"/>
                <w:color w:val="auto"/>
              </w:rPr>
            </w:pPr>
            <w:r>
              <w:rPr>
                <w:rFonts w:ascii="Arial" w:cs="Arial" w:eastAsia="Arial" w:hAnsi="Arial"/>
                <w:sz w:val="12"/>
                <w:szCs w:val="12"/>
                <w:color w:val="auto"/>
              </w:rPr>
              <w:t>LLP as the Company’s</w:t>
            </w:r>
          </w:p>
        </w:tc>
        <w:tc>
          <w:tcPr>
            <w:tcW w:w="8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7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700" w:type="dxa"/>
            <w:vAlign w:val="bottom"/>
          </w:tcPr>
          <w:p>
            <w:pPr>
              <w:ind w:left="120"/>
              <w:spacing w:after="0"/>
              <w:rPr>
                <w:sz w:val="20"/>
                <w:szCs w:val="20"/>
                <w:color w:val="auto"/>
              </w:rPr>
            </w:pPr>
            <w:r>
              <w:rPr>
                <w:rFonts w:ascii="Arial" w:cs="Arial" w:eastAsia="Arial" w:hAnsi="Arial"/>
                <w:sz w:val="12"/>
                <w:szCs w:val="12"/>
                <w:color w:val="auto"/>
                <w:w w:val="92"/>
              </w:rPr>
              <w:t>independent public accountants</w:t>
            </w: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96.26%</w:t>
            </w:r>
          </w:p>
        </w:tc>
        <w:tc>
          <w:tcPr>
            <w:tcW w:w="820" w:type="dxa"/>
            <w:vAlign w:val="bottom"/>
          </w:tcPr>
          <w:p>
            <w:pPr>
              <w:jc w:val="right"/>
              <w:ind w:right="180"/>
              <w:spacing w:after="0"/>
              <w:rPr>
                <w:sz w:val="20"/>
                <w:szCs w:val="20"/>
                <w:color w:val="auto"/>
              </w:rPr>
            </w:pPr>
            <w:r>
              <w:rPr>
                <w:rFonts w:ascii="Arial" w:cs="Arial" w:eastAsia="Arial" w:hAnsi="Arial"/>
                <w:sz w:val="12"/>
                <w:szCs w:val="12"/>
                <w:color w:val="auto"/>
              </w:rPr>
              <w:t>1.74%</w:t>
            </w:r>
          </w:p>
        </w:tc>
        <w:tc>
          <w:tcPr>
            <w:tcW w:w="480" w:type="dxa"/>
            <w:vAlign w:val="bottom"/>
          </w:tcPr>
          <w:p>
            <w:pPr>
              <w:ind w:lef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2.00%</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96.26%</w:t>
            </w: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1.74%</w:t>
            </w:r>
          </w:p>
        </w:tc>
        <w:tc>
          <w:tcPr>
            <w:tcW w:w="700" w:type="dxa"/>
            <w:vAlign w:val="bottom"/>
          </w:tcPr>
          <w:p>
            <w:pPr>
              <w:jc w:val="right"/>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5"/>
        </w:trPr>
        <w:tc>
          <w:tcPr>
            <w:tcW w:w="1700" w:type="dxa"/>
            <w:vAlign w:val="bottom"/>
          </w:tcPr>
          <w:p>
            <w:pPr>
              <w:ind w:left="120"/>
              <w:spacing w:after="0"/>
              <w:rPr>
                <w:sz w:val="20"/>
                <w:szCs w:val="20"/>
                <w:color w:val="auto"/>
              </w:rPr>
            </w:pPr>
            <w:r>
              <w:rPr>
                <w:rFonts w:ascii="Arial" w:cs="Arial" w:eastAsia="Arial" w:hAnsi="Arial"/>
                <w:sz w:val="12"/>
                <w:szCs w:val="12"/>
                <w:color w:val="auto"/>
              </w:rPr>
              <w:t>for the fiscal year ending</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-925830</wp:posOffset>
            </wp:positionV>
            <wp:extent cx="4663440" cy="422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63440" cy="42291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2"/>
          <w:szCs w:val="12"/>
          <w:color w:val="auto"/>
        </w:rPr>
        <w:t>December 31, 2022.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212725</wp:posOffset>
            </wp:positionV>
            <wp:extent cx="365760" cy="365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5760" cy="36576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460" w:lineRule="exact"/>
        <w:rPr>
          <w:sz w:val="20"/>
          <w:szCs w:val="20"/>
          <w:color w:val="auto"/>
        </w:rPr>
      </w:pPr>
    </w:p>
    <w:p>
      <w:pPr>
        <w:sectPr>
          <w:pgSz w:w="11900" w:h="16838" w:orient="portrait"/>
          <w:cols w:equalWidth="0" w:num="2">
            <w:col w:w="7600" w:space="100"/>
            <w:col w:w="1319"/>
          </w:cols>
          <w:pgMar w:left="1440" w:top="226" w:right="1440" w:bottom="1440" w:gutter="0" w:footer="0" w:header="0"/>
          <w:type w:val="continuous"/>
        </w:sectPr>
      </w:pPr>
    </w:p>
    <w:tbl>
      <w:tblPr>
        <w:tblLayout w:type="fixed"/>
        <w:tblInd w:w="840" w:type="dxa"/>
        <w:tblCellMar>
          <w:top w:w="0" w:type="dxa"/>
          <w:left w:w="0" w:type="dxa"/>
          <w:bottom w:w="0" w:type="dxa"/>
          <w:right w:w="0" w:type="dxa"/>
        </w:tblCellMar>
      </w:tblPr>
      <w:tr>
        <w:trPr>
          <w:trHeight w:val="144"/>
        </w:trPr>
        <w:tc>
          <w:tcPr>
            <w:tcW w:w="1760" w:type="dxa"/>
            <w:vAlign w:val="bottom"/>
          </w:tcPr>
          <w:p>
            <w:pPr>
              <w:spacing w:after="0"/>
              <w:rPr>
                <w:sz w:val="20"/>
                <w:szCs w:val="20"/>
                <w:color w:val="auto"/>
              </w:rPr>
            </w:pPr>
            <w:r>
              <w:rPr>
                <w:rFonts w:ascii="Arial" w:cs="Arial" w:eastAsia="Arial" w:hAnsi="Arial"/>
                <w:sz w:val="12"/>
                <w:szCs w:val="12"/>
                <w:color w:val="auto"/>
              </w:rPr>
              <w:t>Resolution 3: To approve</w:t>
            </w: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ind w:left="120"/>
              <w:spacing w:after="0"/>
              <w:rPr>
                <w:sz w:val="20"/>
                <w:szCs w:val="20"/>
                <w:color w:val="auto"/>
              </w:rPr>
            </w:pPr>
            <w:r>
              <w:rPr>
                <w:rFonts w:ascii="Arial" w:cs="Arial" w:eastAsia="Arial" w:hAnsi="Arial"/>
                <w:sz w:val="12"/>
                <w:szCs w:val="12"/>
                <w:color w:val="auto"/>
                <w:w w:val="97"/>
              </w:rPr>
              <w:t>amendments to the Company’s</w:t>
            </w:r>
          </w:p>
        </w:tc>
        <w:tc>
          <w:tcPr>
            <w:tcW w:w="800" w:type="dxa"/>
            <w:vAlign w:val="bottom"/>
            <w:vMerge w:val="restart"/>
          </w:tcPr>
          <w:p>
            <w:pPr>
              <w:jc w:val="right"/>
              <w:ind w:right="120"/>
              <w:spacing w:after="0"/>
              <w:rPr>
                <w:sz w:val="20"/>
                <w:szCs w:val="20"/>
                <w:color w:val="auto"/>
              </w:rPr>
            </w:pPr>
            <w:r>
              <w:rPr>
                <w:rFonts w:ascii="Arial" w:cs="Arial" w:eastAsia="Arial" w:hAnsi="Arial"/>
                <w:sz w:val="12"/>
                <w:szCs w:val="12"/>
                <w:color w:val="auto"/>
              </w:rPr>
              <w:t>9,587,285</w:t>
            </w:r>
          </w:p>
        </w:tc>
        <w:tc>
          <w:tcPr>
            <w:tcW w:w="820" w:type="dxa"/>
            <w:vAlign w:val="bottom"/>
            <w:vMerge w:val="restart"/>
          </w:tcPr>
          <w:p>
            <w:pPr>
              <w:jc w:val="right"/>
              <w:ind w:right="280"/>
              <w:spacing w:after="0"/>
              <w:rPr>
                <w:sz w:val="20"/>
                <w:szCs w:val="20"/>
                <w:color w:val="auto"/>
              </w:rPr>
            </w:pPr>
            <w:r>
              <w:rPr>
                <w:rFonts w:ascii="Arial" w:cs="Arial" w:eastAsia="Arial" w:hAnsi="Arial"/>
                <w:sz w:val="12"/>
                <w:szCs w:val="12"/>
                <w:color w:val="auto"/>
              </w:rPr>
              <w:t>956,344</w:t>
            </w:r>
          </w:p>
        </w:tc>
        <w:tc>
          <w:tcPr>
            <w:tcW w:w="52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740" w:type="dxa"/>
            <w:vAlign w:val="bottom"/>
            <w:vMerge w:val="restart"/>
          </w:tcPr>
          <w:p>
            <w:pPr>
              <w:jc w:val="right"/>
              <w:ind w:right="160"/>
              <w:spacing w:after="0"/>
              <w:rPr>
                <w:sz w:val="20"/>
                <w:szCs w:val="20"/>
                <w:color w:val="auto"/>
              </w:rPr>
            </w:pPr>
            <w:r>
              <w:rPr>
                <w:rFonts w:ascii="Arial" w:cs="Arial" w:eastAsia="Arial" w:hAnsi="Arial"/>
                <w:sz w:val="12"/>
                <w:szCs w:val="12"/>
                <w:color w:val="auto"/>
              </w:rPr>
              <w:t>441,358</w:t>
            </w:r>
          </w:p>
        </w:tc>
        <w:tc>
          <w:tcPr>
            <w:tcW w:w="760" w:type="dxa"/>
            <w:vAlign w:val="bottom"/>
            <w:vMerge w:val="restart"/>
          </w:tcPr>
          <w:p>
            <w:pPr>
              <w:jc w:val="right"/>
              <w:ind w:right="120"/>
              <w:spacing w:after="0"/>
              <w:rPr>
                <w:sz w:val="20"/>
                <w:szCs w:val="20"/>
                <w:color w:val="auto"/>
              </w:rPr>
            </w:pPr>
            <w:r>
              <w:rPr>
                <w:rFonts w:ascii="Arial" w:cs="Arial" w:eastAsia="Arial" w:hAnsi="Arial"/>
                <w:sz w:val="12"/>
                <w:szCs w:val="12"/>
                <w:color w:val="auto"/>
              </w:rPr>
              <w:t>9,587,285</w:t>
            </w:r>
          </w:p>
        </w:tc>
        <w:tc>
          <w:tcPr>
            <w:tcW w:w="700" w:type="dxa"/>
            <w:vAlign w:val="bottom"/>
            <w:vMerge w:val="restart"/>
          </w:tcPr>
          <w:p>
            <w:pPr>
              <w:jc w:val="right"/>
              <w:ind w:right="160"/>
              <w:spacing w:after="0"/>
              <w:rPr>
                <w:sz w:val="20"/>
                <w:szCs w:val="20"/>
                <w:color w:val="auto"/>
              </w:rPr>
            </w:pPr>
            <w:r>
              <w:rPr>
                <w:rFonts w:ascii="Arial" w:cs="Arial" w:eastAsia="Arial" w:hAnsi="Arial"/>
                <w:sz w:val="12"/>
                <w:szCs w:val="12"/>
                <w:color w:val="auto"/>
              </w:rPr>
              <w:t>956,344</w:t>
            </w:r>
          </w:p>
        </w:tc>
        <w:tc>
          <w:tcPr>
            <w:tcW w:w="680" w:type="dxa"/>
            <w:vAlign w:val="bottom"/>
            <w:vMerge w:val="restart"/>
          </w:tcPr>
          <w:p>
            <w:pPr>
              <w:jc w:val="right"/>
              <w:ind w:right="100"/>
              <w:spacing w:after="0"/>
              <w:rPr>
                <w:sz w:val="20"/>
                <w:szCs w:val="20"/>
                <w:color w:val="auto"/>
              </w:rPr>
            </w:pPr>
            <w:r>
              <w:rPr>
                <w:rFonts w:ascii="Arial" w:cs="Arial" w:eastAsia="Arial" w:hAnsi="Arial"/>
                <w:sz w:val="12"/>
                <w:szCs w:val="12"/>
                <w:color w:val="auto"/>
              </w:rPr>
              <w:t>441,358</w:t>
            </w: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Not</w:t>
            </w:r>
          </w:p>
        </w:tc>
        <w:tc>
          <w:tcPr>
            <w:tcW w:w="0" w:type="dxa"/>
            <w:vAlign w:val="bottom"/>
          </w:tcPr>
          <w:p>
            <w:pPr>
              <w:spacing w:after="0"/>
              <w:rPr>
                <w:sz w:val="1"/>
                <w:szCs w:val="1"/>
                <w:color w:val="auto"/>
              </w:rPr>
            </w:pPr>
          </w:p>
        </w:tc>
      </w:tr>
      <w:tr>
        <w:trPr>
          <w:trHeight w:val="135"/>
        </w:trPr>
        <w:tc>
          <w:tcPr>
            <w:tcW w:w="1760" w:type="dxa"/>
            <w:vAlign w:val="bottom"/>
          </w:tcPr>
          <w:p>
            <w:pPr>
              <w:ind w:left="120"/>
              <w:spacing w:after="0" w:line="135" w:lineRule="exact"/>
              <w:rPr>
                <w:sz w:val="20"/>
                <w:szCs w:val="20"/>
                <w:color w:val="auto"/>
              </w:rPr>
            </w:pPr>
            <w:r>
              <w:rPr>
                <w:rFonts w:ascii="Arial" w:cs="Arial" w:eastAsia="Arial" w:hAnsi="Arial"/>
                <w:sz w:val="12"/>
                <w:szCs w:val="12"/>
                <w:color w:val="auto"/>
                <w:w w:val="96"/>
              </w:rPr>
              <w:t>Amended and Restated Bylaws</w:t>
            </w:r>
          </w:p>
        </w:tc>
        <w:tc>
          <w:tcPr>
            <w:tcW w:w="8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60" w:type="dxa"/>
            <w:vAlign w:val="bottom"/>
          </w:tcPr>
          <w:p>
            <w:pPr>
              <w:ind w:left="120"/>
              <w:spacing w:after="0"/>
              <w:rPr>
                <w:sz w:val="20"/>
                <w:szCs w:val="20"/>
                <w:color w:val="auto"/>
              </w:rPr>
            </w:pPr>
            <w:r>
              <w:rPr>
                <w:rFonts w:ascii="Arial" w:cs="Arial" w:eastAsia="Arial" w:hAnsi="Arial"/>
                <w:sz w:val="12"/>
                <w:szCs w:val="12"/>
                <w:color w:val="auto"/>
              </w:rPr>
              <w:t>to reduce the quorum</w:t>
            </w:r>
          </w:p>
        </w:tc>
        <w:tc>
          <w:tcPr>
            <w:tcW w:w="800" w:type="dxa"/>
            <w:vAlign w:val="bottom"/>
          </w:tcPr>
          <w:p>
            <w:pPr>
              <w:jc w:val="right"/>
              <w:ind w:right="20"/>
              <w:spacing w:after="0"/>
              <w:rPr>
                <w:sz w:val="20"/>
                <w:szCs w:val="20"/>
                <w:color w:val="auto"/>
              </w:rPr>
            </w:pPr>
            <w:r>
              <w:rPr>
                <w:rFonts w:ascii="Arial" w:cs="Arial" w:eastAsia="Arial" w:hAnsi="Arial"/>
                <w:sz w:val="12"/>
                <w:szCs w:val="12"/>
                <w:color w:val="auto"/>
              </w:rPr>
              <w:t>87.27%</w:t>
            </w:r>
          </w:p>
        </w:tc>
        <w:tc>
          <w:tcPr>
            <w:tcW w:w="820" w:type="dxa"/>
            <w:vAlign w:val="bottom"/>
          </w:tcPr>
          <w:p>
            <w:pPr>
              <w:jc w:val="right"/>
              <w:ind w:right="180"/>
              <w:spacing w:after="0"/>
              <w:rPr>
                <w:sz w:val="20"/>
                <w:szCs w:val="20"/>
                <w:color w:val="auto"/>
              </w:rPr>
            </w:pPr>
            <w:r>
              <w:rPr>
                <w:rFonts w:ascii="Arial" w:cs="Arial" w:eastAsia="Arial" w:hAnsi="Arial"/>
                <w:sz w:val="12"/>
                <w:szCs w:val="12"/>
                <w:color w:val="auto"/>
              </w:rPr>
              <w:t>8.71%</w:t>
            </w:r>
          </w:p>
        </w:tc>
        <w:tc>
          <w:tcPr>
            <w:tcW w:w="520" w:type="dxa"/>
            <w:vAlign w:val="bottom"/>
          </w:tcPr>
          <w:p>
            <w:pPr>
              <w:ind w:left="240"/>
              <w:spacing w:after="0"/>
              <w:rPr>
                <w:sz w:val="20"/>
                <w:szCs w:val="20"/>
                <w:color w:val="auto"/>
              </w:rPr>
            </w:pPr>
            <w:r>
              <w:rPr>
                <w:rFonts w:ascii="Arial" w:cs="Arial" w:eastAsia="Arial" w:hAnsi="Arial"/>
                <w:sz w:val="12"/>
                <w:szCs w:val="12"/>
                <w:color w:val="auto"/>
              </w:rPr>
              <w:t>0%</w:t>
            </w: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4.02%</w:t>
            </w: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87.27%</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8.71%</w:t>
            </w:r>
          </w:p>
        </w:tc>
        <w:tc>
          <w:tcPr>
            <w:tcW w:w="680" w:type="dxa"/>
            <w:vAlign w:val="bottom"/>
          </w:tcPr>
          <w:p>
            <w:pPr>
              <w:jc w:val="right"/>
              <w:spacing w:after="0"/>
              <w:rPr>
                <w:sz w:val="20"/>
                <w:szCs w:val="20"/>
                <w:color w:val="auto"/>
              </w:rPr>
            </w:pPr>
            <w:r>
              <w:rPr>
                <w:rFonts w:ascii="Arial" w:cs="Arial" w:eastAsia="Arial" w:hAnsi="Arial"/>
                <w:sz w:val="12"/>
                <w:szCs w:val="12"/>
                <w:color w:val="auto"/>
              </w:rPr>
              <w:t>4.02%</w:t>
            </w:r>
          </w:p>
        </w:tc>
        <w:tc>
          <w:tcPr>
            <w:tcW w:w="540" w:type="dxa"/>
            <w:vAlign w:val="bottom"/>
          </w:tcPr>
          <w:p>
            <w:pPr>
              <w:ind w:left="80"/>
              <w:spacing w:after="0"/>
              <w:rPr>
                <w:sz w:val="20"/>
                <w:szCs w:val="20"/>
                <w:color w:val="auto"/>
              </w:rPr>
            </w:pPr>
            <w:r>
              <w:rPr>
                <w:rFonts w:ascii="Arial" w:cs="Arial" w:eastAsia="Arial" w:hAnsi="Arial"/>
                <w:sz w:val="12"/>
                <w:szCs w:val="12"/>
                <w:color w:val="auto"/>
                <w:w w:val="90"/>
              </w:rPr>
              <w:t>Carried**</w:t>
            </w:r>
          </w:p>
        </w:tc>
        <w:tc>
          <w:tcPr>
            <w:tcW w:w="0" w:type="dxa"/>
            <w:vAlign w:val="bottom"/>
          </w:tcPr>
          <w:p>
            <w:pPr>
              <w:spacing w:after="0"/>
              <w:rPr>
                <w:sz w:val="1"/>
                <w:szCs w:val="1"/>
                <w:color w:val="auto"/>
              </w:rPr>
            </w:pPr>
          </w:p>
        </w:tc>
      </w:tr>
      <w:tr>
        <w:trPr>
          <w:trHeight w:val="145"/>
        </w:trPr>
        <w:tc>
          <w:tcPr>
            <w:tcW w:w="1760" w:type="dxa"/>
            <w:vAlign w:val="bottom"/>
          </w:tcPr>
          <w:p>
            <w:pPr>
              <w:ind w:left="120"/>
              <w:spacing w:after="0"/>
              <w:rPr>
                <w:sz w:val="20"/>
                <w:szCs w:val="20"/>
                <w:color w:val="auto"/>
              </w:rPr>
            </w:pPr>
            <w:r>
              <w:rPr>
                <w:rFonts w:ascii="Arial" w:cs="Arial" w:eastAsia="Arial" w:hAnsi="Arial"/>
                <w:sz w:val="12"/>
                <w:szCs w:val="12"/>
                <w:color w:val="auto"/>
              </w:rPr>
              <w:t>requirement for stockholder</w:t>
            </w: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-457200</wp:posOffset>
            </wp:positionV>
            <wp:extent cx="4663440"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63440" cy="54864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2"/>
          <w:szCs w:val="12"/>
          <w:color w:val="auto"/>
        </w:rPr>
        <w:t>meetings.</w:t>
      </w:r>
    </w:p>
    <w:p>
      <w:pPr>
        <w:sectPr>
          <w:pgSz w:w="11900" w:h="16838" w:orient="portrait"/>
          <w:cols w:equalWidth="0" w:num="1">
            <w:col w:w="9019"/>
          </w:cols>
          <w:pgMar w:left="1440" w:top="226" w:right="1440" w:bottom="1440" w:gutter="0" w:footer="0" w:header="0"/>
          <w:type w:val="continuous"/>
        </w:sectPr>
      </w:pPr>
    </w:p>
    <w:bookmarkStart w:id="56" w:name="page57"/>
    <w:bookmarkEnd w:id="56"/>
    <w:p>
      <w:pPr>
        <w:ind w:left="840"/>
        <w:spacing w:after="0"/>
        <w:rPr>
          <w:sz w:val="20"/>
          <w:szCs w:val="20"/>
          <w:color w:val="auto"/>
        </w:rPr>
      </w:pPr>
      <w:r>
        <w:rPr>
          <w:rFonts w:ascii="Arial" w:cs="Arial" w:eastAsia="Arial" w:hAnsi="Arial"/>
          <w:sz w:val="10"/>
          <w:szCs w:val="10"/>
          <w:color w:val="auto"/>
        </w:rPr>
        <w:t>Resolution 4: To approve the grant of restricted</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stock units to acquire shares of common</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stock of the Company (which may be</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2"/>
          <w:szCs w:val="12"/>
          <w:color w:val="auto"/>
        </w:rPr>
        <w:t>represented by CDIs) equal in value to</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0"/>
          <w:szCs w:val="10"/>
          <w:color w:val="auto"/>
        </w:rPr>
        <w:t>US$87,500 (at the time of the grant) and the</w:t>
      </w:r>
    </w:p>
    <w:p>
      <w:pPr>
        <w:spacing w:after="0" w:line="29" w:lineRule="exact"/>
        <w:rPr>
          <w:sz w:val="20"/>
          <w:szCs w:val="20"/>
          <w:color w:val="auto"/>
        </w:rPr>
      </w:pPr>
    </w:p>
    <w:p>
      <w:pPr>
        <w:ind w:left="960"/>
        <w:spacing w:after="0"/>
        <w:rPr>
          <w:sz w:val="20"/>
          <w:szCs w:val="20"/>
          <w:color w:val="auto"/>
        </w:rPr>
      </w:pPr>
      <w:r>
        <w:rPr>
          <w:rFonts w:ascii="Arial" w:cs="Arial" w:eastAsia="Arial" w:hAnsi="Arial"/>
          <w:sz w:val="12"/>
          <w:szCs w:val="12"/>
          <w:color w:val="auto"/>
        </w:rPr>
        <w:t>grant of options to acquire shares of</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1"/>
          <w:szCs w:val="11"/>
          <w:color w:val="auto"/>
        </w:rPr>
        <w:t>common stock of the Company (which may</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be represented by CDIs) equal in value to</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US$37,500 (at the time of the grant) to</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2"/>
          <w:szCs w:val="12"/>
          <w:color w:val="auto"/>
        </w:rPr>
        <w:t>Mr. Louis Panaccio on the terms and</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1"/>
          <w:szCs w:val="11"/>
          <w:color w:val="auto"/>
        </w:rPr>
        <w:t>conditions set out in this Proxy Statement,</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pursuant to and for the purposes of ASX</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Listing Rule 10.11.</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Resolution 5: To approve the grant of restricted</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stock units to acquire shares of common</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stock of the Company (which may be</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2"/>
          <w:szCs w:val="12"/>
          <w:color w:val="auto"/>
        </w:rPr>
        <w:t>represented by CDIs) equal in value to</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0"/>
          <w:szCs w:val="10"/>
          <w:color w:val="auto"/>
        </w:rPr>
        <w:t>US$87,500 (at the time of the grant) and the</w:t>
      </w:r>
    </w:p>
    <w:p>
      <w:pPr>
        <w:spacing w:after="0" w:line="29" w:lineRule="exact"/>
        <w:rPr>
          <w:sz w:val="20"/>
          <w:szCs w:val="20"/>
          <w:color w:val="auto"/>
        </w:rPr>
      </w:pPr>
    </w:p>
    <w:p>
      <w:pPr>
        <w:ind w:left="960"/>
        <w:spacing w:after="0"/>
        <w:rPr>
          <w:sz w:val="20"/>
          <w:szCs w:val="20"/>
          <w:color w:val="auto"/>
        </w:rPr>
      </w:pPr>
      <w:r>
        <w:rPr>
          <w:rFonts w:ascii="Arial" w:cs="Arial" w:eastAsia="Arial" w:hAnsi="Arial"/>
          <w:sz w:val="12"/>
          <w:szCs w:val="12"/>
          <w:color w:val="auto"/>
        </w:rPr>
        <w:t>grant of options to acquire shares of</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1"/>
          <w:szCs w:val="11"/>
          <w:color w:val="auto"/>
        </w:rPr>
        <w:t>common stock of the Company (which may</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be represented by CDIs) equal in value to</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US$37,500 (at the time of the grant) to</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0"/>
          <w:szCs w:val="10"/>
          <w:color w:val="auto"/>
        </w:rPr>
        <w:t>Professor Suzanne Crowe on the terms and</w:t>
      </w:r>
    </w:p>
    <w:p>
      <w:pPr>
        <w:spacing w:after="0" w:line="29" w:lineRule="exact"/>
        <w:rPr>
          <w:sz w:val="20"/>
          <w:szCs w:val="20"/>
          <w:color w:val="auto"/>
        </w:rPr>
      </w:pPr>
    </w:p>
    <w:p>
      <w:pPr>
        <w:ind w:left="960"/>
        <w:spacing w:after="0"/>
        <w:rPr>
          <w:sz w:val="20"/>
          <w:szCs w:val="20"/>
          <w:color w:val="auto"/>
        </w:rPr>
      </w:pPr>
      <w:r>
        <w:rPr>
          <w:rFonts w:ascii="Arial" w:cs="Arial" w:eastAsia="Arial" w:hAnsi="Arial"/>
          <w:sz w:val="11"/>
          <w:szCs w:val="11"/>
          <w:color w:val="auto"/>
        </w:rPr>
        <w:t>conditions set out in this Proxy Statement,</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pursuant to and for the purposes of ASX</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Listing Rule 10.11.</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Resolution 6: To approve the grant of restricted</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stock units to acquire shares of common</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stock of the Company (which may be</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2"/>
          <w:szCs w:val="12"/>
          <w:color w:val="auto"/>
        </w:rPr>
        <w:t>represented by CDIs) equal in value to</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0"/>
          <w:szCs w:val="10"/>
          <w:color w:val="auto"/>
        </w:rPr>
        <w:t>US$87,500 (at the time of the grant) and the</w:t>
      </w:r>
    </w:p>
    <w:p>
      <w:pPr>
        <w:spacing w:after="0" w:line="29" w:lineRule="exact"/>
        <w:rPr>
          <w:sz w:val="20"/>
          <w:szCs w:val="20"/>
          <w:color w:val="auto"/>
        </w:rPr>
      </w:pPr>
    </w:p>
    <w:p>
      <w:pPr>
        <w:ind w:left="960"/>
        <w:spacing w:after="0"/>
        <w:rPr>
          <w:sz w:val="20"/>
          <w:szCs w:val="20"/>
          <w:color w:val="auto"/>
        </w:rPr>
      </w:pPr>
      <w:r>
        <w:rPr>
          <w:rFonts w:ascii="Arial" w:cs="Arial" w:eastAsia="Arial" w:hAnsi="Arial"/>
          <w:sz w:val="12"/>
          <w:szCs w:val="12"/>
          <w:color w:val="auto"/>
        </w:rPr>
        <w:t>grant of options to acquire shares of</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1"/>
          <w:szCs w:val="11"/>
          <w:color w:val="auto"/>
        </w:rPr>
        <w:t>common stock of the Company (which may</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be represented by CDIs) equal in value to</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US$37,500 (at the time of the grant) to</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1"/>
          <w:szCs w:val="11"/>
          <w:color w:val="auto"/>
        </w:rPr>
        <w:t>Mr. Jeremy Curnock Cook on the terms and</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conditions set out in this Proxy Statement,</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pursuant to and for the purposes of ASX</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Listing Rule 10.11.</w:t>
      </w:r>
    </w:p>
    <w:p>
      <w:pPr>
        <w:spacing w:after="0" w:line="6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Resolution 7: To approve the grant of restricted</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stock units to acquire shares of common</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stock of the Company (which may be</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2"/>
          <w:szCs w:val="12"/>
          <w:color w:val="auto"/>
        </w:rPr>
        <w:t>represented by CDIs) equal in value to</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0"/>
          <w:szCs w:val="10"/>
          <w:color w:val="auto"/>
        </w:rPr>
        <w:t>US$87,500 (at the time of the grant) and the</w:t>
      </w:r>
    </w:p>
    <w:p>
      <w:pPr>
        <w:spacing w:after="0" w:line="29" w:lineRule="exact"/>
        <w:rPr>
          <w:sz w:val="20"/>
          <w:szCs w:val="20"/>
          <w:color w:val="auto"/>
        </w:rPr>
      </w:pPr>
    </w:p>
    <w:p>
      <w:pPr>
        <w:ind w:left="960"/>
        <w:spacing w:after="0"/>
        <w:rPr>
          <w:sz w:val="20"/>
          <w:szCs w:val="20"/>
          <w:color w:val="auto"/>
        </w:rPr>
      </w:pPr>
      <w:r>
        <w:rPr>
          <w:rFonts w:ascii="Arial" w:cs="Arial" w:eastAsia="Arial" w:hAnsi="Arial"/>
          <w:sz w:val="12"/>
          <w:szCs w:val="12"/>
          <w:color w:val="auto"/>
        </w:rPr>
        <w:t>grant of options to acquire shares of</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1"/>
          <w:szCs w:val="11"/>
          <w:color w:val="auto"/>
        </w:rPr>
        <w:t>common stock of the Company (which may</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be represented by CDIs) equal in value to</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US$37,500 (at the time of the grant) to</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2"/>
          <w:szCs w:val="12"/>
          <w:color w:val="auto"/>
        </w:rPr>
        <w:t>Ms. Jan Stern Reed on the terms and</w:t>
      </w:r>
    </w:p>
    <w:p>
      <w:pPr>
        <w:spacing w:after="0" w:line="6" w:lineRule="exact"/>
        <w:rPr>
          <w:sz w:val="20"/>
          <w:szCs w:val="20"/>
          <w:color w:val="auto"/>
        </w:rPr>
      </w:pPr>
    </w:p>
    <w:p>
      <w:pPr>
        <w:ind w:left="960"/>
        <w:spacing w:after="0"/>
        <w:rPr>
          <w:sz w:val="20"/>
          <w:szCs w:val="20"/>
          <w:color w:val="auto"/>
        </w:rPr>
      </w:pPr>
      <w:r>
        <w:rPr>
          <w:rFonts w:ascii="Arial" w:cs="Arial" w:eastAsia="Arial" w:hAnsi="Arial"/>
          <w:sz w:val="11"/>
          <w:szCs w:val="11"/>
          <w:color w:val="auto"/>
        </w:rPr>
        <w:t>conditions set out in this Proxy Statement,</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pursuant to and for the purposes of ASX</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Listing Rule 10.11.</w:t>
      </w:r>
    </w:p>
    <w:p>
      <w:pPr>
        <w:spacing w:after="0" w:line="69" w:lineRule="exact"/>
        <w:rPr>
          <w:sz w:val="20"/>
          <w:szCs w:val="20"/>
          <w:color w:val="auto"/>
        </w:rPr>
      </w:pPr>
    </w:p>
    <w:p>
      <w:pPr>
        <w:ind w:left="960" w:right="80" w:hanging="119"/>
        <w:spacing w:after="0" w:line="311" w:lineRule="auto"/>
        <w:rPr>
          <w:sz w:val="20"/>
          <w:szCs w:val="20"/>
          <w:color w:val="auto"/>
        </w:rPr>
      </w:pPr>
      <w:r>
        <w:rPr>
          <w:rFonts w:ascii="Arial" w:cs="Arial" w:eastAsia="Arial" w:hAnsi="Arial"/>
          <w:sz w:val="10"/>
          <w:szCs w:val="10"/>
          <w:color w:val="auto"/>
        </w:rPr>
        <w:t>Resolution 8: To approve the grant of options to acquire shares of common stock of the Company (which may be represented by CDIs) equal in value to US$1,000,000 (at the time of the grant) to Mr. James Corbett on the terms and conditions set out in this Proxy Statement, pursuant to and for the purposes of ASX Listing Rule 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jc w:val="right"/>
              <w:ind w:right="100"/>
              <w:spacing w:after="0"/>
              <w:rPr>
                <w:sz w:val="20"/>
                <w:szCs w:val="20"/>
                <w:color w:val="auto"/>
              </w:rPr>
            </w:pPr>
            <w:r>
              <w:rPr>
                <w:rFonts w:ascii="Arial" w:cs="Arial" w:eastAsia="Arial" w:hAnsi="Arial"/>
                <w:sz w:val="12"/>
                <w:szCs w:val="12"/>
                <w:color w:val="auto"/>
                <w:w w:val="86"/>
              </w:rPr>
              <w:t>7,637,405</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2,735,159</w:t>
            </w:r>
          </w:p>
        </w:tc>
        <w:tc>
          <w:tcPr>
            <w:tcW w:w="360" w:type="dxa"/>
            <w:vAlign w:val="bottom"/>
          </w:tcPr>
          <w:p>
            <w:pPr>
              <w:ind w:left="120"/>
              <w:spacing w:after="0"/>
              <w:rPr>
                <w:sz w:val="20"/>
                <w:szCs w:val="20"/>
                <w:color w:val="auto"/>
              </w:rPr>
            </w:pPr>
            <w:r>
              <w:rPr>
                <w:rFonts w:ascii="Arial" w:cs="Arial" w:eastAsia="Arial" w:hAnsi="Arial"/>
                <w:sz w:val="12"/>
                <w:szCs w:val="12"/>
                <w:color w:val="auto"/>
              </w:rPr>
              <w:t>0</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612,423</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7,637,405</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2,735,159</w:t>
            </w:r>
          </w:p>
        </w:tc>
        <w:tc>
          <w:tcPr>
            <w:tcW w:w="1060" w:type="dxa"/>
            <w:vAlign w:val="bottom"/>
          </w:tcPr>
          <w:p>
            <w:pPr>
              <w:jc w:val="right"/>
              <w:ind w:right="540"/>
              <w:spacing w:after="0"/>
              <w:rPr>
                <w:sz w:val="20"/>
                <w:szCs w:val="20"/>
                <w:color w:val="auto"/>
              </w:rPr>
            </w:pPr>
            <w:r>
              <w:rPr>
                <w:rFonts w:ascii="Arial" w:cs="Arial" w:eastAsia="Arial" w:hAnsi="Arial"/>
                <w:sz w:val="12"/>
                <w:szCs w:val="12"/>
                <w:color w:val="auto"/>
              </w:rPr>
              <w:t>612,423</w:t>
            </w:r>
          </w:p>
        </w:tc>
        <w:tc>
          <w:tcPr>
            <w:tcW w:w="0" w:type="dxa"/>
            <w:vAlign w:val="bottom"/>
          </w:tcPr>
          <w:p>
            <w:pPr>
              <w:spacing w:after="0"/>
              <w:rPr>
                <w:sz w:val="1"/>
                <w:szCs w:val="1"/>
                <w:color w:val="auto"/>
              </w:rPr>
            </w:pPr>
          </w:p>
        </w:tc>
      </w:tr>
      <w:tr>
        <w:trPr>
          <w:trHeight w:val="117"/>
        </w:trPr>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69.52%</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24.90%</w:t>
            </w:r>
          </w:p>
        </w:tc>
        <w:tc>
          <w:tcPr>
            <w:tcW w:w="360" w:type="dxa"/>
            <w:vAlign w:val="bottom"/>
            <w:vMerge w:val="restart"/>
          </w:tcPr>
          <w:p>
            <w:pPr>
              <w:ind w:left="12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5.58%</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69.52%</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24.90%</w:t>
            </w:r>
          </w:p>
        </w:tc>
        <w:tc>
          <w:tcPr>
            <w:tcW w:w="106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tcPr>
          <w:p>
            <w:pPr>
              <w:jc w:val="right"/>
              <w:ind w:right="440"/>
              <w:spacing w:after="0"/>
              <w:rPr>
                <w:sz w:val="20"/>
                <w:szCs w:val="20"/>
                <w:color w:val="auto"/>
              </w:rPr>
            </w:pPr>
            <w:r>
              <w:rPr>
                <w:rFonts w:ascii="Arial" w:cs="Arial" w:eastAsia="Arial" w:hAnsi="Arial"/>
                <w:sz w:val="12"/>
                <w:szCs w:val="12"/>
                <w:color w:val="auto"/>
              </w:rPr>
              <w:t>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-776605</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520065</wp:posOffset>
            </wp:positionV>
            <wp:extent cx="4663440" cy="1188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63440" cy="118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jc w:val="right"/>
              <w:ind w:right="100"/>
              <w:spacing w:after="0"/>
              <w:rPr>
                <w:sz w:val="20"/>
                <w:szCs w:val="20"/>
                <w:color w:val="auto"/>
              </w:rPr>
            </w:pPr>
            <w:r>
              <w:rPr>
                <w:rFonts w:ascii="Arial" w:cs="Arial" w:eastAsia="Arial" w:hAnsi="Arial"/>
                <w:sz w:val="12"/>
                <w:szCs w:val="12"/>
                <w:color w:val="auto"/>
                <w:w w:val="86"/>
              </w:rPr>
              <w:t>7,656,800</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2,666,551</w:t>
            </w:r>
          </w:p>
        </w:tc>
        <w:tc>
          <w:tcPr>
            <w:tcW w:w="360" w:type="dxa"/>
            <w:vAlign w:val="bottom"/>
          </w:tcPr>
          <w:p>
            <w:pPr>
              <w:ind w:left="120"/>
              <w:spacing w:after="0"/>
              <w:rPr>
                <w:sz w:val="20"/>
                <w:szCs w:val="20"/>
                <w:color w:val="auto"/>
              </w:rPr>
            </w:pPr>
            <w:r>
              <w:rPr>
                <w:rFonts w:ascii="Arial" w:cs="Arial" w:eastAsia="Arial" w:hAnsi="Arial"/>
                <w:sz w:val="12"/>
                <w:szCs w:val="12"/>
                <w:color w:val="auto"/>
              </w:rPr>
              <w:t>0</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661,636</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7,656,800</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2,666,551</w:t>
            </w:r>
          </w:p>
        </w:tc>
        <w:tc>
          <w:tcPr>
            <w:tcW w:w="1060" w:type="dxa"/>
            <w:vAlign w:val="bottom"/>
          </w:tcPr>
          <w:p>
            <w:pPr>
              <w:jc w:val="right"/>
              <w:ind w:right="540"/>
              <w:spacing w:after="0"/>
              <w:rPr>
                <w:sz w:val="20"/>
                <w:szCs w:val="20"/>
                <w:color w:val="auto"/>
              </w:rPr>
            </w:pPr>
            <w:r>
              <w:rPr>
                <w:rFonts w:ascii="Arial" w:cs="Arial" w:eastAsia="Arial" w:hAnsi="Arial"/>
                <w:sz w:val="12"/>
                <w:szCs w:val="12"/>
                <w:color w:val="auto"/>
              </w:rPr>
              <w:t>661,636</w:t>
            </w:r>
          </w:p>
        </w:tc>
        <w:tc>
          <w:tcPr>
            <w:tcW w:w="0" w:type="dxa"/>
            <w:vAlign w:val="bottom"/>
          </w:tcPr>
          <w:p>
            <w:pPr>
              <w:spacing w:after="0"/>
              <w:rPr>
                <w:sz w:val="1"/>
                <w:szCs w:val="1"/>
                <w:color w:val="auto"/>
              </w:rPr>
            </w:pPr>
          </w:p>
        </w:tc>
      </w:tr>
      <w:tr>
        <w:trPr>
          <w:trHeight w:val="117"/>
        </w:trPr>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69.71%</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24.27%</w:t>
            </w:r>
          </w:p>
        </w:tc>
        <w:tc>
          <w:tcPr>
            <w:tcW w:w="360" w:type="dxa"/>
            <w:vAlign w:val="bottom"/>
            <w:vMerge w:val="restart"/>
          </w:tcPr>
          <w:p>
            <w:pPr>
              <w:ind w:left="12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6.02%</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69.71%</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24.27%</w:t>
            </w:r>
          </w:p>
        </w:tc>
        <w:tc>
          <w:tcPr>
            <w:tcW w:w="106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tcPr>
          <w:p>
            <w:pPr>
              <w:jc w:val="right"/>
              <w:ind w:right="440"/>
              <w:spacing w:after="0"/>
              <w:rPr>
                <w:sz w:val="20"/>
                <w:szCs w:val="20"/>
                <w:color w:val="auto"/>
              </w:rPr>
            </w:pPr>
            <w:r>
              <w:rPr>
                <w:rFonts w:ascii="Arial" w:cs="Arial" w:eastAsia="Arial" w:hAnsi="Arial"/>
                <w:sz w:val="12"/>
                <w:szCs w:val="12"/>
                <w:color w:val="auto"/>
              </w:rPr>
              <w:t>6.02%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jc w:val="right"/>
              <w:ind w:right="100"/>
              <w:spacing w:after="0"/>
              <w:rPr>
                <w:sz w:val="20"/>
                <w:szCs w:val="20"/>
                <w:color w:val="auto"/>
              </w:rPr>
            </w:pPr>
            <w:r>
              <w:rPr>
                <w:rFonts w:ascii="Arial" w:cs="Arial" w:eastAsia="Arial" w:hAnsi="Arial"/>
                <w:sz w:val="12"/>
                <w:szCs w:val="12"/>
                <w:color w:val="auto"/>
                <w:w w:val="86"/>
              </w:rPr>
              <w:t>7,612,792</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2,745,543</w:t>
            </w:r>
          </w:p>
        </w:tc>
        <w:tc>
          <w:tcPr>
            <w:tcW w:w="360" w:type="dxa"/>
            <w:vAlign w:val="bottom"/>
          </w:tcPr>
          <w:p>
            <w:pPr>
              <w:ind w:left="120"/>
              <w:spacing w:after="0"/>
              <w:rPr>
                <w:sz w:val="20"/>
                <w:szCs w:val="20"/>
                <w:color w:val="auto"/>
              </w:rPr>
            </w:pPr>
            <w:r>
              <w:rPr>
                <w:rFonts w:ascii="Arial" w:cs="Arial" w:eastAsia="Arial" w:hAnsi="Arial"/>
                <w:sz w:val="12"/>
                <w:szCs w:val="12"/>
                <w:color w:val="auto"/>
              </w:rPr>
              <w:t>0</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626,652</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7,612,792</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2,745,543</w:t>
            </w:r>
          </w:p>
        </w:tc>
        <w:tc>
          <w:tcPr>
            <w:tcW w:w="1060" w:type="dxa"/>
            <w:vAlign w:val="bottom"/>
          </w:tcPr>
          <w:p>
            <w:pPr>
              <w:jc w:val="right"/>
              <w:ind w:right="540"/>
              <w:spacing w:after="0"/>
              <w:rPr>
                <w:sz w:val="20"/>
                <w:szCs w:val="20"/>
                <w:color w:val="auto"/>
              </w:rPr>
            </w:pPr>
            <w:r>
              <w:rPr>
                <w:rFonts w:ascii="Arial" w:cs="Arial" w:eastAsia="Arial" w:hAnsi="Arial"/>
                <w:sz w:val="12"/>
                <w:szCs w:val="12"/>
                <w:color w:val="auto"/>
              </w:rPr>
              <w:t>626,652</w:t>
            </w:r>
          </w:p>
        </w:tc>
        <w:tc>
          <w:tcPr>
            <w:tcW w:w="0" w:type="dxa"/>
            <w:vAlign w:val="bottom"/>
          </w:tcPr>
          <w:p>
            <w:pPr>
              <w:spacing w:after="0"/>
              <w:rPr>
                <w:sz w:val="1"/>
                <w:szCs w:val="1"/>
                <w:color w:val="auto"/>
              </w:rPr>
            </w:pPr>
          </w:p>
        </w:tc>
      </w:tr>
      <w:tr>
        <w:trPr>
          <w:trHeight w:val="117"/>
        </w:trPr>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69.31%</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24.99%</w:t>
            </w:r>
          </w:p>
        </w:tc>
        <w:tc>
          <w:tcPr>
            <w:tcW w:w="360" w:type="dxa"/>
            <w:vAlign w:val="bottom"/>
            <w:vMerge w:val="restart"/>
          </w:tcPr>
          <w:p>
            <w:pPr>
              <w:ind w:left="12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5.70%</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69.31%</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24.99%</w:t>
            </w:r>
          </w:p>
        </w:tc>
        <w:tc>
          <w:tcPr>
            <w:tcW w:w="106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tcPr>
          <w:p>
            <w:pPr>
              <w:jc w:val="right"/>
              <w:ind w:right="440"/>
              <w:spacing w:after="0"/>
              <w:rPr>
                <w:sz w:val="20"/>
                <w:szCs w:val="20"/>
                <w:color w:val="auto"/>
              </w:rPr>
            </w:pPr>
            <w:r>
              <w:rPr>
                <w:rFonts w:ascii="Arial" w:cs="Arial" w:eastAsia="Arial" w:hAnsi="Arial"/>
                <w:sz w:val="12"/>
                <w:szCs w:val="12"/>
                <w:color w:val="auto"/>
              </w:rPr>
              <w:t>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520065</wp:posOffset>
            </wp:positionV>
            <wp:extent cx="4663440" cy="1188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63440" cy="118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jc w:val="right"/>
              <w:ind w:right="100"/>
              <w:spacing w:after="0"/>
              <w:rPr>
                <w:sz w:val="20"/>
                <w:szCs w:val="20"/>
                <w:color w:val="auto"/>
              </w:rPr>
            </w:pPr>
            <w:r>
              <w:rPr>
                <w:rFonts w:ascii="Arial" w:cs="Arial" w:eastAsia="Arial" w:hAnsi="Arial"/>
                <w:sz w:val="12"/>
                <w:szCs w:val="12"/>
                <w:color w:val="auto"/>
                <w:w w:val="86"/>
              </w:rPr>
              <w:t>7,657,643</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2,674,563</w:t>
            </w:r>
          </w:p>
        </w:tc>
        <w:tc>
          <w:tcPr>
            <w:tcW w:w="360" w:type="dxa"/>
            <w:vAlign w:val="bottom"/>
          </w:tcPr>
          <w:p>
            <w:pPr>
              <w:ind w:left="120"/>
              <w:spacing w:after="0"/>
              <w:rPr>
                <w:sz w:val="20"/>
                <w:szCs w:val="20"/>
                <w:color w:val="auto"/>
              </w:rPr>
            </w:pPr>
            <w:r>
              <w:rPr>
                <w:rFonts w:ascii="Arial" w:cs="Arial" w:eastAsia="Arial" w:hAnsi="Arial"/>
                <w:sz w:val="12"/>
                <w:szCs w:val="12"/>
                <w:color w:val="auto"/>
              </w:rPr>
              <w:t>0</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652,781</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7,657,643</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2,674,563</w:t>
            </w:r>
          </w:p>
        </w:tc>
        <w:tc>
          <w:tcPr>
            <w:tcW w:w="1060" w:type="dxa"/>
            <w:vAlign w:val="bottom"/>
          </w:tcPr>
          <w:p>
            <w:pPr>
              <w:jc w:val="right"/>
              <w:ind w:right="540"/>
              <w:spacing w:after="0"/>
              <w:rPr>
                <w:sz w:val="20"/>
                <w:szCs w:val="20"/>
                <w:color w:val="auto"/>
              </w:rPr>
            </w:pPr>
            <w:r>
              <w:rPr>
                <w:rFonts w:ascii="Arial" w:cs="Arial" w:eastAsia="Arial" w:hAnsi="Arial"/>
                <w:sz w:val="12"/>
                <w:szCs w:val="12"/>
                <w:color w:val="auto"/>
              </w:rPr>
              <w:t>652,781</w:t>
            </w:r>
          </w:p>
        </w:tc>
        <w:tc>
          <w:tcPr>
            <w:tcW w:w="0" w:type="dxa"/>
            <w:vAlign w:val="bottom"/>
          </w:tcPr>
          <w:p>
            <w:pPr>
              <w:spacing w:after="0"/>
              <w:rPr>
                <w:sz w:val="1"/>
                <w:szCs w:val="1"/>
                <w:color w:val="auto"/>
              </w:rPr>
            </w:pPr>
          </w:p>
        </w:tc>
      </w:tr>
      <w:tr>
        <w:trPr>
          <w:trHeight w:val="117"/>
        </w:trPr>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69.71%</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24.35%</w:t>
            </w:r>
          </w:p>
        </w:tc>
        <w:tc>
          <w:tcPr>
            <w:tcW w:w="360" w:type="dxa"/>
            <w:vAlign w:val="bottom"/>
            <w:vMerge w:val="restart"/>
          </w:tcPr>
          <w:p>
            <w:pPr>
              <w:ind w:left="12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5.94%</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69.71%</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24.35%</w:t>
            </w:r>
          </w:p>
        </w:tc>
        <w:tc>
          <w:tcPr>
            <w:tcW w:w="106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tcPr>
          <w:p>
            <w:pPr>
              <w:jc w:val="right"/>
              <w:ind w:right="440"/>
              <w:spacing w:after="0"/>
              <w:rPr>
                <w:sz w:val="20"/>
                <w:szCs w:val="20"/>
                <w:color w:val="auto"/>
              </w:rPr>
            </w:pPr>
            <w:r>
              <w:rPr>
                <w:rFonts w:ascii="Arial" w:cs="Arial" w:eastAsia="Arial" w:hAnsi="Arial"/>
                <w:sz w:val="12"/>
                <w:szCs w:val="12"/>
                <w:color w:val="auto"/>
              </w:rPr>
              <w:t>5.94%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jc w:val="right"/>
              <w:ind w:right="100"/>
              <w:spacing w:after="0"/>
              <w:rPr>
                <w:sz w:val="20"/>
                <w:szCs w:val="20"/>
                <w:color w:val="auto"/>
              </w:rPr>
            </w:pPr>
            <w:r>
              <w:rPr>
                <w:rFonts w:ascii="Arial" w:cs="Arial" w:eastAsia="Arial" w:hAnsi="Arial"/>
                <w:sz w:val="12"/>
                <w:szCs w:val="12"/>
                <w:color w:val="auto"/>
                <w:w w:val="86"/>
              </w:rPr>
              <w:t>8,476,617</w:t>
            </w:r>
          </w:p>
        </w:tc>
        <w:tc>
          <w:tcPr>
            <w:tcW w:w="780" w:type="dxa"/>
            <w:vAlign w:val="bottom"/>
          </w:tcPr>
          <w:p>
            <w:pPr>
              <w:jc w:val="right"/>
              <w:ind w:right="160"/>
              <w:spacing w:after="0"/>
              <w:rPr>
                <w:sz w:val="20"/>
                <w:szCs w:val="20"/>
                <w:color w:val="auto"/>
              </w:rPr>
            </w:pPr>
            <w:r>
              <w:rPr>
                <w:rFonts w:ascii="Arial" w:cs="Arial" w:eastAsia="Arial" w:hAnsi="Arial"/>
                <w:sz w:val="12"/>
                <w:szCs w:val="12"/>
                <w:color w:val="auto"/>
              </w:rPr>
              <w:t>1,869,887</w:t>
            </w:r>
          </w:p>
        </w:tc>
        <w:tc>
          <w:tcPr>
            <w:tcW w:w="360" w:type="dxa"/>
            <w:vAlign w:val="bottom"/>
          </w:tcPr>
          <w:p>
            <w:pPr>
              <w:ind w:left="120"/>
              <w:spacing w:after="0"/>
              <w:rPr>
                <w:sz w:val="20"/>
                <w:szCs w:val="20"/>
                <w:color w:val="auto"/>
              </w:rPr>
            </w:pPr>
            <w:r>
              <w:rPr>
                <w:rFonts w:ascii="Arial" w:cs="Arial" w:eastAsia="Arial" w:hAnsi="Arial"/>
                <w:sz w:val="12"/>
                <w:szCs w:val="12"/>
                <w:color w:val="auto"/>
              </w:rPr>
              <w:t>0</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638,483</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8,476,617</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1,869,887</w:t>
            </w:r>
          </w:p>
        </w:tc>
        <w:tc>
          <w:tcPr>
            <w:tcW w:w="1060" w:type="dxa"/>
            <w:vAlign w:val="bottom"/>
          </w:tcPr>
          <w:p>
            <w:pPr>
              <w:jc w:val="right"/>
              <w:ind w:right="540"/>
              <w:spacing w:after="0"/>
              <w:rPr>
                <w:sz w:val="20"/>
                <w:szCs w:val="20"/>
                <w:color w:val="auto"/>
              </w:rPr>
            </w:pPr>
            <w:r>
              <w:rPr>
                <w:rFonts w:ascii="Arial" w:cs="Arial" w:eastAsia="Arial" w:hAnsi="Arial"/>
                <w:sz w:val="12"/>
                <w:szCs w:val="12"/>
                <w:color w:val="auto"/>
              </w:rPr>
              <w:t>638,483</w:t>
            </w:r>
          </w:p>
        </w:tc>
        <w:tc>
          <w:tcPr>
            <w:tcW w:w="0" w:type="dxa"/>
            <w:vAlign w:val="bottom"/>
          </w:tcPr>
          <w:p>
            <w:pPr>
              <w:spacing w:after="0"/>
              <w:rPr>
                <w:sz w:val="1"/>
                <w:szCs w:val="1"/>
                <w:color w:val="auto"/>
              </w:rPr>
            </w:pPr>
          </w:p>
        </w:tc>
      </w:tr>
      <w:tr>
        <w:trPr>
          <w:trHeight w:val="117"/>
        </w:trPr>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77.17%</w:t>
            </w:r>
          </w:p>
        </w:tc>
        <w:tc>
          <w:tcPr>
            <w:tcW w:w="780" w:type="dxa"/>
            <w:vAlign w:val="bottom"/>
            <w:vMerge w:val="restart"/>
          </w:tcPr>
          <w:p>
            <w:pPr>
              <w:jc w:val="right"/>
              <w:ind w:right="60"/>
              <w:spacing w:after="0"/>
              <w:rPr>
                <w:sz w:val="20"/>
                <w:szCs w:val="20"/>
                <w:color w:val="auto"/>
              </w:rPr>
            </w:pPr>
            <w:r>
              <w:rPr>
                <w:rFonts w:ascii="Arial" w:cs="Arial" w:eastAsia="Arial" w:hAnsi="Arial"/>
                <w:sz w:val="12"/>
                <w:szCs w:val="12"/>
                <w:color w:val="auto"/>
              </w:rPr>
              <w:t>17.02%</w:t>
            </w:r>
          </w:p>
        </w:tc>
        <w:tc>
          <w:tcPr>
            <w:tcW w:w="360" w:type="dxa"/>
            <w:vAlign w:val="bottom"/>
            <w:vMerge w:val="restart"/>
          </w:tcPr>
          <w:p>
            <w:pPr>
              <w:ind w:left="12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5.81%</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77.17%</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17.02%</w:t>
            </w:r>
          </w:p>
        </w:tc>
        <w:tc>
          <w:tcPr>
            <w:tcW w:w="106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6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tcPr>
          <w:p>
            <w:pPr>
              <w:jc w:val="right"/>
              <w:ind w:right="440"/>
              <w:spacing w:after="0"/>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bl>
    <w:p>
      <w:pPr>
        <w:sectPr>
          <w:pgSz w:w="11900" w:h="16838" w:orient="portrait"/>
          <w:cols w:equalWidth="0" w:num="2">
            <w:col w:w="3100" w:space="140"/>
            <w:col w:w="5779"/>
          </w:cols>
          <w:pgMar w:left="1440" w:top="230" w:right="1440"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840" w:type="dxa"/>
        <w:tblCellMar>
          <w:top w:w="0" w:type="dxa"/>
          <w:left w:w="0" w:type="dxa"/>
          <w:bottom w:w="0" w:type="dxa"/>
          <w:right w:w="0" w:type="dxa"/>
        </w:tblCellMar>
      </w:tblPr>
      <w:tr>
        <w:trPr>
          <w:trHeight w:val="138"/>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w w:val="97"/>
              </w:rPr>
              <w:t>Resolution 9: Advisory vote to approve the</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7,832,181</w:t>
            </w:r>
          </w:p>
        </w:tc>
        <w:tc>
          <w:tcPr>
            <w:tcW w:w="7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2,381,954</w:t>
            </w:r>
          </w:p>
        </w:tc>
        <w:tc>
          <w:tcPr>
            <w:tcW w:w="3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0</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770,852</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7,832,181</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2,381,954</w:t>
            </w:r>
          </w:p>
        </w:tc>
        <w:tc>
          <w:tcPr>
            <w:tcW w:w="110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rPr>
              <w:t>770,852</w:t>
            </w:r>
          </w:p>
        </w:tc>
      </w:tr>
      <w:tr>
        <w:trPr>
          <w:trHeight w:val="117"/>
        </w:trPr>
        <w:tc>
          <w:tcPr>
            <w:tcW w:w="222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w w:val="98"/>
              </w:rPr>
              <w:t>compensation of the Company’s named</w:t>
            </w:r>
          </w:p>
        </w:tc>
        <w:tc>
          <w:tcPr>
            <w:tcW w:w="8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color w:val="auto"/>
              </w:rPr>
              <w:t>Carried</w:t>
            </w:r>
          </w:p>
        </w:tc>
      </w:tr>
      <w:tr>
        <w:trPr>
          <w:trHeight w:val="180"/>
        </w:trPr>
        <w:tc>
          <w:tcPr>
            <w:tcW w:w="2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executive officers.</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71.30%</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21.68%</w:t>
            </w:r>
          </w:p>
        </w:tc>
        <w:tc>
          <w:tcPr>
            <w:tcW w:w="3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21.68%</w:t>
            </w:r>
          </w:p>
        </w:tc>
        <w:tc>
          <w:tcPr>
            <w:tcW w:w="110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7.02%</w:t>
            </w:r>
          </w:p>
        </w:tc>
      </w:tr>
    </w:tbl>
    <w:p>
      <w:pPr>
        <w:spacing w:after="0" w:line="153" w:lineRule="exact"/>
        <w:rPr>
          <w:sz w:val="20"/>
          <w:szCs w:val="20"/>
          <w:color w:val="auto"/>
        </w:rPr>
      </w:pPr>
    </w:p>
    <w:p>
      <w:pPr>
        <w:ind w:left="1120" w:right="999" w:hanging="288"/>
        <w:spacing w:after="0" w:line="254" w:lineRule="auto"/>
        <w:tabs>
          <w:tab w:leader="none" w:pos="1120" w:val="left"/>
        </w:tabs>
        <w:numPr>
          <w:ilvl w:val="0"/>
          <w:numId w:val="5"/>
        </w:numPr>
        <w:rPr>
          <w:rFonts w:ascii="Arial" w:cs="Arial" w:eastAsia="Arial" w:hAnsi="Arial"/>
          <w:sz w:val="12"/>
          <w:szCs w:val="12"/>
          <w:color w:val="auto"/>
        </w:rPr>
      </w:pPr>
      <w:r>
        <w:rPr>
          <w:rFonts w:ascii="Arial" w:cs="Arial" w:eastAsia="Arial" w:hAnsi="Arial"/>
          <w:sz w:val="12"/>
          <w:szCs w:val="12"/>
          <w:color w:val="auto"/>
        </w:rPr>
        <w:t>Votes relating to a person who abstained on Resolution 1 or any of Resolutions 4 - 8 (as applicable) were not counted in determining whether or not the required majority of votes were cast for or against that Resolution. Votes relating to a person who abstained on Resolutions 2, 3 or 9 (as applicable) were counted as votes “AGAINST” that Resolution in determining whether or not the required majority of votes were cast for or against that Resolution.</w:t>
      </w:r>
    </w:p>
    <w:p>
      <w:pPr>
        <w:spacing w:after="0" w:line="1" w:lineRule="exact"/>
        <w:rPr>
          <w:sz w:val="20"/>
          <w:szCs w:val="20"/>
          <w:color w:val="auto"/>
        </w:rPr>
      </w:pPr>
    </w:p>
    <w:p>
      <w:pPr>
        <w:ind w:left="1120" w:hanging="288"/>
        <w:spacing w:after="0"/>
        <w:tabs>
          <w:tab w:leader="none" w:pos="112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Resolution 3 was not carried as the number of votes required to approve the proposal was not reached.</w:t>
      </w:r>
    </w:p>
    <w:sectPr>
      <w:pgSz w:w="11900" w:h="16838" w:orient="portrait"/>
      <w:cols w:equalWidth="0" w:num="1">
        <w:col w:w="9019"/>
      </w:cols>
      <w:pgMar w:left="1440" w:top="2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emdash "/>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2022-12-14T15:12:05Z</dcterms:created>
  <dcterms:modified xsi:type="dcterms:W3CDTF">2022-12-14T15:12:05Z</dcterms:modified>
</cp:coreProperties>
</file>