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w:t>
      </w:r>
    </w:p>
    <w:p>
      <w:pPr>
        <w:jc w:val="center"/>
        <w:ind w:right="-3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5, 2019</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jc w:val="center"/>
        <w:ind w:right="-4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tabs>
          <w:tab w:leader="none" w:pos="904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620"/>
          </w:cols>
          <w:pgMar w:left="440" w:top="368"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6940" w:type="dxa"/>
            <w:vAlign w:val="bottom"/>
            <w:gridSpan w:val="2"/>
          </w:tcPr>
          <w:p>
            <w:pPr>
              <w:jc w:val="center"/>
              <w:ind w:right="3914"/>
              <w:spacing w:after="0"/>
              <w:rPr>
                <w:sz w:val="20"/>
                <w:szCs w:val="20"/>
                <w:color w:val="auto"/>
              </w:rPr>
            </w:pPr>
            <w:r>
              <w:rPr>
                <w:rFonts w:ascii="Arial" w:cs="Arial" w:eastAsia="Arial" w:hAnsi="Arial"/>
                <w:sz w:val="18"/>
                <w:szCs w:val="18"/>
                <w:b w:val="1"/>
                <w:bCs w:val="1"/>
                <w:color w:val="auto"/>
              </w:rPr>
              <w:t>AVITA MEDICAL LIMITED</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6940" w:type="dxa"/>
            <w:vAlign w:val="bottom"/>
            <w:gridSpan w:val="2"/>
          </w:tcPr>
          <w:p>
            <w:pPr>
              <w:jc w:val="center"/>
              <w:ind w:right="3894"/>
              <w:spacing w:after="0"/>
              <w:rPr>
                <w:sz w:val="20"/>
                <w:szCs w:val="20"/>
                <w:color w:val="auto"/>
              </w:rPr>
            </w:pPr>
            <w:r>
              <w:rPr>
                <w:rFonts w:ascii="Arial" w:cs="Arial" w:eastAsia="Arial" w:hAnsi="Arial"/>
                <w:sz w:val="18"/>
                <w:szCs w:val="18"/>
                <w:b w:val="1"/>
                <w:bCs w:val="1"/>
                <w:color w:val="auto"/>
                <w:w w:val="96"/>
              </w:rPr>
              <w:t>Form 6-K</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6940" w:type="dxa"/>
            <w:vAlign w:val="bottom"/>
            <w:gridSpan w:val="2"/>
          </w:tcPr>
          <w:p>
            <w:pPr>
              <w:jc w:val="center"/>
              <w:ind w:right="3914"/>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392"/>
        </w:trPr>
        <w:tc>
          <w:tcPr>
            <w:tcW w:w="4040" w:type="dxa"/>
            <w:vAlign w:val="bottom"/>
            <w:vMerge w:val="restart"/>
          </w:tcPr>
          <w:p>
            <w:pPr>
              <w:spacing w:after="0"/>
              <w:rPr>
                <w:sz w:val="20"/>
                <w:szCs w:val="20"/>
                <w:color w:val="auto"/>
              </w:rPr>
            </w:pPr>
            <w:r>
              <w:rPr>
                <w:rFonts w:ascii="Arial" w:cs="Arial" w:eastAsia="Arial" w:hAnsi="Arial"/>
                <w:sz w:val="18"/>
                <w:szCs w:val="18"/>
                <w:color w:val="auto"/>
              </w:rPr>
              <w:t>Explanatory Note</w:t>
            </w:r>
          </w:p>
        </w:tc>
        <w:tc>
          <w:tcPr>
            <w:tcW w:w="6000" w:type="dxa"/>
            <w:vAlign w:val="bottom"/>
          </w:tcPr>
          <w:p>
            <w:pPr>
              <w:spacing w:after="0"/>
              <w:rPr>
                <w:sz w:val="24"/>
                <w:szCs w:val="2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4040" w:type="dxa"/>
            <w:vAlign w:val="bottom"/>
            <w:vMerge w:val="continue"/>
          </w:tcPr>
          <w:p>
            <w:pPr>
              <w:spacing w:after="0"/>
              <w:rPr>
                <w:sz w:val="19"/>
                <w:szCs w:val="19"/>
                <w:color w:val="auto"/>
              </w:rPr>
            </w:pPr>
          </w:p>
        </w:tc>
        <w:tc>
          <w:tcPr>
            <w:tcW w:w="6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310"/>
        </w:trPr>
        <w:tc>
          <w:tcPr>
            <w:tcW w:w="4040" w:type="dxa"/>
            <w:vAlign w:val="bottom"/>
          </w:tcPr>
          <w:p>
            <w:pPr>
              <w:spacing w:after="0"/>
              <w:rPr>
                <w:sz w:val="20"/>
                <w:szCs w:val="20"/>
                <w:color w:val="auto"/>
              </w:rPr>
            </w:pPr>
            <w:r>
              <w:rPr>
                <w:rFonts w:ascii="Arial" w:cs="Arial" w:eastAsia="Arial" w:hAnsi="Arial"/>
                <w:sz w:val="18"/>
                <w:szCs w:val="18"/>
                <w:color w:val="auto"/>
              </w:rPr>
              <w:t>Signatures</w:t>
            </w:r>
          </w:p>
        </w:tc>
        <w:tc>
          <w:tcPr>
            <w:tcW w:w="60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rPr>
              <w:t>New Issue Announcement: Appendix 3B</w:t>
            </w:r>
          </w:p>
        </w:tc>
        <w:tc>
          <w:tcPr>
            <w:tcW w:w="60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99.1</w:t>
            </w: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Arial" w:cs="Arial" w:eastAsia="Arial" w:hAnsi="Arial"/>
                <w:sz w:val="18"/>
                <w:szCs w:val="18"/>
                <w:color w:val="auto"/>
              </w:rPr>
              <w:t>Change of Director’s Interest Notice: Appendix 3Y</w:t>
            </w:r>
          </w:p>
        </w:tc>
        <w:tc>
          <w:tcPr>
            <w:tcW w:w="60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Exhibit 99.2</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Avita Medical Limited (the “Company”) published to the Australian Securities Exchange a new issue announcement on Appendix 3B on December 3, 2019, and a change of director’s interest notice on Appendix 3Y on December 5, 2019 (the “Public Notices”). A copy of each Public Notice is attached as an exhibit to this report on Form 6-K.</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report on Form 6-K (including the exhibits hereto) shall not be deemed to be “filed” for purposes of the Securities Exchange Act of 1934, as amended (the “Exchange Act”) and shall not be incorporated by reference into any filing under the Securities Act of 1933, as amended, except as shall be expressly set forth by specific reference in such filing.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Perry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5,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172085</wp:posOffset>
            </wp:positionV>
            <wp:extent cx="6405880" cy="1012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05880"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3 December 2019</w:t>
      </w:r>
    </w:p>
    <w:p>
      <w:pPr>
        <w:spacing w:after="0" w:line="25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Registered Office: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Avita Medical Limited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c/o Mertons Corporate Services Pty Ltd</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Level 7</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330 Collins Street</w:t>
      </w:r>
    </w:p>
    <w:p>
      <w:pPr>
        <w:spacing w:after="0" w:line="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Melbourne VIC 3000, Australia</w:t>
      </w:r>
    </w:p>
    <w:p>
      <w:pPr>
        <w:spacing w:after="0" w:line="23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ABN 28 058 466 523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ASX Market Announcements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Australian Securities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Bridge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Sydney NSW 2000</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the 2019 Annual General Meeting, dated 26 November, 2019, shareholders approved the allotment of various restricted stock units to the Company’s Chief Executive Officer, Dr. Michael Perry (see the Notice of Meeting distributed to shareholders on 25 October 2019, together with the Results of Annual General Meeting dated 26 November 2019). Pursuant to the aforementioned shareholder approval, please find attached ASX Appendix 3B allotting the relevant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Authorized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McIntyre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AVITA MEDICAL LTD</w:t>
      </w:r>
    </w:p>
    <w:p>
      <w:pPr>
        <w:sectPr>
          <w:pgSz w:w="11900" w:h="16838" w:orient="portrait"/>
          <w:cols w:equalWidth="0" w:num="1">
            <w:col w:w="11020"/>
          </w:cols>
          <w:pgMar w:left="440" w:top="121" w:right="439" w:bottom="1440" w:gutter="0" w:footer="0" w:header="0"/>
        </w:sectPr>
      </w:pPr>
    </w:p>
    <w:bookmarkStart w:id="4" w:name="page5"/>
    <w:bookmarkEnd w:id="4"/>
    <w:p>
      <w:pPr>
        <w:ind w:left="880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2.7, 3.10.3, 3.10.4, 3.10.5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issue announcement,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application for quotation of additional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agreement</w:t>
      </w:r>
    </w:p>
    <w:p>
      <w:pPr>
        <w:spacing w:after="0" w:line="2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Introduced 01/07/96 Origin: Appendix 5 Amended 01/07/98, 01/09/99, 01/07/00, 30/09/01, 11/03/02, 01/01/03, 24/10/05, 01/08/12, 04/03/13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Name of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Avita Medical Ltd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ABN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28 058 466 523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(the entity) give ASX the following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All issues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must complete the relevant sections (attach sheets if there is not enough space).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5340" w:type="dxa"/>
            <w:vAlign w:val="bottom"/>
          </w:tcPr>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Class of</w:t>
            </w:r>
            <w:r>
              <w:rPr>
                <w:rFonts w:ascii="Arial" w:cs="Arial" w:eastAsia="Arial" w:hAnsi="Arial"/>
                <w:sz w:val="15"/>
                <w:szCs w:val="15"/>
                <w:color w:val="auto"/>
              </w:rPr>
              <w:t xml:space="preserve"> +</w:t>
            </w:r>
            <w:r>
              <w:rPr>
                <w:rFonts w:ascii="Arial" w:cs="Arial" w:eastAsia="Arial" w:hAnsi="Arial"/>
                <w:sz w:val="18"/>
                <w:szCs w:val="18"/>
                <w:color w:val="auto"/>
              </w:rPr>
              <w:t>securities issued or to be issued</w:t>
            </w:r>
          </w:p>
        </w:tc>
        <w:tc>
          <w:tcPr>
            <w:tcW w:w="4300" w:type="dxa"/>
            <w:vAlign w:val="bottom"/>
          </w:tcPr>
          <w:p>
            <w:pPr>
              <w:ind w:left="180"/>
              <w:spacing w:after="0"/>
              <w:rPr>
                <w:sz w:val="20"/>
                <w:szCs w:val="20"/>
                <w:color w:val="auto"/>
              </w:rPr>
            </w:pPr>
            <w:r>
              <w:rPr>
                <w:rFonts w:ascii="Arial" w:cs="Arial" w:eastAsia="Arial" w:hAnsi="Arial"/>
                <w:sz w:val="18"/>
                <w:szCs w:val="18"/>
                <w:color w:val="auto"/>
              </w:rPr>
              <w:t>a)   Fully Paid Ordinary Shares</w:t>
            </w:r>
          </w:p>
        </w:tc>
      </w:tr>
      <w:tr>
        <w:trPr>
          <w:trHeight w:val="230"/>
        </w:trPr>
        <w:tc>
          <w:tcPr>
            <w:tcW w:w="2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b)  Unlisted Restricted Security Options</w:t>
            </w:r>
          </w:p>
        </w:tc>
      </w:tr>
      <w:tr>
        <w:trPr>
          <w:trHeight w:val="32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5340" w:type="dxa"/>
            <w:vAlign w:val="bottom"/>
          </w:tcPr>
          <w:p>
            <w:pPr>
              <w:ind w:left="120"/>
              <w:spacing w:after="0"/>
              <w:rPr>
                <w:sz w:val="20"/>
                <w:szCs w:val="20"/>
                <w:color w:val="auto"/>
              </w:rPr>
            </w:pPr>
            <w:r>
              <w:rPr>
                <w:rFonts w:ascii="Arial" w:cs="Arial" w:eastAsia="Arial" w:hAnsi="Arial"/>
                <w:sz w:val="18"/>
                <w:szCs w:val="18"/>
                <w:color w:val="auto"/>
                <w:w w:val="96"/>
              </w:rPr>
              <w:t xml:space="preserve">Number of </w:t>
            </w:r>
            <w:r>
              <w:rPr>
                <w:rFonts w:ascii="Arial" w:cs="Arial" w:eastAsia="Arial" w:hAnsi="Arial"/>
                <w:sz w:val="15"/>
                <w:szCs w:val="15"/>
                <w:color w:val="auto"/>
                <w:w w:val="96"/>
              </w:rPr>
              <w:t>+</w:t>
            </w:r>
            <w:r>
              <w:rPr>
                <w:rFonts w:ascii="Arial" w:cs="Arial" w:eastAsia="Arial" w:hAnsi="Arial"/>
                <w:sz w:val="18"/>
                <w:szCs w:val="18"/>
                <w:color w:val="auto"/>
                <w:w w:val="96"/>
              </w:rPr>
              <w:t>securities issued or to be issued (if known) or maximum</w:t>
            </w:r>
          </w:p>
        </w:tc>
        <w:tc>
          <w:tcPr>
            <w:tcW w:w="4300" w:type="dxa"/>
            <w:vAlign w:val="bottom"/>
          </w:tcPr>
          <w:p>
            <w:pPr>
              <w:ind w:left="180"/>
              <w:spacing w:after="0"/>
              <w:rPr>
                <w:sz w:val="20"/>
                <w:szCs w:val="20"/>
                <w:color w:val="auto"/>
              </w:rPr>
            </w:pPr>
            <w:r>
              <w:rPr>
                <w:rFonts w:ascii="Arial" w:cs="Arial" w:eastAsia="Arial" w:hAnsi="Arial"/>
                <w:sz w:val="18"/>
                <w:szCs w:val="18"/>
                <w:color w:val="auto"/>
              </w:rPr>
              <w:t>a)   12,500 Fully Paid Ordinary Shares</w:t>
            </w:r>
          </w:p>
        </w:tc>
      </w:tr>
      <w:tr>
        <w:trPr>
          <w:trHeight w:val="230"/>
        </w:trPr>
        <w:tc>
          <w:tcPr>
            <w:tcW w:w="220" w:type="dxa"/>
            <w:vAlign w:val="bottom"/>
          </w:tcPr>
          <w:p>
            <w:pPr>
              <w:spacing w:after="0"/>
              <w:rPr>
                <w:sz w:val="20"/>
                <w:szCs w:val="20"/>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number which may be issued</w:t>
            </w:r>
          </w:p>
        </w:tc>
        <w:tc>
          <w:tcPr>
            <w:tcW w:w="4300" w:type="dxa"/>
            <w:vAlign w:val="bottom"/>
          </w:tcPr>
          <w:p>
            <w:pPr>
              <w:ind w:left="180"/>
              <w:spacing w:after="0"/>
              <w:rPr>
                <w:sz w:val="20"/>
                <w:szCs w:val="20"/>
                <w:color w:val="auto"/>
              </w:rPr>
            </w:pPr>
            <w:r>
              <w:rPr>
                <w:rFonts w:ascii="Arial" w:cs="Arial" w:eastAsia="Arial" w:hAnsi="Arial"/>
                <w:sz w:val="18"/>
                <w:szCs w:val="18"/>
                <w:color w:val="auto"/>
              </w:rPr>
              <w:t>b)  39,554,252 Unlisted Restricted Security Options</w:t>
            </w:r>
          </w:p>
        </w:tc>
      </w:tr>
      <w:tr>
        <w:trPr>
          <w:trHeight w:val="323"/>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5340" w:type="dxa"/>
            <w:vAlign w:val="bottom"/>
          </w:tcPr>
          <w:p>
            <w:pPr>
              <w:ind w:left="120"/>
              <w:spacing w:after="0"/>
              <w:rPr>
                <w:sz w:val="20"/>
                <w:szCs w:val="20"/>
                <w:color w:val="auto"/>
              </w:rPr>
            </w:pPr>
            <w:r>
              <w:rPr>
                <w:rFonts w:ascii="Arial" w:cs="Arial" w:eastAsia="Arial" w:hAnsi="Arial"/>
                <w:sz w:val="18"/>
                <w:szCs w:val="18"/>
                <w:color w:val="auto"/>
                <w:w w:val="97"/>
              </w:rPr>
              <w:t xml:space="preserve">Principal terms of the </w:t>
            </w:r>
            <w:r>
              <w:rPr>
                <w:rFonts w:ascii="Arial" w:cs="Arial" w:eastAsia="Arial" w:hAnsi="Arial"/>
                <w:sz w:val="15"/>
                <w:szCs w:val="15"/>
                <w:color w:val="auto"/>
                <w:w w:val="97"/>
              </w:rPr>
              <w:t>+</w:t>
            </w:r>
            <w:r>
              <w:rPr>
                <w:rFonts w:ascii="Arial" w:cs="Arial" w:eastAsia="Arial" w:hAnsi="Arial"/>
                <w:sz w:val="18"/>
                <w:szCs w:val="18"/>
                <w:color w:val="auto"/>
                <w:w w:val="97"/>
              </w:rPr>
              <w:t>securities (e.g. if options, exercise price and</w:t>
            </w:r>
          </w:p>
        </w:tc>
        <w:tc>
          <w:tcPr>
            <w:tcW w:w="4300" w:type="dxa"/>
            <w:vAlign w:val="bottom"/>
          </w:tcPr>
          <w:p>
            <w:pPr>
              <w:ind w:left="180"/>
              <w:spacing w:after="0"/>
              <w:rPr>
                <w:sz w:val="20"/>
                <w:szCs w:val="20"/>
                <w:color w:val="auto"/>
              </w:rPr>
            </w:pPr>
            <w:r>
              <w:rPr>
                <w:rFonts w:ascii="Arial" w:cs="Arial" w:eastAsia="Arial" w:hAnsi="Arial"/>
                <w:sz w:val="18"/>
                <w:szCs w:val="18"/>
                <w:color w:val="auto"/>
                <w:w w:val="91"/>
              </w:rPr>
              <w:t>a)   Same as existing quoted Fully Paid Ordinary Shares</w:t>
            </w:r>
          </w:p>
        </w:tc>
      </w:tr>
      <w:tr>
        <w:trPr>
          <w:trHeight w:val="216"/>
        </w:trPr>
        <w:tc>
          <w:tcPr>
            <w:tcW w:w="2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w w:val="93"/>
              </w:rPr>
              <w:t xml:space="preserve">expiry date; if partly paid </w:t>
            </w:r>
            <w:r>
              <w:rPr>
                <w:rFonts w:ascii="Arial" w:cs="Arial" w:eastAsia="Arial" w:hAnsi="Arial"/>
                <w:sz w:val="15"/>
                <w:szCs w:val="15"/>
                <w:color w:val="auto"/>
                <w:w w:val="93"/>
              </w:rPr>
              <w:t>+</w:t>
            </w:r>
            <w:r>
              <w:rPr>
                <w:rFonts w:ascii="Arial" w:cs="Arial" w:eastAsia="Arial" w:hAnsi="Arial"/>
                <w:sz w:val="18"/>
                <w:szCs w:val="18"/>
                <w:color w:val="auto"/>
                <w:w w:val="93"/>
              </w:rPr>
              <w:t>securities, the amount outstanding and due</w:t>
            </w:r>
          </w:p>
        </w:tc>
        <w:tc>
          <w:tcPr>
            <w:tcW w:w="4300" w:type="dxa"/>
            <w:vAlign w:val="bottom"/>
          </w:tcPr>
          <w:p>
            <w:pPr>
              <w:ind w:left="180"/>
              <w:spacing w:after="0"/>
              <w:rPr>
                <w:sz w:val="20"/>
                <w:szCs w:val="20"/>
                <w:color w:val="auto"/>
              </w:rPr>
            </w:pPr>
            <w:r>
              <w:rPr>
                <w:rFonts w:ascii="Arial" w:cs="Arial" w:eastAsia="Arial" w:hAnsi="Arial"/>
                <w:sz w:val="18"/>
                <w:szCs w:val="18"/>
                <w:color w:val="auto"/>
              </w:rPr>
              <w:t>b)  Refer attached Annexure 2</w:t>
            </w:r>
          </w:p>
        </w:tc>
      </w:tr>
      <w:tr>
        <w:trPr>
          <w:trHeight w:val="216"/>
        </w:trPr>
        <w:tc>
          <w:tcPr>
            <w:tcW w:w="2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w w:val="94"/>
              </w:rPr>
              <w:t xml:space="preserve">dates for payment; if </w:t>
            </w:r>
            <w:r>
              <w:rPr>
                <w:rFonts w:ascii="Arial" w:cs="Arial" w:eastAsia="Arial" w:hAnsi="Arial"/>
                <w:sz w:val="15"/>
                <w:szCs w:val="15"/>
                <w:color w:val="auto"/>
                <w:w w:val="94"/>
              </w:rPr>
              <w:t>+</w:t>
            </w:r>
            <w:r>
              <w:rPr>
                <w:rFonts w:ascii="Arial" w:cs="Arial" w:eastAsia="Arial" w:hAnsi="Arial"/>
                <w:sz w:val="18"/>
                <w:szCs w:val="18"/>
                <w:color w:val="auto"/>
                <w:w w:val="94"/>
              </w:rPr>
              <w:t>convertible securities, the conversion price and</w:t>
            </w:r>
          </w:p>
        </w:tc>
        <w:tc>
          <w:tcPr>
            <w:tcW w:w="4300" w:type="dxa"/>
            <w:vAlign w:val="bottom"/>
          </w:tcPr>
          <w:p>
            <w:pPr>
              <w:spacing w:after="0"/>
              <w:rPr>
                <w:sz w:val="18"/>
                <w:szCs w:val="18"/>
                <w:color w:val="auto"/>
              </w:rPr>
            </w:pPr>
          </w:p>
        </w:tc>
      </w:tr>
      <w:tr>
        <w:trPr>
          <w:trHeight w:val="230"/>
        </w:trPr>
        <w:tc>
          <w:tcPr>
            <w:tcW w:w="220" w:type="dxa"/>
            <w:vAlign w:val="bottom"/>
          </w:tcPr>
          <w:p>
            <w:pPr>
              <w:spacing w:after="0"/>
              <w:rPr>
                <w:sz w:val="20"/>
                <w:szCs w:val="20"/>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dates for conversion)</w:t>
            </w:r>
          </w:p>
        </w:tc>
        <w:tc>
          <w:tcPr>
            <w:tcW w:w="4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158" w:lineRule="exact"/>
        <w:rPr>
          <w:sz w:val="20"/>
          <w:szCs w:val="20"/>
          <w:color w:val="auto"/>
        </w:rPr>
      </w:pPr>
    </w:p>
    <w:p>
      <w:pPr>
        <w:spacing w:after="0"/>
        <w:tabs>
          <w:tab w:leader="none" w:pos="9500" w:val="left"/>
        </w:tabs>
        <w:rPr>
          <w:sz w:val="20"/>
          <w:szCs w:val="20"/>
          <w:color w:val="auto"/>
        </w:rPr>
      </w:pPr>
      <w:r>
        <w:rPr>
          <w:rFonts w:ascii="Arial" w:cs="Arial" w:eastAsia="Arial" w:hAnsi="Arial"/>
          <w:sz w:val="16"/>
          <w:szCs w:val="16"/>
          <w:color w:val="auto"/>
        </w:rPr>
        <w:t>04/03/2013</w:t>
      </w:r>
      <w:r>
        <w:rPr>
          <w:sz w:val="20"/>
          <w:szCs w:val="20"/>
          <w:color w:val="auto"/>
        </w:rPr>
        <w:tab/>
      </w:r>
      <w:r>
        <w:rPr>
          <w:rFonts w:ascii="Arial" w:cs="Arial" w:eastAsia="Arial" w:hAnsi="Arial"/>
          <w:sz w:val="16"/>
          <w:szCs w:val="16"/>
          <w:color w:val="auto"/>
        </w:rPr>
        <w:t>Appendix 3B Page 1</w:t>
      </w:r>
    </w:p>
    <w:p>
      <w:pPr>
        <w:sectPr>
          <w:pgSz w:w="11900" w:h="16838" w:orient="portrait"/>
          <w:cols w:equalWidth="0" w:num="1">
            <w:col w:w="11020"/>
          </w:cols>
          <w:pgMar w:left="440" w:top="274" w:right="439" w:bottom="1440" w:gutter="0" w:footer="0" w:header="0"/>
        </w:sectPr>
      </w:pPr>
    </w:p>
    <w:bookmarkStart w:id="5" w:name="page6"/>
    <w:bookmarkEnd w:id="5"/>
    <w:p>
      <w:pPr>
        <w:spacing w:after="0" w:line="288" w:lineRule="auto"/>
        <w:tabs>
          <w:tab w:leader="none" w:pos="9500" w:val="left"/>
        </w:tabs>
        <w:framePr w:w="940" w:h="498" w:wrap="auto" w:vAnchor="page" w:hAnchor="page" w:x="6140" w:y="2802"/>
        <w:rPr>
          <w:rFonts w:ascii="Arial" w:cs="Arial" w:eastAsia="Arial" w:hAnsi="Arial"/>
          <w:sz w:val="18"/>
          <w:szCs w:val="18"/>
          <w:color w:val="auto"/>
        </w:rPr>
      </w:pPr>
      <w:r>
        <w:rPr>
          <w:rFonts w:ascii="Arial" w:cs="Arial" w:eastAsia="Arial" w:hAnsi="Arial"/>
          <w:sz w:val="18"/>
          <w:szCs w:val="18"/>
          <w:color w:val="auto"/>
        </w:rPr>
        <w:t>a) $0.089 b) Nil</w:t>
      </w:r>
    </w:p>
    <w:p>
      <w:pPr>
        <w:spacing w:after="0" w:line="218" w:lineRule="auto"/>
        <w:tabs>
          <w:tab w:leader="none" w:pos="9500" w:val="left"/>
        </w:tabs>
        <w:framePr w:w="5000" w:h="376" w:wrap="auto" w:vAnchor="page" w:hAnchor="page" w:x="6140" w:y="3477"/>
        <w:rPr>
          <w:rFonts w:ascii="Arial" w:cs="Arial" w:eastAsia="Arial" w:hAnsi="Arial"/>
          <w:sz w:val="18"/>
          <w:szCs w:val="18"/>
          <w:color w:val="auto"/>
        </w:rPr>
      </w:pPr>
      <w:r>
        <w:rPr>
          <w:rFonts w:ascii="Arial" w:cs="Arial" w:eastAsia="Arial" w:hAnsi="Arial"/>
          <w:sz w:val="18"/>
          <w:szCs w:val="18"/>
          <w:color w:val="auto"/>
        </w:rPr>
        <w:t>a) Exercising as part of conversion of Unlisted Options granted to Employees</w:t>
      </w:r>
    </w:p>
    <w:p>
      <w:pPr>
        <w:spacing w:after="0" w:line="209" w:lineRule="auto"/>
        <w:tabs>
          <w:tab w:leader="none" w:pos="9500" w:val="left"/>
        </w:tabs>
        <w:framePr w:w="3940" w:h="160" w:wrap="auto" w:vAnchor="page" w:hAnchor="page" w:x="6140" w:y="4031"/>
        <w:rPr>
          <w:rFonts w:ascii="Arial" w:cs="Arial" w:eastAsia="Arial" w:hAnsi="Arial"/>
          <w:sz w:val="16"/>
          <w:szCs w:val="16"/>
          <w:color w:val="auto"/>
        </w:rPr>
      </w:pPr>
      <w:r>
        <w:rPr>
          <w:rFonts w:ascii="Arial" w:cs="Arial" w:eastAsia="Arial" w:hAnsi="Arial"/>
          <w:sz w:val="16"/>
          <w:szCs w:val="16"/>
          <w:color w:val="auto"/>
        </w:rPr>
        <w:t>b)  Issued as part of CEO Long Term Incentive Plan</w:t>
      </w:r>
    </w:p>
    <w:p>
      <w:pPr>
        <w:spacing w:after="0" w:line="218" w:lineRule="auto"/>
        <w:tabs>
          <w:tab w:leader="none" w:pos="9500" w:val="left"/>
        </w:tabs>
        <w:framePr w:w="5060" w:h="376" w:wrap="auto" w:vAnchor="page" w:hAnchor="page" w:x="6140" w:y="628"/>
        <w:rPr>
          <w:rFonts w:ascii="Arial" w:cs="Arial" w:eastAsia="Arial" w:hAnsi="Arial"/>
          <w:sz w:val="18"/>
          <w:szCs w:val="18"/>
          <w:color w:val="auto"/>
        </w:rPr>
      </w:pPr>
      <w:r>
        <w:rPr>
          <w:rFonts w:ascii="Arial" w:cs="Arial" w:eastAsia="Arial" w:hAnsi="Arial"/>
          <w:sz w:val="18"/>
          <w:szCs w:val="18"/>
          <w:color w:val="auto"/>
        </w:rPr>
        <w:t>b) Only once security units vest and vesting conditions and hurdles have been satisfied</w:t>
      </w:r>
    </w:p>
    <w:p>
      <w:pPr>
        <w:ind w:left="340" w:right="3659" w:hanging="359"/>
        <w:spacing w:after="0" w:line="193" w:lineRule="auto"/>
        <w:tabs>
          <w:tab w:leader="none" w:pos="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tab/>
        <w:t xml:space="preserve">Do the </w:t>
      </w:r>
      <w:r>
        <w:rPr>
          <w:rFonts w:ascii="Arial" w:cs="Arial" w:eastAsia="Arial" w:hAnsi="Arial"/>
          <w:sz w:val="15"/>
          <w:szCs w:val="15"/>
          <w:color w:val="auto"/>
        </w:rPr>
        <w:t>+</w:t>
      </w:r>
      <w:r>
        <w:rPr>
          <w:rFonts w:ascii="Arial" w:cs="Arial" w:eastAsia="Arial" w:hAnsi="Arial"/>
          <w:sz w:val="18"/>
          <w:szCs w:val="18"/>
          <w:color w:val="auto"/>
        </w:rPr>
        <w:t xml:space="preserve">securities rank equally in all respects from the </w:t>
      </w:r>
      <w:r>
        <w:rPr>
          <w:rFonts w:ascii="Arial" w:cs="Arial" w:eastAsia="Arial" w:hAnsi="Arial"/>
          <w:sz w:val="15"/>
          <w:szCs w:val="15"/>
          <w:color w:val="auto"/>
        </w:rPr>
        <w:t>+</w:t>
      </w:r>
      <w:r>
        <w:rPr>
          <w:rFonts w:ascii="Arial" w:cs="Arial" w:eastAsia="Arial" w:hAnsi="Arial"/>
          <w:sz w:val="18"/>
          <w:szCs w:val="18"/>
          <w:color w:val="auto"/>
        </w:rPr>
        <w:t xml:space="preserve">issue date with a) Yes an existing </w:t>
      </w:r>
      <w:r>
        <w:rPr>
          <w:rFonts w:ascii="Arial" w:cs="Arial" w:eastAsia="Arial" w:hAnsi="Arial"/>
          <w:sz w:val="15"/>
          <w:szCs w:val="15"/>
          <w:color w:val="auto"/>
        </w:rPr>
        <w:t>+</w:t>
      </w:r>
      <w:r>
        <w:rPr>
          <w:rFonts w:ascii="Arial" w:cs="Arial" w:eastAsia="Arial" w:hAnsi="Arial"/>
          <w:sz w:val="18"/>
          <w:szCs w:val="18"/>
          <w:color w:val="auto"/>
        </w:rPr>
        <w:t xml:space="preserve">class of quoted </w:t>
      </w:r>
      <w:r>
        <w:rPr>
          <w:rFonts w:ascii="Arial" w:cs="Arial" w:eastAsia="Arial" w:hAnsi="Arial"/>
          <w:sz w:val="15"/>
          <w:szCs w:val="15"/>
          <w:color w:val="auto"/>
        </w:rPr>
        <w:t>+</w:t>
      </w:r>
      <w:r>
        <w:rPr>
          <w:rFonts w:ascii="Arial" w:cs="Arial" w:eastAsia="Arial" w:hAnsi="Arial"/>
          <w:sz w:val="18"/>
          <w:szCs w:val="18"/>
          <w:color w:val="auto"/>
        </w:rPr>
        <w:t>securities?</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 xml:space="preserve">If the additional </w:t>
      </w:r>
      <w:r>
        <w:rPr>
          <w:rFonts w:ascii="Arial" w:cs="Arial" w:eastAsia="Arial" w:hAnsi="Arial"/>
          <w:sz w:val="15"/>
          <w:szCs w:val="15"/>
          <w:color w:val="auto"/>
        </w:rPr>
        <w:t>+</w:t>
      </w:r>
      <w:r>
        <w:rPr>
          <w:rFonts w:ascii="Arial" w:cs="Arial" w:eastAsia="Arial" w:hAnsi="Arial"/>
          <w:sz w:val="18"/>
          <w:szCs w:val="18"/>
          <w:color w:val="auto"/>
        </w:rPr>
        <w:t>securities do not rank equally, please state:</w:t>
      </w:r>
    </w:p>
    <w:p>
      <w:pPr>
        <w:spacing w:after="0" w:line="117" w:lineRule="exact"/>
        <w:rPr>
          <w:rFonts w:ascii="Arial" w:cs="Arial" w:eastAsia="Arial" w:hAnsi="Arial"/>
          <w:sz w:val="18"/>
          <w:szCs w:val="18"/>
          <w:color w:val="auto"/>
        </w:rPr>
      </w:pPr>
    </w:p>
    <w:p>
      <w:pPr>
        <w:ind w:left="700" w:hanging="336"/>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date from which they do</w:t>
      </w:r>
    </w:p>
    <w:p>
      <w:pPr>
        <w:spacing w:after="0" w:line="117" w:lineRule="exact"/>
        <w:rPr>
          <w:rFonts w:ascii="Arial" w:cs="Arial" w:eastAsia="Arial" w:hAnsi="Arial"/>
          <w:sz w:val="18"/>
          <w:szCs w:val="18"/>
          <w:color w:val="auto"/>
        </w:rPr>
      </w:pPr>
    </w:p>
    <w:p>
      <w:pPr>
        <w:ind w:left="720" w:right="4679" w:hanging="356"/>
        <w:spacing w:after="0" w:line="277" w:lineRule="auto"/>
        <w:tabs>
          <w:tab w:leader="none" w:pos="70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extent to which they participate for the next dividend, (in the case of a trust, distribution) or interest payment</w:t>
      </w:r>
    </w:p>
    <w:p>
      <w:pPr>
        <w:spacing w:after="0" w:line="62" w:lineRule="exact"/>
        <w:rPr>
          <w:rFonts w:ascii="Arial" w:cs="Arial" w:eastAsia="Arial" w:hAnsi="Arial"/>
          <w:sz w:val="18"/>
          <w:szCs w:val="18"/>
          <w:color w:val="auto"/>
        </w:rPr>
      </w:pPr>
    </w:p>
    <w:p>
      <w:pPr>
        <w:ind w:left="720" w:right="4559" w:hanging="356"/>
        <w:spacing w:after="0" w:line="308" w:lineRule="auto"/>
        <w:tabs>
          <w:tab w:leader="none" w:pos="70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extent to which they do not rank equally, other than in relation to the next dividend, distribution or interest payment</w:t>
      </w:r>
    </w:p>
    <w:p>
      <w:pPr>
        <w:spacing w:after="0" w:line="38" w:lineRule="exact"/>
        <w:rPr>
          <w:rFonts w:ascii="Arial" w:cs="Arial" w:eastAsia="Arial" w:hAnsi="Arial"/>
          <w:sz w:val="18"/>
          <w:szCs w:val="18"/>
          <w:color w:val="auto"/>
        </w:rPr>
      </w:pPr>
    </w:p>
    <w:p>
      <w:pPr>
        <w:spacing w:after="0"/>
        <w:tabs>
          <w:tab w:leader="none" w:pos="320" w:val="left"/>
        </w:tabs>
        <w:rPr>
          <w:sz w:val="20"/>
          <w:szCs w:val="20"/>
          <w:color w:val="auto"/>
        </w:rPr>
      </w:pPr>
      <w:r>
        <w:rPr>
          <w:rFonts w:ascii="Arial" w:cs="Arial" w:eastAsia="Arial" w:hAnsi="Arial"/>
          <w:sz w:val="18"/>
          <w:szCs w:val="18"/>
          <w:color w:val="auto"/>
        </w:rPr>
        <w:t>5</w:t>
        <w:tab/>
        <w:t>Issue price or consideration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60" w:right="4759" w:hanging="356"/>
        <w:spacing w:after="0" w:line="277" w:lineRule="auto"/>
        <w:tabs>
          <w:tab w:leader="none" w:pos="342"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Purpose of the issue (If issued as consideration for the acquisition of assets, clearly identify those assets)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6a</w:t>
            </w:r>
          </w:p>
        </w:tc>
        <w:tc>
          <w:tcPr>
            <w:tcW w:w="5420" w:type="dxa"/>
            <w:vAlign w:val="bottom"/>
          </w:tcPr>
          <w:p>
            <w:pPr>
              <w:ind w:left="100"/>
              <w:spacing w:after="0"/>
              <w:rPr>
                <w:sz w:val="20"/>
                <w:szCs w:val="20"/>
                <w:color w:val="auto"/>
              </w:rPr>
            </w:pPr>
            <w:r>
              <w:rPr>
                <w:rFonts w:ascii="Arial" w:cs="Arial" w:eastAsia="Arial" w:hAnsi="Arial"/>
                <w:sz w:val="18"/>
                <w:szCs w:val="18"/>
                <w:color w:val="auto"/>
                <w:w w:val="92"/>
              </w:rPr>
              <w:t xml:space="preserve">Is the entity an </w:t>
            </w:r>
            <w:r>
              <w:rPr>
                <w:rFonts w:ascii="Arial" w:cs="Arial" w:eastAsia="Arial" w:hAnsi="Arial"/>
                <w:sz w:val="15"/>
                <w:szCs w:val="15"/>
                <w:color w:val="auto"/>
                <w:w w:val="92"/>
              </w:rPr>
              <w:t>+</w:t>
            </w:r>
            <w:r>
              <w:rPr>
                <w:rFonts w:ascii="Arial" w:cs="Arial" w:eastAsia="Arial" w:hAnsi="Arial"/>
                <w:sz w:val="18"/>
                <w:szCs w:val="18"/>
                <w:color w:val="auto"/>
                <w:w w:val="92"/>
              </w:rPr>
              <w:t>eligible entity that has obtained security holder approval</w:t>
            </w:r>
          </w:p>
        </w:tc>
        <w:tc>
          <w:tcPr>
            <w:tcW w:w="340" w:type="dxa"/>
            <w:vAlign w:val="bottom"/>
          </w:tcPr>
          <w:p>
            <w:pPr>
              <w:ind w:left="60"/>
              <w:spacing w:after="0"/>
              <w:rPr>
                <w:sz w:val="20"/>
                <w:szCs w:val="20"/>
                <w:color w:val="auto"/>
              </w:rPr>
            </w:pPr>
            <w:r>
              <w:rPr>
                <w:rFonts w:ascii="Arial" w:cs="Arial" w:eastAsia="Arial" w:hAnsi="Arial"/>
                <w:sz w:val="18"/>
                <w:szCs w:val="18"/>
                <w:color w:val="auto"/>
              </w:rPr>
              <w:t>No</w:t>
            </w:r>
          </w:p>
        </w:tc>
      </w:tr>
      <w:tr>
        <w:trPr>
          <w:trHeight w:val="230"/>
        </w:trPr>
        <w:tc>
          <w:tcPr>
            <w:tcW w:w="26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under rule 7.1A?</w:t>
            </w:r>
          </w:p>
        </w:tc>
        <w:tc>
          <w:tcPr>
            <w:tcW w:w="340" w:type="dxa"/>
            <w:vAlign w:val="bottom"/>
          </w:tcPr>
          <w:p>
            <w:pPr>
              <w:spacing w:after="0"/>
              <w:rPr>
                <w:sz w:val="20"/>
                <w:szCs w:val="20"/>
                <w:color w:val="auto"/>
              </w:rPr>
            </w:pPr>
          </w:p>
        </w:tc>
      </w:tr>
      <w:tr>
        <w:trPr>
          <w:trHeight w:val="310"/>
        </w:trPr>
        <w:tc>
          <w:tcPr>
            <w:tcW w:w="260" w:type="dxa"/>
            <w:vAlign w:val="bottom"/>
          </w:tcPr>
          <w:p>
            <w:pPr>
              <w:spacing w:after="0"/>
              <w:rPr>
                <w:sz w:val="24"/>
                <w:szCs w:val="24"/>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 xml:space="preserve">If Yes, complete sections 6b – 6h </w:t>
            </w:r>
            <w:r>
              <w:rPr>
                <w:rFonts w:ascii="Arial" w:cs="Arial" w:eastAsia="Arial" w:hAnsi="Arial"/>
                <w:sz w:val="18"/>
                <w:szCs w:val="18"/>
                <w:i w:val="1"/>
                <w:iCs w:val="1"/>
                <w:color w:val="auto"/>
              </w:rPr>
              <w:t>in relation to the</w:t>
            </w:r>
            <w:r>
              <w:rPr>
                <w:rFonts w:ascii="Arial" w:cs="Arial" w:eastAsia="Arial" w:hAnsi="Arial"/>
                <w:sz w:val="18"/>
                <w:szCs w:val="18"/>
                <w:color w:val="auto"/>
              </w:rPr>
              <w:t xml:space="preserve"> </w:t>
            </w:r>
            <w:r>
              <w:rPr>
                <w:rFonts w:ascii="Arial" w:cs="Arial" w:eastAsia="Arial" w:hAnsi="Arial"/>
                <w:sz w:val="15"/>
                <w:szCs w:val="15"/>
                <w:i w:val="1"/>
                <w:iCs w:val="1"/>
                <w:color w:val="auto"/>
              </w:rPr>
              <w:t>+</w:t>
            </w:r>
            <w:r>
              <w:rPr>
                <w:rFonts w:ascii="Arial" w:cs="Arial" w:eastAsia="Arial" w:hAnsi="Arial"/>
                <w:sz w:val="18"/>
                <w:szCs w:val="18"/>
                <w:i w:val="1"/>
                <w:iCs w:val="1"/>
                <w:color w:val="auto"/>
              </w:rPr>
              <w:t>securities the</w:t>
            </w:r>
          </w:p>
        </w:tc>
        <w:tc>
          <w:tcPr>
            <w:tcW w:w="340" w:type="dxa"/>
            <w:vAlign w:val="bottom"/>
          </w:tcPr>
          <w:p>
            <w:pPr>
              <w:spacing w:after="0"/>
              <w:rPr>
                <w:sz w:val="24"/>
                <w:szCs w:val="24"/>
                <w:color w:val="auto"/>
              </w:rPr>
            </w:pPr>
          </w:p>
        </w:tc>
      </w:tr>
      <w:tr>
        <w:trPr>
          <w:trHeight w:val="230"/>
        </w:trPr>
        <w:tc>
          <w:tcPr>
            <w:tcW w:w="26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Arial" w:cs="Arial" w:eastAsia="Arial" w:hAnsi="Arial"/>
                <w:sz w:val="18"/>
                <w:szCs w:val="18"/>
                <w:i w:val="1"/>
                <w:iCs w:val="1"/>
                <w:color w:val="auto"/>
              </w:rPr>
              <w:t>subject of this Appendix 3B</w:t>
            </w:r>
            <w:r>
              <w:rPr>
                <w:rFonts w:ascii="Arial" w:cs="Arial" w:eastAsia="Arial" w:hAnsi="Arial"/>
                <w:sz w:val="18"/>
                <w:szCs w:val="18"/>
                <w:color w:val="auto"/>
              </w:rPr>
              <w:t>, and comply with section 6i</w:t>
            </w:r>
          </w:p>
        </w:tc>
        <w:tc>
          <w:tcPr>
            <w:tcW w:w="340" w:type="dxa"/>
            <w:vAlign w:val="bottom"/>
          </w:tcPr>
          <w:p>
            <w:pPr>
              <w:spacing w:after="0"/>
              <w:rPr>
                <w:sz w:val="20"/>
                <w:szCs w:val="20"/>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6b</w:t>
            </w:r>
          </w:p>
        </w:tc>
        <w:tc>
          <w:tcPr>
            <w:tcW w:w="5420" w:type="dxa"/>
            <w:vAlign w:val="bottom"/>
          </w:tcPr>
          <w:p>
            <w:pPr>
              <w:ind w:left="80"/>
              <w:spacing w:after="0"/>
              <w:rPr>
                <w:sz w:val="20"/>
                <w:szCs w:val="20"/>
                <w:color w:val="auto"/>
              </w:rPr>
            </w:pPr>
            <w:r>
              <w:rPr>
                <w:rFonts w:ascii="Arial" w:cs="Arial" w:eastAsia="Arial" w:hAnsi="Arial"/>
                <w:sz w:val="18"/>
                <w:szCs w:val="18"/>
                <w:color w:val="auto"/>
                <w:w w:val="99"/>
              </w:rPr>
              <w:t>The date the security holder resolution under rule 7.1A was passed</w:t>
            </w:r>
          </w:p>
        </w:tc>
        <w:tc>
          <w:tcPr>
            <w:tcW w:w="340" w:type="dxa"/>
            <w:vAlign w:val="bottom"/>
          </w:tcPr>
          <w:p>
            <w:pPr>
              <w:ind w:left="60"/>
              <w:spacing w:after="0"/>
              <w:rPr>
                <w:sz w:val="20"/>
                <w:szCs w:val="20"/>
                <w:color w:val="auto"/>
              </w:rPr>
            </w:pPr>
            <w:r>
              <w:rPr>
                <w:rFonts w:ascii="Arial" w:cs="Arial" w:eastAsia="Arial" w:hAnsi="Arial"/>
                <w:sz w:val="18"/>
                <w:szCs w:val="18"/>
                <w:color w:val="auto"/>
              </w:rPr>
              <w:t>NA</w:t>
            </w: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rPr>
              <w:t>6c</w:t>
            </w:r>
          </w:p>
        </w:tc>
        <w:tc>
          <w:tcPr>
            <w:tcW w:w="5420" w:type="dxa"/>
            <w:vAlign w:val="bottom"/>
          </w:tcPr>
          <w:p>
            <w:pPr>
              <w:ind w:left="100"/>
              <w:spacing w:after="0"/>
              <w:rPr>
                <w:sz w:val="20"/>
                <w:szCs w:val="20"/>
                <w:color w:val="auto"/>
              </w:rPr>
            </w:pPr>
            <w:r>
              <w:rPr>
                <w:rFonts w:ascii="Arial" w:cs="Arial" w:eastAsia="Arial" w:hAnsi="Arial"/>
                <w:sz w:val="18"/>
                <w:szCs w:val="18"/>
                <w:color w:val="auto"/>
                <w:w w:val="92"/>
              </w:rPr>
              <w:t xml:space="preserve">Number of </w:t>
            </w:r>
            <w:r>
              <w:rPr>
                <w:rFonts w:ascii="Arial" w:cs="Arial" w:eastAsia="Arial" w:hAnsi="Arial"/>
                <w:sz w:val="15"/>
                <w:szCs w:val="15"/>
                <w:color w:val="auto"/>
                <w:w w:val="92"/>
              </w:rPr>
              <w:t>+</w:t>
            </w:r>
            <w:r>
              <w:rPr>
                <w:rFonts w:ascii="Arial" w:cs="Arial" w:eastAsia="Arial" w:hAnsi="Arial"/>
                <w:sz w:val="18"/>
                <w:szCs w:val="18"/>
                <w:color w:val="auto"/>
                <w:w w:val="92"/>
              </w:rPr>
              <w:t>securities issued without security holder approval under rule</w:t>
            </w:r>
          </w:p>
        </w:tc>
        <w:tc>
          <w:tcPr>
            <w:tcW w:w="340" w:type="dxa"/>
            <w:vAlign w:val="bottom"/>
          </w:tcPr>
          <w:p>
            <w:pPr>
              <w:ind w:left="60"/>
              <w:spacing w:after="0"/>
              <w:rPr>
                <w:sz w:val="20"/>
                <w:szCs w:val="20"/>
                <w:color w:val="auto"/>
              </w:rPr>
            </w:pPr>
            <w:r>
              <w:rPr>
                <w:rFonts w:ascii="Arial" w:cs="Arial" w:eastAsia="Arial" w:hAnsi="Arial"/>
                <w:sz w:val="18"/>
                <w:szCs w:val="18"/>
                <w:color w:val="auto"/>
                <w:w w:val="99"/>
              </w:rPr>
              <w:t>Nil.</w:t>
            </w:r>
          </w:p>
        </w:tc>
      </w:tr>
      <w:tr>
        <w:trPr>
          <w:trHeight w:val="230"/>
        </w:trPr>
        <w:tc>
          <w:tcPr>
            <w:tcW w:w="26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rPr>
              <w:t>6d</w:t>
            </w:r>
          </w:p>
        </w:tc>
        <w:tc>
          <w:tcPr>
            <w:tcW w:w="5420" w:type="dxa"/>
            <w:vAlign w:val="bottom"/>
          </w:tcPr>
          <w:p>
            <w:pPr>
              <w:ind w:left="80"/>
              <w:spacing w:after="0"/>
              <w:rPr>
                <w:sz w:val="20"/>
                <w:szCs w:val="20"/>
                <w:color w:val="auto"/>
              </w:rPr>
            </w:pPr>
            <w:r>
              <w:rPr>
                <w:rFonts w:ascii="Arial" w:cs="Arial" w:eastAsia="Arial" w:hAnsi="Arial"/>
                <w:sz w:val="18"/>
                <w:szCs w:val="18"/>
                <w:color w:val="auto"/>
                <w:w w:val="96"/>
              </w:rPr>
              <w:t xml:space="preserve">Number of </w:t>
            </w:r>
            <w:r>
              <w:rPr>
                <w:rFonts w:ascii="Arial" w:cs="Arial" w:eastAsia="Arial" w:hAnsi="Arial"/>
                <w:sz w:val="15"/>
                <w:szCs w:val="15"/>
                <w:color w:val="auto"/>
                <w:w w:val="96"/>
              </w:rPr>
              <w:t>+</w:t>
            </w:r>
            <w:r>
              <w:rPr>
                <w:rFonts w:ascii="Arial" w:cs="Arial" w:eastAsia="Arial" w:hAnsi="Arial"/>
                <w:sz w:val="18"/>
                <w:szCs w:val="18"/>
                <w:color w:val="auto"/>
                <w:w w:val="96"/>
              </w:rPr>
              <w:t>securities issued with security holder approval under rule</w:t>
            </w:r>
          </w:p>
        </w:tc>
        <w:tc>
          <w:tcPr>
            <w:tcW w:w="340" w:type="dxa"/>
            <w:vAlign w:val="bottom"/>
          </w:tcPr>
          <w:p>
            <w:pPr>
              <w:ind w:left="60"/>
              <w:spacing w:after="0"/>
              <w:rPr>
                <w:sz w:val="20"/>
                <w:szCs w:val="20"/>
                <w:color w:val="auto"/>
              </w:rPr>
            </w:pPr>
            <w:r>
              <w:rPr>
                <w:rFonts w:ascii="Arial" w:cs="Arial" w:eastAsia="Arial" w:hAnsi="Arial"/>
                <w:sz w:val="18"/>
                <w:szCs w:val="18"/>
                <w:color w:val="auto"/>
                <w:w w:val="99"/>
              </w:rPr>
              <w:t>Nil.</w:t>
            </w:r>
          </w:p>
        </w:tc>
      </w:tr>
      <w:tr>
        <w:trPr>
          <w:trHeight w:val="230"/>
        </w:trPr>
        <w:tc>
          <w:tcPr>
            <w:tcW w:w="26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Arial" w:cs="Arial" w:eastAsia="Arial" w:hAnsi="Arial"/>
                <w:sz w:val="18"/>
                <w:szCs w:val="18"/>
                <w:color w:val="auto"/>
              </w:rPr>
              <w:t>7.1A</w:t>
            </w:r>
          </w:p>
        </w:tc>
        <w:tc>
          <w:tcPr>
            <w:tcW w:w="340" w:type="dxa"/>
            <w:vAlign w:val="bottom"/>
          </w:tcPr>
          <w:p>
            <w:pPr>
              <w:spacing w:after="0"/>
              <w:rPr>
                <w:sz w:val="20"/>
                <w:szCs w:val="20"/>
                <w:color w:val="auto"/>
              </w:rPr>
            </w:pPr>
          </w:p>
        </w:tc>
      </w:tr>
    </w:tbl>
    <w:p>
      <w:pPr>
        <w:sectPr>
          <w:pgSz w:w="11900" w:h="16838" w:orient="portrait"/>
          <w:cols w:equalWidth="0" w:num="1">
            <w:col w:w="10019"/>
          </w:cols>
          <w:pgMar w:left="440" w:top="274"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6e</w:t>
      </w:r>
    </w:p>
    <w:p>
      <w:pPr>
        <w:spacing w:after="0" w:line="20" w:lineRule="exact"/>
        <w:rPr>
          <w:sz w:val="20"/>
          <w:szCs w:val="20"/>
          <w:color w:val="auto"/>
        </w:rPr>
      </w:pPr>
      <w:r>
        <w:rPr>
          <w:sz w:val="20"/>
          <w:szCs w:val="20"/>
          <w:color w:val="auto"/>
        </w:rPr>
        <w:br w:type="column"/>
      </w:r>
    </w:p>
    <w:p>
      <w:pPr>
        <w:ind w:hanging="9"/>
        <w:spacing w:after="0" w:line="264" w:lineRule="auto"/>
        <w:rPr>
          <w:sz w:val="20"/>
          <w:szCs w:val="20"/>
          <w:color w:val="auto"/>
        </w:rPr>
      </w:pPr>
      <w:r>
        <w:rPr>
          <w:rFonts w:ascii="Arial" w:cs="Arial" w:eastAsia="Arial" w:hAnsi="Arial"/>
          <w:sz w:val="18"/>
          <w:szCs w:val="18"/>
          <w:color w:val="auto"/>
        </w:rPr>
        <w:t xml:space="preserve">Number of </w:t>
      </w:r>
      <w:r>
        <w:rPr>
          <w:rFonts w:ascii="Arial" w:cs="Arial" w:eastAsia="Arial" w:hAnsi="Arial"/>
          <w:sz w:val="15"/>
          <w:szCs w:val="15"/>
          <w:color w:val="auto"/>
        </w:rPr>
        <w:t>+</w:t>
      </w:r>
      <w:r>
        <w:rPr>
          <w:rFonts w:ascii="Arial" w:cs="Arial" w:eastAsia="Arial" w:hAnsi="Arial"/>
          <w:sz w:val="18"/>
          <w:szCs w:val="18"/>
          <w:color w:val="auto"/>
        </w:rPr>
        <w:t>securities issued with security holder approval under rule 7.3, or another specific security holder approval (specify date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-518160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549" w:lineRule="exact"/>
        <w:rPr>
          <w:sz w:val="20"/>
          <w:szCs w:val="20"/>
          <w:color w:val="auto"/>
        </w:rPr>
      </w:pPr>
    </w:p>
    <w:p>
      <w:pPr>
        <w:sectPr>
          <w:pgSz w:w="11900" w:h="16838" w:orient="portrait"/>
          <w:cols w:equalWidth="0" w:num="3">
            <w:col w:w="180" w:space="180"/>
            <w:col w:w="5020" w:space="360"/>
            <w:col w:w="5280"/>
          </w:cols>
          <w:pgMar w:left="440" w:top="274" w:right="439" w:bottom="1440" w:gutter="0" w:footer="0" w:header="0"/>
        </w:sectPr>
      </w:pPr>
    </w:p>
    <w:p>
      <w:pPr>
        <w:spacing w:after="0"/>
        <w:rPr>
          <w:sz w:val="20"/>
          <w:szCs w:val="20"/>
          <w:color w:val="auto"/>
        </w:rPr>
      </w:pPr>
      <w:r>
        <w:rPr>
          <w:rFonts w:ascii="Arial" w:cs="Arial" w:eastAsia="Arial" w:hAnsi="Arial"/>
          <w:sz w:val="18"/>
          <w:szCs w:val="18"/>
          <w:color w:val="auto"/>
        </w:rPr>
        <w:t>6f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Number of </w:t>
      </w:r>
      <w:r>
        <w:rPr>
          <w:rFonts w:ascii="Arial" w:cs="Arial" w:eastAsia="Arial" w:hAnsi="Arial"/>
          <w:sz w:val="13"/>
          <w:szCs w:val="13"/>
          <w:color w:val="auto"/>
        </w:rPr>
        <w:t>+</w:t>
      </w:r>
      <w:r>
        <w:rPr>
          <w:rFonts w:ascii="Arial" w:cs="Arial" w:eastAsia="Arial" w:hAnsi="Arial"/>
          <w:sz w:val="16"/>
          <w:szCs w:val="16"/>
          <w:color w:val="auto"/>
        </w:rPr>
        <w:t>securities issued under an exception in rule 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12,500 Fully Paid Ordinary Shares</w:t>
      </w:r>
    </w:p>
    <w:p>
      <w:pPr>
        <w:spacing w:after="0" w:line="139" w:lineRule="exact"/>
        <w:rPr>
          <w:sz w:val="20"/>
          <w:szCs w:val="20"/>
          <w:color w:val="auto"/>
        </w:rPr>
      </w:pPr>
    </w:p>
    <w:p>
      <w:pPr>
        <w:sectPr>
          <w:pgSz w:w="11900" w:h="16838" w:orient="portrait"/>
          <w:cols w:equalWidth="0" w:num="3">
            <w:col w:w="160" w:space="180"/>
            <w:col w:w="468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6g</w:t>
      </w:r>
    </w:p>
    <w:p>
      <w:pPr>
        <w:spacing w:after="0" w:line="20" w:lineRule="exact"/>
        <w:rPr>
          <w:sz w:val="20"/>
          <w:szCs w:val="20"/>
          <w:color w:val="auto"/>
        </w:rPr>
      </w:pPr>
      <w:r>
        <w:rPr>
          <w:sz w:val="20"/>
          <w:szCs w:val="20"/>
          <w:color w:val="auto"/>
        </w:rPr>
        <w:br w:type="column"/>
      </w:r>
    </w:p>
    <w:p>
      <w:pPr>
        <w:jc w:val="both"/>
        <w:ind w:hanging="17"/>
        <w:spacing w:after="0" w:line="286" w:lineRule="auto"/>
        <w:rPr>
          <w:sz w:val="20"/>
          <w:szCs w:val="20"/>
          <w:color w:val="auto"/>
        </w:rPr>
      </w:pPr>
      <w:r>
        <w:rPr>
          <w:rFonts w:ascii="Arial" w:cs="Arial" w:eastAsia="Arial" w:hAnsi="Arial"/>
          <w:sz w:val="17"/>
          <w:szCs w:val="17"/>
          <w:color w:val="auto"/>
        </w:rPr>
        <w:t xml:space="preserve">If </w:t>
      </w:r>
      <w:r>
        <w:rPr>
          <w:rFonts w:ascii="Arial" w:cs="Arial" w:eastAsia="Arial" w:hAnsi="Arial"/>
          <w:sz w:val="14"/>
          <w:szCs w:val="14"/>
          <w:color w:val="auto"/>
        </w:rPr>
        <w:t>+</w:t>
      </w:r>
      <w:r>
        <w:rPr>
          <w:rFonts w:ascii="Arial" w:cs="Arial" w:eastAsia="Arial" w:hAnsi="Arial"/>
          <w:sz w:val="17"/>
          <w:szCs w:val="17"/>
          <w:color w:val="auto"/>
        </w:rPr>
        <w:t xml:space="preserve">securities issued under rule 7.1A, was issue price at least 75% of 15 day VWAP as calculated under rule 7.1A.3? Include the </w:t>
      </w:r>
      <w:r>
        <w:rPr>
          <w:rFonts w:ascii="Arial" w:cs="Arial" w:eastAsia="Arial" w:hAnsi="Arial"/>
          <w:sz w:val="14"/>
          <w:szCs w:val="14"/>
          <w:color w:val="auto"/>
        </w:rPr>
        <w:t>+</w:t>
      </w:r>
      <w:r>
        <w:rPr>
          <w:rFonts w:ascii="Arial" w:cs="Arial" w:eastAsia="Arial" w:hAnsi="Arial"/>
          <w:sz w:val="17"/>
          <w:szCs w:val="17"/>
          <w:color w:val="auto"/>
        </w:rPr>
        <w:t>issue date and both values. Include the source of the VWAP calculation.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571" w:lineRule="exact"/>
        <w:rPr>
          <w:sz w:val="20"/>
          <w:szCs w:val="20"/>
          <w:color w:val="auto"/>
        </w:rPr>
      </w:pPr>
    </w:p>
    <w:p>
      <w:pPr>
        <w:sectPr>
          <w:pgSz w:w="11900" w:h="16838" w:orient="portrait"/>
          <w:cols w:equalWidth="0" w:num="3">
            <w:col w:w="180" w:space="180"/>
            <w:col w:w="5180" w:space="20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color w:val="auto"/>
        </w:rPr>
        <w:t>6h</w:t>
      </w:r>
    </w:p>
    <w:p>
      <w:pPr>
        <w:spacing w:after="0" w:line="20" w:lineRule="exact"/>
        <w:rPr>
          <w:sz w:val="20"/>
          <w:szCs w:val="20"/>
          <w:color w:val="auto"/>
        </w:rPr>
      </w:pPr>
      <w:r>
        <w:rPr>
          <w:sz w:val="20"/>
          <w:szCs w:val="20"/>
          <w:color w:val="auto"/>
        </w:rPr>
        <w:br w:type="column"/>
      </w:r>
    </w:p>
    <w:p>
      <w:pPr>
        <w:ind w:hanging="17"/>
        <w:spacing w:after="0" w:line="264"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5"/>
          <w:szCs w:val="15"/>
          <w:color w:val="auto"/>
        </w:rPr>
        <w:t>+</w:t>
      </w:r>
      <w:r>
        <w:rPr>
          <w:rFonts w:ascii="Arial" w:cs="Arial" w:eastAsia="Arial" w:hAnsi="Arial"/>
          <w:sz w:val="18"/>
          <w:szCs w:val="18"/>
          <w:color w:val="auto"/>
        </w:rPr>
        <w:t>securities were issued under rule 7.1A for non-cash consideration, state date on which valuation of consideration was released to ASX Market Announcements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572" w:lineRule="exact"/>
        <w:rPr>
          <w:sz w:val="20"/>
          <w:szCs w:val="20"/>
          <w:color w:val="auto"/>
        </w:rPr>
      </w:pPr>
    </w:p>
    <w:p>
      <w:pPr>
        <w:sectPr>
          <w:pgSz w:w="11900" w:h="16838" w:orient="portrait"/>
          <w:cols w:equalWidth="0" w:num="3">
            <w:col w:w="180" w:space="180"/>
            <w:col w:w="5000" w:space="38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7"/>
          <w:szCs w:val="17"/>
          <w:color w:val="auto"/>
        </w:rPr>
        <w:t>6i</w:t>
      </w:r>
    </w:p>
    <w:p>
      <w:pPr>
        <w:spacing w:after="0" w:line="20" w:lineRule="exact"/>
        <w:rPr>
          <w:sz w:val="20"/>
          <w:szCs w:val="20"/>
          <w:color w:val="auto"/>
        </w:rPr>
      </w:pPr>
      <w:r>
        <w:rPr>
          <w:sz w:val="20"/>
          <w:szCs w:val="20"/>
          <w:color w:val="auto"/>
        </w:rPr>
        <w:br w:type="column"/>
      </w:r>
    </w:p>
    <w:p>
      <w:pPr>
        <w:ind w:hanging="3"/>
        <w:spacing w:after="0" w:line="264" w:lineRule="auto"/>
        <w:rPr>
          <w:sz w:val="20"/>
          <w:szCs w:val="20"/>
          <w:color w:val="auto"/>
        </w:rPr>
      </w:pPr>
      <w:r>
        <w:rPr>
          <w:rFonts w:ascii="Arial" w:cs="Arial" w:eastAsia="Arial" w:hAnsi="Arial"/>
          <w:sz w:val="18"/>
          <w:szCs w:val="18"/>
          <w:color w:val="auto"/>
        </w:rPr>
        <w:t>Calculate the entity’s remaining issue capacity under rule 7.1 and rule 7.1A – complete Annexure 1 and release to ASX Market Announcements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Refer to Annexure 1.</w:t>
      </w:r>
    </w:p>
    <w:p>
      <w:pPr>
        <w:spacing w:after="0" w:line="572" w:lineRule="exact"/>
        <w:rPr>
          <w:sz w:val="20"/>
          <w:szCs w:val="20"/>
          <w:color w:val="auto"/>
        </w:rPr>
      </w:pPr>
    </w:p>
    <w:p>
      <w:pPr>
        <w:sectPr>
          <w:pgSz w:w="11900" w:h="16838" w:orient="portrait"/>
          <w:cols w:equalWidth="0" w:num="3">
            <w:col w:w="140" w:space="220"/>
            <w:col w:w="5020" w:space="360"/>
            <w:col w:w="5280"/>
          </w:cols>
          <w:pgMar w:left="440" w:top="274" w:right="439" w:bottom="1440" w:gutter="0" w:footer="0" w:header="0"/>
          <w:type w:val="continuous"/>
        </w:sectPr>
      </w:pPr>
    </w:p>
    <w:p>
      <w:pPr>
        <w:spacing w:after="0"/>
        <w:tabs>
          <w:tab w:leader="none" w:pos="320" w:val="left"/>
        </w:tabs>
        <w:rPr>
          <w:sz w:val="20"/>
          <w:szCs w:val="20"/>
          <w:color w:val="auto"/>
        </w:rPr>
      </w:pPr>
      <w:r>
        <w:rPr>
          <w:rFonts w:ascii="Arial" w:cs="Arial" w:eastAsia="Arial" w:hAnsi="Arial"/>
          <w:sz w:val="15"/>
          <w:szCs w:val="15"/>
          <w:color w:val="auto"/>
        </w:rPr>
        <w:t>7</w:t>
      </w:r>
      <w:r>
        <w:rPr>
          <w:sz w:val="20"/>
          <w:szCs w:val="20"/>
          <w:color w:val="auto"/>
        </w:rPr>
        <w:tab/>
      </w:r>
      <w:r>
        <w:rPr>
          <w:rFonts w:ascii="Arial" w:cs="Arial" w:eastAsia="Arial" w:hAnsi="Arial"/>
          <w:sz w:val="13"/>
          <w:szCs w:val="13"/>
          <w:color w:val="auto"/>
        </w:rPr>
        <w:t>+</w:t>
      </w:r>
      <w:r>
        <w:rPr>
          <w:rFonts w:ascii="Arial" w:cs="Arial" w:eastAsia="Arial" w:hAnsi="Arial"/>
          <w:sz w:val="15"/>
          <w:szCs w:val="15"/>
          <w:color w:val="auto"/>
        </w:rPr>
        <w:t>Issue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December 2019</w:t>
      </w:r>
    </w:p>
    <w:p>
      <w:pPr>
        <w:spacing w:after="0" w:line="154"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Note: The issue date may be prescribed by ASX (refer to the definition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 issue date in rule 19.12). For example, the issue date for a pro rata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entitlement issue must comply with the applicable timetable in Appendix</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7A.</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Cross reference: item 33 of Appendix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63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158" w:lineRule="exact"/>
        <w:rPr>
          <w:sz w:val="20"/>
          <w:szCs w:val="20"/>
          <w:color w:val="auto"/>
        </w:rPr>
      </w:pPr>
    </w:p>
    <w:p>
      <w:pPr>
        <w:spacing w:after="0"/>
        <w:tabs>
          <w:tab w:leader="none" w:pos="9500" w:val="left"/>
        </w:tabs>
        <w:rPr>
          <w:sz w:val="20"/>
          <w:szCs w:val="20"/>
          <w:color w:val="auto"/>
        </w:rPr>
      </w:pPr>
      <w:r>
        <w:rPr>
          <w:rFonts w:ascii="Arial" w:cs="Arial" w:eastAsia="Arial" w:hAnsi="Arial"/>
          <w:sz w:val="16"/>
          <w:szCs w:val="16"/>
          <w:color w:val="auto"/>
        </w:rPr>
        <w:t>04/03/2013</w:t>
      </w:r>
      <w:r>
        <w:rPr>
          <w:sz w:val="20"/>
          <w:szCs w:val="20"/>
          <w:color w:val="auto"/>
        </w:rPr>
        <w:tab/>
      </w:r>
      <w:r>
        <w:rPr>
          <w:rFonts w:ascii="Arial" w:cs="Arial" w:eastAsia="Arial" w:hAnsi="Arial"/>
          <w:sz w:val="16"/>
          <w:szCs w:val="16"/>
          <w:color w:val="auto"/>
        </w:rPr>
        <w:t>Appendix 3B Page 3</w:t>
      </w:r>
    </w:p>
    <w:p>
      <w:pPr>
        <w:sectPr>
          <w:pgSz w:w="11900" w:h="16838" w:orient="portrait"/>
          <w:cols w:equalWidth="0" w:num="1">
            <w:col w:w="11020"/>
          </w:cols>
          <w:pgMar w:left="440" w:top="274" w:right="439" w:bottom="1440" w:gutter="0" w:footer="0" w:header="0"/>
          <w:type w:val="continuous"/>
        </w:sectPr>
      </w:pPr>
    </w:p>
    <w:bookmarkStart w:id="7" w:name="page8"/>
    <w:bookmarkEnd w:id="7"/>
    <w:p>
      <w:pPr>
        <w:spacing w:after="0" w:line="166" w:lineRule="exact"/>
        <w:rPr>
          <w:sz w:val="20"/>
          <w:szCs w:val="20"/>
          <w:color w:val="auto"/>
        </w:rPr>
      </w:pPr>
    </w:p>
    <w:p>
      <w:pPr>
        <w:ind w:left="360" w:right="180" w:hanging="356"/>
        <w:spacing w:after="0" w:line="277" w:lineRule="auto"/>
        <w:tabs>
          <w:tab w:leader="none" w:pos="34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Number and </w:t>
      </w:r>
      <w:r>
        <w:rPr>
          <w:rFonts w:ascii="Arial" w:cs="Arial" w:eastAsia="Arial" w:hAnsi="Arial"/>
          <w:sz w:val="15"/>
          <w:szCs w:val="15"/>
          <w:color w:val="auto"/>
        </w:rPr>
        <w:t>+</w:t>
      </w:r>
      <w:r>
        <w:rPr>
          <w:rFonts w:ascii="Arial" w:cs="Arial" w:eastAsia="Arial" w:hAnsi="Arial"/>
          <w:sz w:val="18"/>
          <w:szCs w:val="18"/>
          <w:color w:val="auto"/>
        </w:rPr>
        <w:t xml:space="preserve">class of all </w:t>
      </w:r>
      <w:r>
        <w:rPr>
          <w:rFonts w:ascii="Arial" w:cs="Arial" w:eastAsia="Arial" w:hAnsi="Arial"/>
          <w:sz w:val="15"/>
          <w:szCs w:val="15"/>
          <w:color w:val="auto"/>
        </w:rPr>
        <w:t>+</w:t>
      </w:r>
      <w:r>
        <w:rPr>
          <w:rFonts w:ascii="Arial" w:cs="Arial" w:eastAsia="Arial" w:hAnsi="Arial"/>
          <w:sz w:val="18"/>
          <w:szCs w:val="18"/>
          <w:color w:val="auto"/>
        </w:rPr>
        <w:t>securities quoted on ASX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the </w:t>
      </w:r>
      <w:r>
        <w:rPr>
          <w:rFonts w:ascii="Arial" w:cs="Arial" w:eastAsia="Arial" w:hAnsi="Arial"/>
          <w:sz w:val="15"/>
          <w:szCs w:val="15"/>
          <w:color w:val="auto"/>
        </w:rPr>
        <w:t>+</w:t>
      </w:r>
      <w:r>
        <w:rPr>
          <w:rFonts w:ascii="Arial" w:cs="Arial" w:eastAsia="Arial" w:hAnsi="Arial"/>
          <w:sz w:val="18"/>
          <w:szCs w:val="18"/>
          <w:color w:val="auto"/>
        </w:rPr>
        <w:t>securities in section 2 if applicable)</w:t>
      </w:r>
    </w:p>
    <w:p>
      <w:pPr>
        <w:spacing w:after="0" w:line="224" w:lineRule="exact"/>
        <w:rPr>
          <w:sz w:val="20"/>
          <w:szCs w:val="20"/>
          <w:color w:val="auto"/>
        </w:rPr>
      </w:pPr>
    </w:p>
    <w:p>
      <w:pPr>
        <w:ind w:left="360" w:right="680" w:hanging="356"/>
        <w:spacing w:after="0" w:line="342" w:lineRule="auto"/>
        <w:tabs>
          <w:tab w:leader="none" w:pos="34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Number and </w:t>
      </w:r>
      <w:r>
        <w:rPr>
          <w:rFonts w:ascii="Arial" w:cs="Arial" w:eastAsia="Arial" w:hAnsi="Arial"/>
          <w:sz w:val="13"/>
          <w:szCs w:val="13"/>
          <w:color w:val="auto"/>
        </w:rPr>
        <w:t>+</w:t>
      </w:r>
      <w:r>
        <w:rPr>
          <w:rFonts w:ascii="Arial" w:cs="Arial" w:eastAsia="Arial" w:hAnsi="Arial"/>
          <w:sz w:val="16"/>
          <w:szCs w:val="16"/>
          <w:color w:val="auto"/>
        </w:rPr>
        <w:t xml:space="preserve">class of all </w:t>
      </w:r>
      <w:r>
        <w:rPr>
          <w:rFonts w:ascii="Arial" w:cs="Arial" w:eastAsia="Arial" w:hAnsi="Arial"/>
          <w:sz w:val="13"/>
          <w:szCs w:val="13"/>
          <w:color w:val="auto"/>
        </w:rPr>
        <w:t>+</w:t>
      </w:r>
      <w:r>
        <w:rPr>
          <w:rFonts w:ascii="Arial" w:cs="Arial" w:eastAsia="Arial" w:hAnsi="Arial"/>
          <w:sz w:val="16"/>
          <w:szCs w:val="16"/>
          <w:color w:val="auto"/>
        </w:rPr>
        <w:t>securities not quoted on ASX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the </w:t>
      </w:r>
      <w:r>
        <w:rPr>
          <w:rFonts w:ascii="Arial" w:cs="Arial" w:eastAsia="Arial" w:hAnsi="Arial"/>
          <w:sz w:val="13"/>
          <w:szCs w:val="13"/>
          <w:color w:val="auto"/>
        </w:rPr>
        <w:t>+</w:t>
      </w:r>
      <w:r>
        <w:rPr>
          <w:rFonts w:ascii="Arial" w:cs="Arial" w:eastAsia="Arial" w:hAnsi="Arial"/>
          <w:sz w:val="16"/>
          <w:szCs w:val="16"/>
          <w:color w:val="auto"/>
        </w:rPr>
        <w:t>securities in section 2 if applicable)</w:t>
      </w:r>
    </w:p>
    <w:p>
      <w:pPr>
        <w:spacing w:after="0" w:line="380" w:lineRule="exact"/>
        <w:rPr>
          <w:sz w:val="20"/>
          <w:szCs w:val="20"/>
          <w:color w:val="auto"/>
        </w:rPr>
      </w:pPr>
    </w:p>
    <w:p>
      <w:pPr>
        <w:ind w:left="360" w:right="60" w:hanging="356"/>
        <w:spacing w:after="0" w:line="277" w:lineRule="auto"/>
        <w:tabs>
          <w:tab w:leader="none" w:pos="342"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 policy (in the case of a trust, distribution policy) on the increased capital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See Annexure 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Number</w:t>
            </w:r>
          </w:p>
        </w:tc>
        <w:tc>
          <w:tcPr>
            <w:tcW w:w="680" w:type="dxa"/>
            <w:vAlign w:val="bottom"/>
          </w:tcPr>
          <w:p>
            <w:pPr>
              <w:spacing w:after="0"/>
              <w:rPr>
                <w:sz w:val="15"/>
                <w:szCs w:val="15"/>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Class</w:t>
            </w:r>
          </w:p>
        </w:tc>
      </w:tr>
      <w:tr>
        <w:trPr>
          <w:trHeight w:val="224"/>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2,117,450,777</w:t>
            </w:r>
          </w:p>
        </w:tc>
        <w:tc>
          <w:tcPr>
            <w:tcW w:w="68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Ordinary Shares</w:t>
            </w:r>
          </w:p>
        </w:tc>
      </w:tr>
      <w:tr>
        <w:trPr>
          <w:trHeight w:val="458"/>
        </w:trPr>
        <w:tc>
          <w:tcPr>
            <w:tcW w:w="20" w:type="dxa"/>
            <w:vAlign w:val="bottom"/>
          </w:tcPr>
          <w:p>
            <w:pPr>
              <w:spacing w:after="0"/>
              <w:rPr>
                <w:sz w:val="24"/>
                <w:szCs w:val="24"/>
                <w:color w:val="auto"/>
              </w:rPr>
            </w:pP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Number</w:t>
            </w:r>
          </w:p>
        </w:tc>
        <w:tc>
          <w:tcPr>
            <w:tcW w:w="680" w:type="dxa"/>
            <w:vAlign w:val="bottom"/>
          </w:tcPr>
          <w:p>
            <w:pPr>
              <w:spacing w:after="0"/>
              <w:rPr>
                <w:sz w:val="24"/>
                <w:szCs w:val="2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Class</w:t>
            </w:r>
          </w:p>
        </w:tc>
      </w:tr>
      <w:tr>
        <w:trPr>
          <w:trHeight w:val="224"/>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124,146,037*</w:t>
            </w:r>
          </w:p>
        </w:tc>
        <w:tc>
          <w:tcPr>
            <w:tcW w:w="68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Unlisted Options</w:t>
            </w:r>
          </w:p>
        </w:tc>
      </w:tr>
      <w:tr>
        <w:trPr>
          <w:trHeight w:val="309"/>
        </w:trPr>
        <w:tc>
          <w:tcPr>
            <w:tcW w:w="1240" w:type="dxa"/>
            <w:vAlign w:val="bottom"/>
            <w:gridSpan w:val="2"/>
          </w:tcPr>
          <w:p>
            <w:pPr>
              <w:spacing w:after="0"/>
              <w:rPr>
                <w:sz w:val="20"/>
                <w:szCs w:val="20"/>
                <w:color w:val="auto"/>
              </w:rPr>
            </w:pPr>
            <w:r>
              <w:rPr>
                <w:rFonts w:ascii="Arial" w:cs="Arial" w:eastAsia="Arial" w:hAnsi="Arial"/>
                <w:sz w:val="18"/>
                <w:szCs w:val="18"/>
                <w:color w:val="auto"/>
              </w:rPr>
              <w:t>58,343,142</w:t>
            </w:r>
          </w:p>
        </w:tc>
        <w:tc>
          <w:tcPr>
            <w:tcW w:w="2280" w:type="dxa"/>
            <w:vAlign w:val="bottom"/>
            <w:gridSpan w:val="2"/>
          </w:tcPr>
          <w:p>
            <w:pPr>
              <w:ind w:left="680"/>
              <w:spacing w:after="0"/>
              <w:rPr>
                <w:sz w:val="20"/>
                <w:szCs w:val="20"/>
                <w:color w:val="auto"/>
              </w:rPr>
            </w:pPr>
            <w:r>
              <w:rPr>
                <w:rFonts w:ascii="Arial" w:cs="Arial" w:eastAsia="Arial" w:hAnsi="Arial"/>
                <w:sz w:val="18"/>
                <w:szCs w:val="18"/>
                <w:color w:val="auto"/>
              </w:rPr>
              <w:t>Unlisted Restricted</w:t>
            </w: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80" w:type="dxa"/>
            <w:vAlign w:val="bottom"/>
            <w:gridSpan w:val="2"/>
          </w:tcPr>
          <w:p>
            <w:pPr>
              <w:ind w:left="680"/>
              <w:spacing w:after="0"/>
              <w:rPr>
                <w:sz w:val="20"/>
                <w:szCs w:val="20"/>
                <w:color w:val="auto"/>
              </w:rPr>
            </w:pPr>
            <w:r>
              <w:rPr>
                <w:rFonts w:ascii="Arial" w:cs="Arial" w:eastAsia="Arial" w:hAnsi="Arial"/>
                <w:sz w:val="18"/>
                <w:szCs w:val="18"/>
                <w:color w:val="auto"/>
              </w:rPr>
              <w:t>Stock Units</w:t>
            </w:r>
          </w:p>
        </w:tc>
      </w:tr>
      <w:tr>
        <w:trPr>
          <w:trHeight w:val="338"/>
        </w:trPr>
        <w:tc>
          <w:tcPr>
            <w:tcW w:w="124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-1354455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80" w:space="720"/>
            <w:col w:w="4219"/>
          </w:cols>
          <w:pgMar w:left="440" w:top="269"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2 - Pro rata issue</w:t>
      </w:r>
    </w:p>
    <w:p>
      <w:pPr>
        <w:sectPr>
          <w:pgSz w:w="11900" w:h="16838" w:orient="portrait"/>
          <w:cols w:equalWidth="0" w:num="1">
            <w:col w:w="11020"/>
          </w:cols>
          <w:pgMar w:left="440" w:top="270" w:right="439" w:bottom="1440" w:gutter="0" w:footer="0" w:header="0"/>
        </w:sectPr>
      </w:pPr>
    </w:p>
    <w:p>
      <w:pPr>
        <w:spacing w:after="0" w:line="279" w:lineRule="exact"/>
        <w:rPr>
          <w:sz w:val="20"/>
          <w:szCs w:val="20"/>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security holder approval required?</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the issue renounceable or non-renounceable?</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Ratio in which the </w:t>
      </w:r>
      <w:r>
        <w:rPr>
          <w:rFonts w:ascii="Arial" w:cs="Arial" w:eastAsia="Arial" w:hAnsi="Arial"/>
          <w:sz w:val="15"/>
          <w:szCs w:val="15"/>
          <w:color w:val="auto"/>
        </w:rPr>
        <w:t>+</w:t>
      </w:r>
      <w:r>
        <w:rPr>
          <w:rFonts w:ascii="Arial" w:cs="Arial" w:eastAsia="Arial" w:hAnsi="Arial"/>
          <w:sz w:val="18"/>
          <w:szCs w:val="18"/>
          <w:color w:val="auto"/>
        </w:rPr>
        <w:t>securities will be offered</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Class of</w:t>
      </w:r>
      <w:r>
        <w:rPr>
          <w:rFonts w:ascii="Arial" w:cs="Arial" w:eastAsia="Arial" w:hAnsi="Arial"/>
          <w:sz w:val="15"/>
          <w:szCs w:val="15"/>
          <w:color w:val="auto"/>
        </w:rPr>
        <w:t xml:space="preserve"> +</w:t>
      </w:r>
      <w:r>
        <w:rPr>
          <w:rFonts w:ascii="Arial" w:cs="Arial" w:eastAsia="Arial" w:hAnsi="Arial"/>
          <w:sz w:val="18"/>
          <w:szCs w:val="18"/>
          <w:color w:val="auto"/>
        </w:rPr>
        <w:t>securities to which the offer relates</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Record date to determine entitlements</w:t>
      </w:r>
    </w:p>
    <w:p>
      <w:pPr>
        <w:spacing w:after="0" w:line="117" w:lineRule="exact"/>
        <w:rPr>
          <w:rFonts w:ascii="Arial" w:cs="Arial" w:eastAsia="Arial" w:hAnsi="Arial"/>
          <w:sz w:val="18"/>
          <w:szCs w:val="18"/>
          <w:color w:val="auto"/>
        </w:rPr>
      </w:pPr>
    </w:p>
    <w:p>
      <w:pPr>
        <w:ind w:left="360" w:right="260" w:hanging="356"/>
        <w:spacing w:after="0" w:line="277"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holdings on different registers (or subregisters) be aggregated for calculating entitlements?</w:t>
      </w:r>
    </w:p>
    <w:p>
      <w:pPr>
        <w:spacing w:after="0" w:line="62"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Policy for deciding entitlements in relation to fractions</w:t>
      </w:r>
    </w:p>
    <w:p>
      <w:pPr>
        <w:spacing w:after="0" w:line="117" w:lineRule="exact"/>
        <w:rPr>
          <w:rFonts w:ascii="Arial" w:cs="Arial" w:eastAsia="Arial" w:hAnsi="Arial"/>
          <w:sz w:val="18"/>
          <w:szCs w:val="18"/>
          <w:color w:val="auto"/>
        </w:rPr>
      </w:pPr>
    </w:p>
    <w:p>
      <w:pPr>
        <w:ind w:left="360" w:right="80" w:hanging="356"/>
        <w:spacing w:after="0" w:line="277" w:lineRule="auto"/>
        <w:tabs>
          <w:tab w:leader="none" w:pos="342"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countries in which the entity has security holders who will not be sent new offer documents</w:t>
      </w:r>
    </w:p>
    <w:p>
      <w:pPr>
        <w:spacing w:after="0" w:line="62"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Note: Security holders must be told how their entitlements are to be dealt with.</w:t>
      </w:r>
    </w:p>
    <w:p>
      <w:pPr>
        <w:spacing w:after="0" w:line="62"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Cross reference: rule 7.7.</w:t>
      </w:r>
    </w:p>
    <w:p>
      <w:pPr>
        <w:spacing w:after="0" w:line="130"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date for receipt of acceptances or renunciations</w:t>
      </w:r>
    </w:p>
    <w:p>
      <w:pPr>
        <w:spacing w:after="0" w:line="130"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any underwriters</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of any underwriting fee or commission</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any brokers to the issue</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or commission payable to the broker to the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ind w:right="3040" w:firstLine="4"/>
        <w:spacing w:after="0" w:line="449" w:lineRule="auto"/>
        <w:tabs>
          <w:tab w:leader="none" w:pos="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chapter 19 for defined terms. 04/03/2013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3B Page 5</w:t>
      </w:r>
    </w:p>
    <w:p>
      <w:pPr>
        <w:sectPr>
          <w:pgSz w:w="11900" w:h="16838" w:orient="portrait"/>
          <w:cols w:equalWidth="0" w:num="2">
            <w:col w:w="5640" w:space="100"/>
            <w:col w:w="5280"/>
          </w:cols>
          <w:pgMar w:left="440" w:top="270"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Arial" w:cs="Arial" w:eastAsia="Arial" w:hAnsi="Arial"/>
                <w:sz w:val="18"/>
                <w:szCs w:val="18"/>
                <w:color w:val="auto"/>
                <w:w w:val="79"/>
              </w:rPr>
              <w:t>24</w:t>
            </w:r>
          </w:p>
        </w:tc>
        <w:tc>
          <w:tcPr>
            <w:tcW w:w="5360" w:type="dxa"/>
            <w:vAlign w:val="bottom"/>
          </w:tcPr>
          <w:p>
            <w:pPr>
              <w:ind w:left="80"/>
              <w:spacing w:after="0"/>
              <w:rPr>
                <w:sz w:val="20"/>
                <w:szCs w:val="20"/>
                <w:color w:val="auto"/>
              </w:rPr>
            </w:pPr>
            <w:r>
              <w:rPr>
                <w:rFonts w:ascii="Arial" w:cs="Arial" w:eastAsia="Arial" w:hAnsi="Arial"/>
                <w:sz w:val="18"/>
                <w:szCs w:val="18"/>
                <w:color w:val="auto"/>
                <w:w w:val="93"/>
              </w:rPr>
              <w:t>Amount of any handling fee payable to brokers who lodge acceptances</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or renunciations on behalf of security holders</w:t>
            </w:r>
          </w:p>
        </w:tc>
        <w:tc>
          <w:tcPr>
            <w:tcW w:w="1220" w:type="dxa"/>
            <w:vAlign w:val="bottom"/>
          </w:tcPr>
          <w:p>
            <w:pPr>
              <w:spacing w:after="0"/>
              <w:rPr>
                <w:sz w:val="20"/>
                <w:szCs w:val="20"/>
                <w:color w:val="auto"/>
              </w:rPr>
            </w:pP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25</w:t>
            </w:r>
          </w:p>
        </w:tc>
        <w:tc>
          <w:tcPr>
            <w:tcW w:w="5360" w:type="dxa"/>
            <w:vAlign w:val="bottom"/>
          </w:tcPr>
          <w:p>
            <w:pPr>
              <w:ind w:left="80"/>
              <w:spacing w:after="0"/>
              <w:rPr>
                <w:sz w:val="20"/>
                <w:szCs w:val="20"/>
                <w:color w:val="auto"/>
              </w:rPr>
            </w:pPr>
            <w:r>
              <w:rPr>
                <w:rFonts w:ascii="Arial" w:cs="Arial" w:eastAsia="Arial" w:hAnsi="Arial"/>
                <w:sz w:val="18"/>
                <w:szCs w:val="18"/>
                <w:color w:val="auto"/>
                <w:w w:val="95"/>
              </w:rPr>
              <w:t>If the issue is contingent on security holders’ approval, the date of the</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meeting</w:t>
            </w:r>
          </w:p>
        </w:tc>
        <w:tc>
          <w:tcPr>
            <w:tcW w:w="1220" w:type="dxa"/>
            <w:vAlign w:val="bottom"/>
          </w:tcPr>
          <w:p>
            <w:pPr>
              <w:spacing w:after="0"/>
              <w:rPr>
                <w:sz w:val="20"/>
                <w:szCs w:val="20"/>
                <w:color w:val="auto"/>
              </w:rPr>
            </w:pP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5360" w:type="dxa"/>
            <w:vAlign w:val="bottom"/>
          </w:tcPr>
          <w:p>
            <w:pPr>
              <w:ind w:left="80"/>
              <w:spacing w:after="0"/>
              <w:rPr>
                <w:sz w:val="20"/>
                <w:szCs w:val="20"/>
                <w:color w:val="auto"/>
              </w:rPr>
            </w:pPr>
            <w:r>
              <w:rPr>
                <w:rFonts w:ascii="Arial" w:cs="Arial" w:eastAsia="Arial" w:hAnsi="Arial"/>
                <w:sz w:val="18"/>
                <w:szCs w:val="18"/>
                <w:color w:val="auto"/>
                <w:w w:val="92"/>
              </w:rPr>
              <w:t>Date entitlement and acceptance form and offer documents will be sent</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to persons entitled</w:t>
            </w:r>
          </w:p>
        </w:tc>
        <w:tc>
          <w:tcPr>
            <w:tcW w:w="1220" w:type="dxa"/>
            <w:vAlign w:val="bottom"/>
          </w:tcPr>
          <w:p>
            <w:pPr>
              <w:spacing w:after="0"/>
              <w:rPr>
                <w:sz w:val="20"/>
                <w:szCs w:val="20"/>
                <w:color w:val="auto"/>
              </w:rPr>
            </w:pP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27</w:t>
            </w:r>
          </w:p>
        </w:tc>
        <w:tc>
          <w:tcPr>
            <w:tcW w:w="5360" w:type="dxa"/>
            <w:vAlign w:val="bottom"/>
          </w:tcPr>
          <w:p>
            <w:pPr>
              <w:ind w:left="80"/>
              <w:spacing w:after="0"/>
              <w:rPr>
                <w:sz w:val="20"/>
                <w:szCs w:val="20"/>
                <w:color w:val="auto"/>
              </w:rPr>
            </w:pPr>
            <w:r>
              <w:rPr>
                <w:rFonts w:ascii="Arial" w:cs="Arial" w:eastAsia="Arial" w:hAnsi="Arial"/>
                <w:sz w:val="18"/>
                <w:szCs w:val="18"/>
                <w:color w:val="auto"/>
                <w:w w:val="95"/>
              </w:rPr>
              <w:t>If the entity has issued options, and the terms entitle option holders to</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3"/>
              </w:rPr>
              <w:t>participate on exercise, the date on which notices will be sent to option</w:t>
            </w:r>
          </w:p>
        </w:tc>
        <w:tc>
          <w:tcPr>
            <w:tcW w:w="122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holders</w:t>
            </w:r>
          </w:p>
        </w:tc>
        <w:tc>
          <w:tcPr>
            <w:tcW w:w="1220" w:type="dxa"/>
            <w:vAlign w:val="bottom"/>
          </w:tcPr>
          <w:p>
            <w:pPr>
              <w:spacing w:after="0"/>
              <w:rPr>
                <w:sz w:val="20"/>
                <w:szCs w:val="20"/>
                <w:color w:val="auto"/>
              </w:rPr>
            </w:pP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5360" w:type="dxa"/>
            <w:vAlign w:val="bottom"/>
          </w:tcPr>
          <w:p>
            <w:pPr>
              <w:ind w:left="80"/>
              <w:spacing w:after="0"/>
              <w:rPr>
                <w:sz w:val="20"/>
                <w:szCs w:val="20"/>
                <w:color w:val="auto"/>
              </w:rPr>
            </w:pPr>
            <w:r>
              <w:rPr>
                <w:rFonts w:ascii="Arial" w:cs="Arial" w:eastAsia="Arial" w:hAnsi="Arial"/>
                <w:sz w:val="18"/>
                <w:szCs w:val="18"/>
                <w:color w:val="auto"/>
              </w:rPr>
              <w:t>Date rights trading will begin (if applicable)</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29</w:t>
            </w:r>
          </w:p>
        </w:tc>
        <w:tc>
          <w:tcPr>
            <w:tcW w:w="5360" w:type="dxa"/>
            <w:vAlign w:val="bottom"/>
          </w:tcPr>
          <w:p>
            <w:pPr>
              <w:ind w:left="80"/>
              <w:spacing w:after="0"/>
              <w:rPr>
                <w:sz w:val="20"/>
                <w:szCs w:val="20"/>
                <w:color w:val="auto"/>
              </w:rPr>
            </w:pPr>
            <w:r>
              <w:rPr>
                <w:rFonts w:ascii="Arial" w:cs="Arial" w:eastAsia="Arial" w:hAnsi="Arial"/>
                <w:sz w:val="18"/>
                <w:szCs w:val="18"/>
                <w:color w:val="auto"/>
              </w:rPr>
              <w:t>Date rights trading will end (if applicable)</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5360" w:type="dxa"/>
            <w:vAlign w:val="bottom"/>
          </w:tcPr>
          <w:p>
            <w:pPr>
              <w:ind w:left="80"/>
              <w:spacing w:after="0"/>
              <w:rPr>
                <w:sz w:val="20"/>
                <w:szCs w:val="20"/>
                <w:color w:val="auto"/>
              </w:rPr>
            </w:pPr>
            <w:r>
              <w:rPr>
                <w:rFonts w:ascii="Arial" w:cs="Arial" w:eastAsia="Arial" w:hAnsi="Arial"/>
                <w:sz w:val="18"/>
                <w:szCs w:val="18"/>
                <w:color w:val="auto"/>
                <w:w w:val="93"/>
              </w:rPr>
              <w:t xml:space="preserve">How do security holders sell their entitlements </w:t>
            </w:r>
            <w:r>
              <w:rPr>
                <w:rFonts w:ascii="Arial" w:cs="Arial" w:eastAsia="Arial" w:hAnsi="Arial"/>
                <w:sz w:val="18"/>
                <w:szCs w:val="18"/>
                <w:i w:val="1"/>
                <w:iCs w:val="1"/>
                <w:color w:val="auto"/>
                <w:w w:val="93"/>
              </w:rPr>
              <w:t>in full</w:t>
            </w:r>
            <w:r>
              <w:rPr>
                <w:rFonts w:ascii="Arial" w:cs="Arial" w:eastAsia="Arial" w:hAnsi="Arial"/>
                <w:sz w:val="18"/>
                <w:szCs w:val="18"/>
                <w:color w:val="auto"/>
                <w:w w:val="93"/>
              </w:rPr>
              <w:t xml:space="preserve"> through a broker?</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31</w:t>
            </w:r>
          </w:p>
        </w:tc>
        <w:tc>
          <w:tcPr>
            <w:tcW w:w="5360" w:type="dxa"/>
            <w:vAlign w:val="bottom"/>
          </w:tcPr>
          <w:p>
            <w:pPr>
              <w:ind w:left="80"/>
              <w:spacing w:after="0"/>
              <w:rPr>
                <w:sz w:val="20"/>
                <w:szCs w:val="20"/>
                <w:color w:val="auto"/>
              </w:rPr>
            </w:pPr>
            <w:r>
              <w:rPr>
                <w:rFonts w:ascii="Arial" w:cs="Arial" w:eastAsia="Arial" w:hAnsi="Arial"/>
                <w:sz w:val="18"/>
                <w:szCs w:val="18"/>
                <w:color w:val="auto"/>
                <w:w w:val="94"/>
              </w:rPr>
              <w:t xml:space="preserve">How do security holders sell </w:t>
            </w:r>
            <w:r>
              <w:rPr>
                <w:rFonts w:ascii="Arial" w:cs="Arial" w:eastAsia="Arial" w:hAnsi="Arial"/>
                <w:sz w:val="18"/>
                <w:szCs w:val="18"/>
                <w:i w:val="1"/>
                <w:iCs w:val="1"/>
                <w:color w:val="auto"/>
                <w:w w:val="94"/>
              </w:rPr>
              <w:t>part</w:t>
            </w:r>
            <w:r>
              <w:rPr>
                <w:rFonts w:ascii="Arial" w:cs="Arial" w:eastAsia="Arial" w:hAnsi="Arial"/>
                <w:sz w:val="18"/>
                <w:szCs w:val="18"/>
                <w:color w:val="auto"/>
                <w:w w:val="94"/>
              </w:rPr>
              <w:t xml:space="preserve"> of their entitlements through a broker</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and accept for the balance?</w:t>
            </w:r>
          </w:p>
        </w:tc>
        <w:tc>
          <w:tcPr>
            <w:tcW w:w="1220" w:type="dxa"/>
            <w:vAlign w:val="bottom"/>
          </w:tcPr>
          <w:p>
            <w:pPr>
              <w:spacing w:after="0"/>
              <w:rPr>
                <w:sz w:val="20"/>
                <w:szCs w:val="20"/>
                <w:color w:val="auto"/>
              </w:rPr>
            </w:pP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5360" w:type="dxa"/>
            <w:vAlign w:val="bottom"/>
          </w:tcPr>
          <w:p>
            <w:pPr>
              <w:ind w:left="80"/>
              <w:spacing w:after="0"/>
              <w:rPr>
                <w:sz w:val="20"/>
                <w:szCs w:val="20"/>
                <w:color w:val="auto"/>
              </w:rPr>
            </w:pPr>
            <w:r>
              <w:rPr>
                <w:rFonts w:ascii="Arial" w:cs="Arial" w:eastAsia="Arial" w:hAnsi="Arial"/>
                <w:sz w:val="18"/>
                <w:szCs w:val="18"/>
                <w:color w:val="auto"/>
                <w:w w:val="96"/>
              </w:rPr>
              <w:t>How do security holders dispose of their entitlements (except by sale</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through a broker)?</w:t>
            </w:r>
          </w:p>
        </w:tc>
        <w:tc>
          <w:tcPr>
            <w:tcW w:w="1220" w:type="dxa"/>
            <w:vAlign w:val="bottom"/>
          </w:tcPr>
          <w:p>
            <w:pPr>
              <w:spacing w:after="0"/>
              <w:rPr>
                <w:sz w:val="20"/>
                <w:szCs w:val="20"/>
                <w:color w:val="auto"/>
              </w:rPr>
            </w:pP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5360" w:type="dxa"/>
            <w:vAlign w:val="bottom"/>
          </w:tcPr>
          <w:p>
            <w:pPr>
              <w:ind w:left="8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Issue date</w:t>
            </w:r>
          </w:p>
        </w:tc>
        <w:tc>
          <w:tcPr>
            <w:tcW w:w="1220" w:type="dxa"/>
            <w:vAlign w:val="bottom"/>
          </w:tcPr>
          <w:p>
            <w:pPr>
              <w:ind w:left="120"/>
              <w:spacing w:after="0"/>
              <w:rPr>
                <w:sz w:val="20"/>
                <w:szCs w:val="20"/>
                <w:color w:val="auto"/>
              </w:rPr>
            </w:pPr>
            <w:r>
              <w:rPr>
                <w:rFonts w:ascii="Arial" w:cs="Arial" w:eastAsia="Arial" w:hAnsi="Arial"/>
                <w:sz w:val="18"/>
                <w:szCs w:val="18"/>
                <w:color w:val="auto"/>
                <w:w w:val="90"/>
              </w:rPr>
              <w:t>Not applicable.</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Part 3 - Quotation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 need only complete this section if you are applying for quotation of securities</w:t>
      </w:r>
    </w:p>
    <w:p>
      <w:pPr>
        <w:spacing w:after="0" w:line="252" w:lineRule="exact"/>
        <w:rPr>
          <w:sz w:val="20"/>
          <w:szCs w:val="20"/>
          <w:color w:val="auto"/>
        </w:rPr>
      </w:pPr>
    </w:p>
    <w:p>
      <w:pPr>
        <w:ind w:left="440" w:right="8219" w:hanging="436"/>
        <w:spacing w:after="0" w:line="339" w:lineRule="auto"/>
        <w:tabs>
          <w:tab w:leader="none" w:pos="432"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Type of </w:t>
      </w:r>
      <w:r>
        <w:rPr>
          <w:rFonts w:ascii="Arial" w:cs="Arial" w:eastAsia="Arial" w:hAnsi="Arial"/>
          <w:sz w:val="13"/>
          <w:szCs w:val="13"/>
          <w:color w:val="auto"/>
        </w:rPr>
        <w:t>+</w:t>
      </w:r>
      <w:r>
        <w:rPr>
          <w:rFonts w:ascii="Arial" w:cs="Arial" w:eastAsia="Arial" w:hAnsi="Arial"/>
          <w:sz w:val="16"/>
          <w:szCs w:val="16"/>
          <w:color w:val="auto"/>
        </w:rPr>
        <w:t>securities (</w:t>
      </w:r>
      <w:r>
        <w:rPr>
          <w:rFonts w:ascii="Arial" w:cs="Arial" w:eastAsia="Arial" w:hAnsi="Arial"/>
          <w:sz w:val="16"/>
          <w:szCs w:val="16"/>
          <w:i w:val="1"/>
          <w:iCs w:val="1"/>
          <w:color w:val="auto"/>
        </w:rPr>
        <w:t>tick one</w:t>
      </w:r>
      <w:r>
        <w:rPr>
          <w:rFonts w:ascii="Arial" w:cs="Arial" w:eastAsia="Arial" w:hAnsi="Arial"/>
          <w:sz w:val="16"/>
          <w:szCs w:val="16"/>
          <w:color w:val="auto"/>
        </w:rPr>
        <w:t>)</w:t>
      </w:r>
    </w:p>
    <w:p>
      <w:pPr>
        <w:spacing w:after="0" w:line="1" w:lineRule="exact"/>
        <w:rPr>
          <w:sz w:val="20"/>
          <w:szCs w:val="20"/>
          <w:color w:val="auto"/>
        </w:rPr>
      </w:pPr>
    </w:p>
    <w:p>
      <w:pPr>
        <w:spacing w:after="0" w:line="207" w:lineRule="exact"/>
        <w:tabs>
          <w:tab w:leader="none" w:pos="4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r>
        <w:rPr>
          <w:rFonts w:ascii="Arial" w:cs="Arial" w:eastAsia="Arial" w:hAnsi="Arial"/>
          <w:sz w:val="15"/>
          <w:szCs w:val="15"/>
          <w:color w:val="auto"/>
        </w:rPr>
        <w:t xml:space="preserve"> +</w:t>
      </w:r>
      <w:r>
        <w:rPr>
          <w:rFonts w:ascii="Arial" w:cs="Arial" w:eastAsia="Arial" w:hAnsi="Arial"/>
          <w:sz w:val="18"/>
          <w:szCs w:val="18"/>
          <w:color w:val="auto"/>
        </w:rPr>
        <w:t>Securities described in Part 1</w:t>
      </w:r>
    </w:p>
    <w:p>
      <w:pPr>
        <w:sectPr>
          <w:pgSz w:w="11900" w:h="16838" w:orient="portrait"/>
          <w:cols w:equalWidth="0" w:num="1">
            <w:col w:w="10019"/>
          </w:cols>
          <w:pgMar w:left="440" w:top="274" w:right="1440" w:bottom="1440" w:gutter="0" w:footer="0" w:header="0"/>
        </w:sectPr>
      </w:pPr>
    </w:p>
    <w:bookmarkStart w:id="10" w:name="page11"/>
    <w:bookmarkEnd w:id="10"/>
    <w:p>
      <w:pPr>
        <w:ind w:left="560" w:hanging="556"/>
        <w:spacing w:after="0" w:line="207" w:lineRule="exact"/>
        <w:tabs>
          <w:tab w:leader="none" w:pos="56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All other </w:t>
      </w:r>
      <w:r>
        <w:rPr>
          <w:rFonts w:ascii="Arial" w:cs="Arial" w:eastAsia="Arial" w:hAnsi="Arial"/>
          <w:sz w:val="15"/>
          <w:szCs w:val="15"/>
          <w:color w:val="auto"/>
        </w:rPr>
        <w:t>+</w:t>
      </w:r>
      <w:r>
        <w:rPr>
          <w:rFonts w:ascii="Arial" w:cs="Arial" w:eastAsia="Arial" w:hAnsi="Arial"/>
          <w:sz w:val="18"/>
          <w:szCs w:val="18"/>
          <w:color w:val="auto"/>
        </w:rPr>
        <w:t>securities</w:t>
      </w:r>
    </w:p>
    <w:p>
      <w:pPr>
        <w:spacing w:after="0" w:line="150" w:lineRule="exact"/>
        <w:rPr>
          <w:sz w:val="20"/>
          <w:szCs w:val="20"/>
          <w:color w:val="auto"/>
        </w:rPr>
      </w:pPr>
    </w:p>
    <w:p>
      <w:pPr>
        <w:ind w:left="920" w:right="380" w:hanging="17"/>
        <w:spacing w:after="0" w:line="277" w:lineRule="auto"/>
        <w:rPr>
          <w:sz w:val="20"/>
          <w:szCs w:val="20"/>
          <w:color w:val="auto"/>
        </w:rPr>
      </w:pPr>
      <w:r>
        <w:rPr>
          <w:rFonts w:ascii="Arial" w:cs="Arial" w:eastAsia="Arial" w:hAnsi="Arial"/>
          <w:sz w:val="18"/>
          <w:szCs w:val="18"/>
          <w:color w:val="auto"/>
        </w:rPr>
        <w:t>Example: restricted securities at the end of the escrowed period, partly paid securities that become fully paid, employee incentive share securities when restriction ends, securities issued on expiry or conversion of convertible securities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Entities that have ticked box 34(a)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securities forming a new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Tick to indicate you are providing the information or documents</w:t>
      </w:r>
    </w:p>
    <w:p>
      <w:pPr>
        <w:spacing w:after="0" w:line="84" w:lineRule="exact"/>
        <w:rPr>
          <w:sz w:val="20"/>
          <w:szCs w:val="20"/>
          <w:color w:val="auto"/>
        </w:rPr>
      </w:pPr>
    </w:p>
    <w:p>
      <w:pPr>
        <w:ind w:left="940" w:right="200" w:hanging="936"/>
        <w:spacing w:after="0" w:line="239" w:lineRule="exact"/>
        <w:tabs>
          <w:tab w:leader="none" w:pos="5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the </w:t>
      </w:r>
      <w:r>
        <w:rPr>
          <w:rFonts w:ascii="Arial" w:cs="Arial" w:eastAsia="Arial" w:hAnsi="Arial"/>
          <w:sz w:val="15"/>
          <w:szCs w:val="15"/>
          <w:color w:val="auto"/>
        </w:rPr>
        <w:t>+</w:t>
      </w:r>
      <w:r>
        <w:rPr>
          <w:rFonts w:ascii="Arial" w:cs="Arial" w:eastAsia="Arial" w:hAnsi="Arial"/>
          <w:sz w:val="18"/>
          <w:szCs w:val="18"/>
          <w:color w:val="auto"/>
        </w:rPr>
        <w:t xml:space="preserve">securities are </w:t>
      </w:r>
      <w:r>
        <w:rPr>
          <w:rFonts w:ascii="Arial" w:cs="Arial" w:eastAsia="Arial" w:hAnsi="Arial"/>
          <w:sz w:val="15"/>
          <w:szCs w:val="15"/>
          <w:color w:val="auto"/>
        </w:rPr>
        <w:t>+</w:t>
      </w:r>
      <w:r>
        <w:rPr>
          <w:rFonts w:ascii="Arial" w:cs="Arial" w:eastAsia="Arial" w:hAnsi="Arial"/>
          <w:sz w:val="18"/>
          <w:szCs w:val="18"/>
          <w:color w:val="auto"/>
        </w:rPr>
        <w:t xml:space="preserve">equity securities, the names of the 20 largest holders of the additional </w:t>
      </w:r>
      <w:r>
        <w:rPr>
          <w:rFonts w:ascii="Arial" w:cs="Arial" w:eastAsia="Arial" w:hAnsi="Arial"/>
          <w:sz w:val="15"/>
          <w:szCs w:val="15"/>
          <w:color w:val="auto"/>
        </w:rPr>
        <w:t>+</w:t>
      </w:r>
      <w:r>
        <w:rPr>
          <w:rFonts w:ascii="Arial" w:cs="Arial" w:eastAsia="Arial" w:hAnsi="Arial"/>
          <w:sz w:val="18"/>
          <w:szCs w:val="18"/>
          <w:color w:val="auto"/>
        </w:rPr>
        <w:t xml:space="preserve">securities, and the number and percentage of additional </w:t>
      </w:r>
      <w:r>
        <w:rPr>
          <w:rFonts w:ascii="Arial" w:cs="Arial" w:eastAsia="Arial" w:hAnsi="Arial"/>
          <w:sz w:val="15"/>
          <w:szCs w:val="15"/>
          <w:color w:val="auto"/>
        </w:rPr>
        <w:t>+</w:t>
      </w:r>
      <w:r>
        <w:rPr>
          <w:rFonts w:ascii="Arial" w:cs="Arial" w:eastAsia="Arial" w:hAnsi="Arial"/>
          <w:sz w:val="18"/>
          <w:szCs w:val="18"/>
          <w:color w:val="auto"/>
        </w:rPr>
        <w:t>securities held by those holders</w:t>
      </w:r>
    </w:p>
    <w:p>
      <w:pPr>
        <w:spacing w:after="0" w:line="62" w:lineRule="exact"/>
        <w:rPr>
          <w:rFonts w:ascii="Arial" w:cs="Arial" w:eastAsia="Arial" w:hAnsi="Arial"/>
          <w:sz w:val="18"/>
          <w:szCs w:val="18"/>
          <w:color w:val="auto"/>
        </w:rPr>
      </w:pPr>
    </w:p>
    <w:p>
      <w:pPr>
        <w:ind w:left="940" w:right="720" w:hanging="936"/>
        <w:spacing w:after="0" w:line="239" w:lineRule="exact"/>
        <w:tabs>
          <w:tab w:leader="none" w:pos="5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If the </w:t>
      </w:r>
      <w:r>
        <w:rPr>
          <w:rFonts w:ascii="Arial" w:cs="Arial" w:eastAsia="Arial" w:hAnsi="Arial"/>
          <w:sz w:val="15"/>
          <w:szCs w:val="15"/>
          <w:color w:val="auto"/>
        </w:rPr>
        <w:t>+</w:t>
      </w:r>
      <w:r>
        <w:rPr>
          <w:rFonts w:ascii="Arial" w:cs="Arial" w:eastAsia="Arial" w:hAnsi="Arial"/>
          <w:sz w:val="18"/>
          <w:szCs w:val="18"/>
          <w:color w:val="auto"/>
        </w:rPr>
        <w:t xml:space="preserve">securities are </w:t>
      </w:r>
      <w:r>
        <w:rPr>
          <w:rFonts w:ascii="Arial" w:cs="Arial" w:eastAsia="Arial" w:hAnsi="Arial"/>
          <w:sz w:val="15"/>
          <w:szCs w:val="15"/>
          <w:color w:val="auto"/>
        </w:rPr>
        <w:t>+</w:t>
      </w:r>
      <w:r>
        <w:rPr>
          <w:rFonts w:ascii="Arial" w:cs="Arial" w:eastAsia="Arial" w:hAnsi="Arial"/>
          <w:sz w:val="18"/>
          <w:szCs w:val="18"/>
          <w:color w:val="auto"/>
        </w:rPr>
        <w:t xml:space="preserve">equity securities, a distribution schedule of the additional </w:t>
      </w:r>
      <w:r>
        <w:rPr>
          <w:rFonts w:ascii="Arial" w:cs="Arial" w:eastAsia="Arial" w:hAnsi="Arial"/>
          <w:sz w:val="15"/>
          <w:szCs w:val="15"/>
          <w:color w:val="auto"/>
        </w:rPr>
        <w:t>+</w:t>
      </w:r>
      <w:r>
        <w:rPr>
          <w:rFonts w:ascii="Arial" w:cs="Arial" w:eastAsia="Arial" w:hAnsi="Arial"/>
          <w:sz w:val="18"/>
          <w:szCs w:val="18"/>
          <w:color w:val="auto"/>
        </w:rPr>
        <w:t>securities setting out the number of holders in the categories</w:t>
      </w:r>
    </w:p>
    <w:p>
      <w:pPr>
        <w:spacing w:after="0" w:line="1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1 - 1,000</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1,001 - 5,000</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5,001 - 10,000</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10,001 - 100,000</w:t>
      </w:r>
    </w:p>
    <w:p>
      <w:pPr>
        <w:spacing w:after="0" w:line="13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100,001 and over</w:t>
      </w:r>
    </w:p>
    <w:p>
      <w:pPr>
        <w:spacing w:after="0" w:line="166" w:lineRule="exact"/>
        <w:rPr>
          <w:sz w:val="20"/>
          <w:szCs w:val="20"/>
          <w:color w:val="auto"/>
        </w:rPr>
      </w:pPr>
    </w:p>
    <w:p>
      <w:pPr>
        <w:spacing w:after="0" w:line="207" w:lineRule="exact"/>
        <w:tabs>
          <w:tab w:leader="none" w:pos="560" w:val="left"/>
          <w:tab w:leader="none" w:pos="860" w:val="left"/>
        </w:tabs>
        <w:rPr>
          <w:sz w:val="20"/>
          <w:szCs w:val="20"/>
          <w:color w:val="auto"/>
        </w:rPr>
      </w:pPr>
      <w:r>
        <w:rPr>
          <w:rFonts w:ascii="Arial" w:cs="Arial" w:eastAsia="Arial" w:hAnsi="Arial"/>
          <w:sz w:val="18"/>
          <w:szCs w:val="18"/>
          <w:color w:val="auto"/>
        </w:rPr>
        <w:t>37</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 copy of any trust deed for the additional </w:t>
      </w:r>
      <w:r>
        <w:rPr>
          <w:rFonts w:ascii="Arial" w:cs="Arial" w:eastAsia="Arial" w:hAnsi="Arial"/>
          <w:sz w:val="13"/>
          <w:szCs w:val="13"/>
          <w:color w:val="auto"/>
        </w:rPr>
        <w:t>+</w:t>
      </w:r>
      <w:r>
        <w:rPr>
          <w:rFonts w:ascii="Arial" w:cs="Arial" w:eastAsia="Arial" w:hAnsi="Arial"/>
          <w:sz w:val="16"/>
          <w:szCs w:val="16"/>
          <w:color w:val="auto"/>
        </w:rPr>
        <w:t>securities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Entities that have ticked box 34(b)</w:t>
      </w:r>
    </w:p>
    <w:p>
      <w:pPr>
        <w:spacing w:after="0" w:line="121" w:lineRule="exact"/>
        <w:rPr>
          <w:sz w:val="20"/>
          <w:szCs w:val="20"/>
          <w:color w:val="auto"/>
        </w:rPr>
      </w:pPr>
    </w:p>
    <w:p>
      <w:pPr>
        <w:ind w:left="580" w:hanging="576"/>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Number of </w:t>
      </w:r>
      <w:r>
        <w:rPr>
          <w:rFonts w:ascii="Arial" w:cs="Arial" w:eastAsia="Arial" w:hAnsi="Arial"/>
          <w:sz w:val="15"/>
          <w:szCs w:val="15"/>
          <w:color w:val="auto"/>
        </w:rPr>
        <w:t>+</w:t>
      </w:r>
      <w:r>
        <w:rPr>
          <w:rFonts w:ascii="Arial" w:cs="Arial" w:eastAsia="Arial" w:hAnsi="Arial"/>
          <w:sz w:val="18"/>
          <w:szCs w:val="18"/>
          <w:color w:val="auto"/>
        </w:rPr>
        <w:t xml:space="preserve">securities for which </w:t>
      </w:r>
      <w:r>
        <w:rPr>
          <w:rFonts w:ascii="Arial" w:cs="Arial" w:eastAsia="Arial" w:hAnsi="Arial"/>
          <w:sz w:val="15"/>
          <w:szCs w:val="15"/>
          <w:color w:val="auto"/>
        </w:rPr>
        <w:t>+</w:t>
      </w:r>
      <w:r>
        <w:rPr>
          <w:rFonts w:ascii="Arial" w:cs="Arial" w:eastAsia="Arial" w:hAnsi="Arial"/>
          <w:sz w:val="18"/>
          <w:szCs w:val="18"/>
          <w:color w:val="auto"/>
        </w:rPr>
        <w:t>quotation is sought</w:t>
      </w:r>
    </w:p>
    <w:p>
      <w:pPr>
        <w:spacing w:after="0" w:line="198" w:lineRule="exact"/>
        <w:rPr>
          <w:rFonts w:ascii="Arial" w:cs="Arial" w:eastAsia="Arial" w:hAnsi="Arial"/>
          <w:sz w:val="18"/>
          <w:szCs w:val="18"/>
          <w:color w:val="auto"/>
        </w:rPr>
      </w:pPr>
    </w:p>
    <w:p>
      <w:pPr>
        <w:ind w:left="580" w:hanging="576"/>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Class of</w:t>
      </w:r>
      <w:r>
        <w:rPr>
          <w:rFonts w:ascii="Arial" w:cs="Arial" w:eastAsia="Arial" w:hAnsi="Arial"/>
          <w:sz w:val="15"/>
          <w:szCs w:val="15"/>
          <w:color w:val="auto"/>
        </w:rPr>
        <w:t xml:space="preserve"> +</w:t>
      </w:r>
      <w:r>
        <w:rPr>
          <w:rFonts w:ascii="Arial" w:cs="Arial" w:eastAsia="Arial" w:hAnsi="Arial"/>
          <w:sz w:val="18"/>
          <w:szCs w:val="18"/>
          <w:color w:val="auto"/>
        </w:rPr>
        <w:t>securities for which quotation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158" w:lineRule="exact"/>
        <w:rPr>
          <w:sz w:val="20"/>
          <w:szCs w:val="20"/>
          <w:color w:val="auto"/>
        </w:rPr>
      </w:pPr>
    </w:p>
    <w:p>
      <w:pPr>
        <w:spacing w:after="0"/>
        <w:tabs>
          <w:tab w:leader="none" w:pos="9500" w:val="left"/>
        </w:tabs>
        <w:rPr>
          <w:sz w:val="20"/>
          <w:szCs w:val="20"/>
          <w:color w:val="auto"/>
        </w:rPr>
      </w:pPr>
      <w:r>
        <w:rPr>
          <w:rFonts w:ascii="Arial" w:cs="Arial" w:eastAsia="Arial" w:hAnsi="Arial"/>
          <w:sz w:val="16"/>
          <w:szCs w:val="16"/>
          <w:color w:val="auto"/>
        </w:rPr>
        <w:t>04/03/2013</w:t>
      </w:r>
      <w:r>
        <w:rPr>
          <w:sz w:val="20"/>
          <w:szCs w:val="20"/>
          <w:color w:val="auto"/>
        </w:rPr>
        <w:tab/>
      </w:r>
      <w:r>
        <w:rPr>
          <w:rFonts w:ascii="Arial" w:cs="Arial" w:eastAsia="Arial" w:hAnsi="Arial"/>
          <w:sz w:val="16"/>
          <w:szCs w:val="16"/>
          <w:color w:val="auto"/>
        </w:rPr>
        <w:t>Appendix 3B Page 7</w:t>
      </w:r>
    </w:p>
    <w:p>
      <w:pPr>
        <w:sectPr>
          <w:pgSz w:w="11900" w:h="16838" w:orient="portrait"/>
          <w:cols w:equalWidth="0" w:num="1">
            <w:col w:w="11020"/>
          </w:cols>
          <w:pgMar w:left="440" w:top="241" w:right="439" w:bottom="1440" w:gutter="0" w:footer="0" w:header="0"/>
        </w:sectPr>
      </w:pPr>
    </w:p>
    <w:bookmarkStart w:id="11" w:name="page12"/>
    <w:bookmarkEnd w:id="11"/>
    <w:p>
      <w:pPr>
        <w:ind w:left="340" w:hanging="336"/>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Do the </w:t>
      </w:r>
      <w:r>
        <w:rPr>
          <w:rFonts w:ascii="Arial" w:cs="Arial" w:eastAsia="Arial" w:hAnsi="Arial"/>
          <w:sz w:val="15"/>
          <w:szCs w:val="15"/>
          <w:color w:val="auto"/>
        </w:rPr>
        <w:t>+</w:t>
      </w:r>
      <w:r>
        <w:rPr>
          <w:rFonts w:ascii="Arial" w:cs="Arial" w:eastAsia="Arial" w:hAnsi="Arial"/>
          <w:sz w:val="18"/>
          <w:szCs w:val="18"/>
          <w:color w:val="auto"/>
        </w:rPr>
        <w:t>securities rank equally in all respects from the</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issue date with an existing</w:t>
      </w:r>
      <w:r>
        <w:rPr>
          <w:rFonts w:ascii="Arial" w:cs="Arial" w:eastAsia="Arial" w:hAnsi="Arial"/>
          <w:sz w:val="15"/>
          <w:szCs w:val="15"/>
          <w:color w:val="auto"/>
        </w:rPr>
        <w:t xml:space="preserve"> +</w:t>
      </w:r>
      <w:r>
        <w:rPr>
          <w:rFonts w:ascii="Arial" w:cs="Arial" w:eastAsia="Arial" w:hAnsi="Arial"/>
          <w:sz w:val="18"/>
          <w:szCs w:val="18"/>
          <w:color w:val="auto"/>
        </w:rPr>
        <w:t>class of quoted</w:t>
      </w:r>
      <w:r>
        <w:rPr>
          <w:rFonts w:ascii="Arial" w:cs="Arial" w:eastAsia="Arial" w:hAnsi="Arial"/>
          <w:sz w:val="15"/>
          <w:szCs w:val="15"/>
          <w:color w:val="auto"/>
        </w:rPr>
        <w:t xml:space="preserve"> +</w:t>
      </w:r>
      <w:r>
        <w:rPr>
          <w:rFonts w:ascii="Arial" w:cs="Arial" w:eastAsia="Arial" w:hAnsi="Arial"/>
          <w:sz w:val="18"/>
          <w:szCs w:val="18"/>
          <w:color w:val="auto"/>
        </w:rPr>
        <w:t>securities?</w:t>
      </w:r>
    </w:p>
    <w:p>
      <w:pPr>
        <w:spacing w:after="0" w:line="102" w:lineRule="exact"/>
        <w:rPr>
          <w:rFonts w:ascii="Arial" w:cs="Arial" w:eastAsia="Arial" w:hAnsi="Arial"/>
          <w:sz w:val="18"/>
          <w:szCs w:val="18"/>
          <w:color w:val="auto"/>
        </w:rPr>
      </w:pPr>
    </w:p>
    <w:p>
      <w:pPr>
        <w:ind w:left="360" w:right="571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If the additional </w:t>
      </w:r>
      <w:r>
        <w:rPr>
          <w:rFonts w:ascii="Arial" w:cs="Arial" w:eastAsia="Arial" w:hAnsi="Arial"/>
          <w:sz w:val="15"/>
          <w:szCs w:val="15"/>
          <w:color w:val="auto"/>
        </w:rPr>
        <w:t>+</w:t>
      </w:r>
      <w:r>
        <w:rPr>
          <w:rFonts w:ascii="Arial" w:cs="Arial" w:eastAsia="Arial" w:hAnsi="Arial"/>
          <w:sz w:val="18"/>
          <w:szCs w:val="18"/>
          <w:color w:val="auto"/>
        </w:rPr>
        <w:t>securities do not rank equally, please state:</w:t>
      </w:r>
    </w:p>
    <w:p>
      <w:pPr>
        <w:spacing w:after="0" w:line="62" w:lineRule="exact"/>
        <w:rPr>
          <w:rFonts w:ascii="Arial" w:cs="Arial" w:eastAsia="Arial" w:hAnsi="Arial"/>
          <w:sz w:val="18"/>
          <w:szCs w:val="18"/>
          <w:color w:val="auto"/>
        </w:rPr>
      </w:pPr>
    </w:p>
    <w:p>
      <w:pPr>
        <w:ind w:left="700" w:hanging="336"/>
        <w:spacing w:after="0"/>
        <w:tabs>
          <w:tab w:leader="none" w:pos="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date from which they do</w:t>
      </w:r>
    </w:p>
    <w:p>
      <w:pPr>
        <w:spacing w:after="0" w:line="117" w:lineRule="exact"/>
        <w:rPr>
          <w:rFonts w:ascii="Arial" w:cs="Arial" w:eastAsia="Arial" w:hAnsi="Arial"/>
          <w:sz w:val="18"/>
          <w:szCs w:val="18"/>
          <w:color w:val="auto"/>
        </w:rPr>
      </w:pPr>
    </w:p>
    <w:p>
      <w:pPr>
        <w:jc w:val="both"/>
        <w:ind w:left="720" w:right="5899" w:hanging="356"/>
        <w:spacing w:after="0" w:line="264" w:lineRule="auto"/>
        <w:tabs>
          <w:tab w:leader="none" w:pos="7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extent to which they participate for the next dividend, (in the case of a trust, distribution) or interest payment</w:t>
      </w:r>
    </w:p>
    <w:p>
      <w:pPr>
        <w:spacing w:after="0" w:line="73" w:lineRule="exact"/>
        <w:rPr>
          <w:rFonts w:ascii="Arial" w:cs="Arial" w:eastAsia="Arial" w:hAnsi="Arial"/>
          <w:sz w:val="18"/>
          <w:szCs w:val="18"/>
          <w:color w:val="auto"/>
        </w:rPr>
      </w:pPr>
    </w:p>
    <w:p>
      <w:pPr>
        <w:ind w:left="720" w:right="5619" w:hanging="356"/>
        <w:spacing w:after="0" w:line="264" w:lineRule="auto"/>
        <w:tabs>
          <w:tab w:leader="none" w:pos="7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extent to which they do not rank equally, other than in relation to the next dividend, distribution or interest payment</w:t>
      </w:r>
    </w:p>
    <w:p>
      <w:pPr>
        <w:spacing w:after="0" w:line="86" w:lineRule="exact"/>
        <w:rPr>
          <w:rFonts w:ascii="Arial" w:cs="Arial" w:eastAsia="Arial" w:hAnsi="Arial"/>
          <w:sz w:val="18"/>
          <w:szCs w:val="18"/>
          <w:color w:val="auto"/>
        </w:rPr>
      </w:pPr>
    </w:p>
    <w:p>
      <w:pPr>
        <w:ind w:left="340" w:hanging="336"/>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Reason for request for quotation now</w:t>
      </w:r>
    </w:p>
    <w:p>
      <w:pPr>
        <w:spacing w:after="0" w:line="130" w:lineRule="exact"/>
        <w:rPr>
          <w:rFonts w:ascii="Arial" w:cs="Arial" w:eastAsia="Arial" w:hAnsi="Arial"/>
          <w:sz w:val="18"/>
          <w:szCs w:val="18"/>
          <w:color w:val="auto"/>
        </w:rPr>
      </w:pPr>
    </w:p>
    <w:p>
      <w:pPr>
        <w:ind w:left="360" w:right="5979"/>
        <w:spacing w:after="0" w:line="277" w:lineRule="auto"/>
        <w:rPr>
          <w:rFonts w:ascii="Arial" w:cs="Arial" w:eastAsia="Arial" w:hAnsi="Arial"/>
          <w:sz w:val="18"/>
          <w:szCs w:val="18"/>
          <w:color w:val="auto"/>
        </w:rPr>
      </w:pPr>
      <w:r>
        <w:rPr>
          <w:rFonts w:ascii="Arial" w:cs="Arial" w:eastAsia="Arial" w:hAnsi="Arial"/>
          <w:sz w:val="18"/>
          <w:szCs w:val="18"/>
          <w:color w:val="auto"/>
        </w:rPr>
        <w:t>Example: In the case of restricted securities, end of restriction period</w:t>
      </w:r>
    </w:p>
    <w:p>
      <w:pPr>
        <w:spacing w:after="0" w:line="62" w:lineRule="exact"/>
        <w:rPr>
          <w:rFonts w:ascii="Arial" w:cs="Arial" w:eastAsia="Arial" w:hAnsi="Arial"/>
          <w:sz w:val="18"/>
          <w:szCs w:val="18"/>
          <w:color w:val="auto"/>
        </w:rPr>
      </w:pPr>
    </w:p>
    <w:p>
      <w:pPr>
        <w:ind w:left="360" w:right="569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(if issued upon conversion of another </w:t>
      </w:r>
      <w:r>
        <w:rPr>
          <w:rFonts w:ascii="Arial" w:cs="Arial" w:eastAsia="Arial" w:hAnsi="Arial"/>
          <w:sz w:val="15"/>
          <w:szCs w:val="15"/>
          <w:color w:val="auto"/>
        </w:rPr>
        <w:t>+</w:t>
      </w:r>
      <w:r>
        <w:rPr>
          <w:rFonts w:ascii="Arial" w:cs="Arial" w:eastAsia="Arial" w:hAnsi="Arial"/>
          <w:sz w:val="18"/>
          <w:szCs w:val="18"/>
          <w:color w:val="auto"/>
        </w:rPr>
        <w:t xml:space="preserve">security, clearly identify that other </w:t>
      </w:r>
      <w:r>
        <w:rPr>
          <w:rFonts w:ascii="Arial" w:cs="Arial" w:eastAsia="Arial" w:hAnsi="Arial"/>
          <w:sz w:val="15"/>
          <w:szCs w:val="15"/>
          <w:color w:val="auto"/>
        </w:rPr>
        <w:t>+</w:t>
      </w:r>
      <w:r>
        <w:rPr>
          <w:rFonts w:ascii="Arial" w:cs="Arial" w:eastAsia="Arial" w:hAnsi="Arial"/>
          <w:sz w:val="18"/>
          <w:szCs w:val="18"/>
          <w:color w:val="auto"/>
        </w:rPr>
        <w:t>security)</w:t>
      </w:r>
    </w:p>
    <w:p>
      <w:pPr>
        <w:spacing w:after="0" w:line="166" w:lineRule="exact"/>
        <w:rPr>
          <w:sz w:val="20"/>
          <w:szCs w:val="20"/>
          <w:color w:val="auto"/>
        </w:rPr>
      </w:pPr>
    </w:p>
    <w:p>
      <w:pPr>
        <w:ind w:left="5880"/>
        <w:spacing w:after="0"/>
        <w:tabs>
          <w:tab w:leader="none" w:pos="830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2"/>
          <w:szCs w:val="12"/>
          <w:color w:val="auto"/>
        </w:rPr>
        <w:t>+</w:t>
      </w:r>
      <w:r>
        <w:rPr>
          <w:rFonts w:ascii="Arial" w:cs="Arial" w:eastAsia="Arial" w:hAnsi="Arial"/>
          <w:sz w:val="14"/>
          <w:szCs w:val="14"/>
          <w:color w:val="auto"/>
        </w:rPr>
        <w:t>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12700</wp:posOffset>
            </wp:positionV>
            <wp:extent cx="25812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93" w:lineRule="exact"/>
        <w:rPr>
          <w:sz w:val="20"/>
          <w:szCs w:val="20"/>
          <w:color w:val="auto"/>
        </w:rPr>
      </w:pPr>
    </w:p>
    <w:p>
      <w:pPr>
        <w:ind w:left="360" w:right="5899" w:hanging="356"/>
        <w:spacing w:after="0" w:line="277" w:lineRule="auto"/>
        <w:tabs>
          <w:tab w:leader="none" w:pos="3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Number and </w:t>
      </w:r>
      <w:r>
        <w:rPr>
          <w:rFonts w:ascii="Arial" w:cs="Arial" w:eastAsia="Arial" w:hAnsi="Arial"/>
          <w:sz w:val="15"/>
          <w:szCs w:val="15"/>
          <w:color w:val="auto"/>
        </w:rPr>
        <w:t>+</w:t>
      </w:r>
      <w:r>
        <w:rPr>
          <w:rFonts w:ascii="Arial" w:cs="Arial" w:eastAsia="Arial" w:hAnsi="Arial"/>
          <w:sz w:val="18"/>
          <w:szCs w:val="18"/>
          <w:color w:val="auto"/>
        </w:rPr>
        <w:t xml:space="preserve">class of all </w:t>
      </w:r>
      <w:r>
        <w:rPr>
          <w:rFonts w:ascii="Arial" w:cs="Arial" w:eastAsia="Arial" w:hAnsi="Arial"/>
          <w:sz w:val="15"/>
          <w:szCs w:val="15"/>
          <w:color w:val="auto"/>
        </w:rPr>
        <w:t>+</w:t>
      </w:r>
      <w:r>
        <w:rPr>
          <w:rFonts w:ascii="Arial" w:cs="Arial" w:eastAsia="Arial" w:hAnsi="Arial"/>
          <w:sz w:val="18"/>
          <w:szCs w:val="18"/>
          <w:color w:val="auto"/>
        </w:rPr>
        <w:t>securities quoted on ASX (</w:t>
      </w:r>
      <w:r>
        <w:rPr>
          <w:rFonts w:ascii="Arial" w:cs="Arial" w:eastAsia="Arial" w:hAnsi="Arial"/>
          <w:sz w:val="18"/>
          <w:szCs w:val="18"/>
          <w:i w:val="1"/>
          <w:iCs w:val="1"/>
          <w:color w:val="auto"/>
        </w:rPr>
        <w:t>including</w:t>
      </w:r>
      <w:r>
        <w:rPr>
          <w:rFonts w:ascii="Arial" w:cs="Arial" w:eastAsia="Arial" w:hAnsi="Arial"/>
          <w:sz w:val="18"/>
          <w:szCs w:val="18"/>
          <w:color w:val="auto"/>
        </w:rPr>
        <w:t xml:space="preserve"> the </w:t>
      </w:r>
      <w:r>
        <w:rPr>
          <w:rFonts w:ascii="Arial" w:cs="Arial" w:eastAsia="Arial" w:hAnsi="Arial"/>
          <w:sz w:val="15"/>
          <w:szCs w:val="15"/>
          <w:color w:val="auto"/>
        </w:rPr>
        <w:t>+</w:t>
      </w:r>
      <w:r>
        <w:rPr>
          <w:rFonts w:ascii="Arial" w:cs="Arial" w:eastAsia="Arial" w:hAnsi="Arial"/>
          <w:sz w:val="18"/>
          <w:szCs w:val="18"/>
          <w:color w:val="auto"/>
        </w:rPr>
        <w:t>securities in clause 38)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agreement</w:t>
      </w:r>
    </w:p>
    <w:p>
      <w:pPr>
        <w:spacing w:after="0" w:line="135"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6"/>
          <w:szCs w:val="16"/>
          <w:color w:val="auto"/>
        </w:rPr>
        <w:t>Quotation of our additional</w:t>
      </w:r>
      <w:r>
        <w:rPr>
          <w:rFonts w:ascii="Arial" w:cs="Arial" w:eastAsia="Arial" w:hAnsi="Arial"/>
          <w:sz w:val="14"/>
          <w:szCs w:val="14"/>
          <w:color w:val="auto"/>
        </w:rPr>
        <w:t xml:space="preserve"> +</w:t>
      </w:r>
      <w:r>
        <w:rPr>
          <w:rFonts w:ascii="Arial" w:cs="Arial" w:eastAsia="Arial" w:hAnsi="Arial"/>
          <w:sz w:val="16"/>
          <w:szCs w:val="16"/>
          <w:color w:val="auto"/>
        </w:rPr>
        <w:t>securities is in ASX’s absolute discretion. ASX may quote the</w:t>
      </w:r>
      <w:r>
        <w:rPr>
          <w:rFonts w:ascii="Arial" w:cs="Arial" w:eastAsia="Arial" w:hAnsi="Arial"/>
          <w:sz w:val="14"/>
          <w:szCs w:val="14"/>
          <w:color w:val="auto"/>
        </w:rPr>
        <w:t xml:space="preserve"> +</w:t>
      </w:r>
      <w:r>
        <w:rPr>
          <w:rFonts w:ascii="Arial" w:cs="Arial" w:eastAsia="Arial" w:hAnsi="Arial"/>
          <w:sz w:val="16"/>
          <w:szCs w:val="16"/>
          <w:color w:val="auto"/>
        </w:rPr>
        <w:t>securities on any conditions it decides.</w:t>
      </w:r>
    </w:p>
    <w:p>
      <w:pPr>
        <w:spacing w:after="0" w:line="15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w:t>
      </w:r>
      <w:r>
        <w:rPr>
          <w:rFonts w:ascii="Arial" w:cs="Arial" w:eastAsia="Arial" w:hAnsi="Arial"/>
          <w:sz w:val="16"/>
          <w:szCs w:val="16"/>
          <w:color w:val="auto"/>
        </w:rPr>
        <w:t>We warrant the following to ASX.</w:t>
      </w:r>
    </w:p>
    <w:p>
      <w:pPr>
        <w:spacing w:after="0" w:line="130" w:lineRule="exact"/>
        <w:rPr>
          <w:rFonts w:ascii="Arial" w:cs="Arial" w:eastAsia="Arial" w:hAnsi="Arial"/>
          <w:sz w:val="16"/>
          <w:szCs w:val="16"/>
          <w:color w:val="auto"/>
        </w:rPr>
      </w:pPr>
    </w:p>
    <w:p>
      <w:pPr>
        <w:ind w:left="980" w:hanging="54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issue of the </w:t>
      </w:r>
      <w:r>
        <w:rPr>
          <w:rFonts w:ascii="Arial" w:cs="Arial" w:eastAsia="Arial" w:hAnsi="Arial"/>
          <w:sz w:val="15"/>
          <w:szCs w:val="15"/>
          <w:color w:val="auto"/>
        </w:rPr>
        <w:t>+</w:t>
      </w:r>
      <w:r>
        <w:rPr>
          <w:rFonts w:ascii="Arial" w:cs="Arial" w:eastAsia="Arial" w:hAnsi="Arial"/>
          <w:sz w:val="18"/>
          <w:szCs w:val="18"/>
          <w:color w:val="auto"/>
        </w:rPr>
        <w:t>securities to be quoted complies with the law and is not for an illegal purpose.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There is no reason why those </w:t>
      </w:r>
      <w:r>
        <w:rPr>
          <w:rFonts w:ascii="Arial" w:cs="Arial" w:eastAsia="Arial" w:hAnsi="Arial"/>
          <w:sz w:val="15"/>
          <w:szCs w:val="15"/>
          <w:color w:val="auto"/>
        </w:rPr>
        <w:t>+</w:t>
      </w:r>
      <w:r>
        <w:rPr>
          <w:rFonts w:ascii="Arial" w:cs="Arial" w:eastAsia="Arial" w:hAnsi="Arial"/>
          <w:sz w:val="18"/>
          <w:szCs w:val="18"/>
          <w:color w:val="auto"/>
        </w:rPr>
        <w:t xml:space="preserve">securities should not be granted </w:t>
      </w:r>
      <w:r>
        <w:rPr>
          <w:rFonts w:ascii="Arial" w:cs="Arial" w:eastAsia="Arial" w:hAnsi="Arial"/>
          <w:sz w:val="15"/>
          <w:szCs w:val="15"/>
          <w:color w:val="auto"/>
        </w:rPr>
        <w:t>+</w:t>
      </w:r>
      <w:r>
        <w:rPr>
          <w:rFonts w:ascii="Arial" w:cs="Arial" w:eastAsia="Arial" w:hAnsi="Arial"/>
          <w:sz w:val="18"/>
          <w:szCs w:val="18"/>
          <w:color w:val="auto"/>
        </w:rPr>
        <w:t>quotation.</w:t>
      </w:r>
    </w:p>
    <w:p>
      <w:pPr>
        <w:sectPr>
          <w:pgSz w:w="11900" w:h="16838" w:orient="portrait"/>
          <w:cols w:equalWidth="0" w:num="1">
            <w:col w:w="10019"/>
          </w:cols>
          <w:pgMar w:left="440" w:top="274" w:right="1440" w:bottom="1440" w:gutter="0" w:footer="0" w:header="0"/>
        </w:sectPr>
      </w:pPr>
    </w:p>
    <w:bookmarkStart w:id="12" w:name="page13"/>
    <w:bookmarkEnd w:id="12"/>
    <w:p>
      <w:pPr>
        <w:ind w:left="980" w:right="180" w:hanging="54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 offer of the </w:t>
      </w:r>
      <w:r>
        <w:rPr>
          <w:rFonts w:ascii="Arial" w:cs="Arial" w:eastAsia="Arial" w:hAnsi="Arial"/>
          <w:sz w:val="15"/>
          <w:szCs w:val="15"/>
          <w:color w:val="auto"/>
        </w:rPr>
        <w:t>+</w:t>
      </w:r>
      <w:r>
        <w:rPr>
          <w:rFonts w:ascii="Arial" w:cs="Arial" w:eastAsia="Arial" w:hAnsi="Arial"/>
          <w:sz w:val="18"/>
          <w:szCs w:val="18"/>
          <w:color w:val="auto"/>
        </w:rPr>
        <w:t>securities for sale within 12 months after their issue will not require disclosure under section 707(3) or section 1012C(6) of the Corporations Act.</w:t>
      </w:r>
    </w:p>
    <w:p>
      <w:pPr>
        <w:spacing w:after="0" w:line="62"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7"/>
          <w:szCs w:val="17"/>
          <w:color w:val="auto"/>
        </w:rPr>
        <w:t>Note: An entity may need to obtain appropriate warranties from subscribers for the securities in order to be able to give this warranty</w:t>
      </w:r>
    </w:p>
    <w:p>
      <w:pPr>
        <w:spacing w:after="0" w:line="142" w:lineRule="exact"/>
        <w:rPr>
          <w:rFonts w:ascii="Arial" w:cs="Arial" w:eastAsia="Arial" w:hAnsi="Arial"/>
          <w:sz w:val="18"/>
          <w:szCs w:val="18"/>
          <w:color w:val="auto"/>
        </w:rPr>
      </w:pPr>
    </w:p>
    <w:p>
      <w:pPr>
        <w:jc w:val="both"/>
        <w:ind w:left="980" w:right="60" w:hanging="54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Section 724 or section 1016E of the Corporations Act does not apply to any applications received by us in relation to any </w:t>
      </w:r>
      <w:r>
        <w:rPr>
          <w:rFonts w:ascii="Arial" w:cs="Arial" w:eastAsia="Arial" w:hAnsi="Arial"/>
          <w:sz w:val="15"/>
          <w:szCs w:val="15"/>
          <w:color w:val="auto"/>
        </w:rPr>
        <w:t>+</w:t>
      </w:r>
      <w:r>
        <w:rPr>
          <w:rFonts w:ascii="Arial" w:cs="Arial" w:eastAsia="Arial" w:hAnsi="Arial"/>
          <w:sz w:val="18"/>
          <w:szCs w:val="18"/>
          <w:color w:val="auto"/>
        </w:rPr>
        <w:t xml:space="preserve">securities to be quoted and that no-one has any right to return any </w:t>
      </w:r>
      <w:r>
        <w:rPr>
          <w:rFonts w:ascii="Arial" w:cs="Arial" w:eastAsia="Arial" w:hAnsi="Arial"/>
          <w:sz w:val="15"/>
          <w:szCs w:val="15"/>
          <w:color w:val="auto"/>
        </w:rPr>
        <w:t>+</w:t>
      </w:r>
      <w:r>
        <w:rPr>
          <w:rFonts w:ascii="Arial" w:cs="Arial" w:eastAsia="Arial" w:hAnsi="Arial"/>
          <w:sz w:val="18"/>
          <w:szCs w:val="18"/>
          <w:color w:val="auto"/>
        </w:rPr>
        <w:t xml:space="preserve">securities to be quoted under sections 737, 738 or 1016F of the Corporations Act at the time that we request that the </w:t>
      </w:r>
      <w:r>
        <w:rPr>
          <w:rFonts w:ascii="Arial" w:cs="Arial" w:eastAsia="Arial" w:hAnsi="Arial"/>
          <w:sz w:val="15"/>
          <w:szCs w:val="15"/>
          <w:color w:val="auto"/>
        </w:rPr>
        <w:t>+</w:t>
      </w:r>
      <w:r>
        <w:rPr>
          <w:rFonts w:ascii="Arial" w:cs="Arial" w:eastAsia="Arial" w:hAnsi="Arial"/>
          <w:sz w:val="18"/>
          <w:szCs w:val="18"/>
          <w:color w:val="auto"/>
        </w:rPr>
        <w:t>securities be quoted.</w:t>
      </w:r>
    </w:p>
    <w:p>
      <w:pPr>
        <w:spacing w:after="0" w:line="86" w:lineRule="exact"/>
        <w:rPr>
          <w:rFonts w:ascii="Arial" w:cs="Arial" w:eastAsia="Arial" w:hAnsi="Arial"/>
          <w:sz w:val="18"/>
          <w:szCs w:val="18"/>
          <w:color w:val="auto"/>
        </w:rPr>
      </w:pPr>
    </w:p>
    <w:p>
      <w:pPr>
        <w:ind w:left="980" w:right="60" w:hanging="54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If we are a trust, we warrant that no person has the right to return the </w:t>
      </w:r>
      <w:r>
        <w:rPr>
          <w:rFonts w:ascii="Arial" w:cs="Arial" w:eastAsia="Arial" w:hAnsi="Arial"/>
          <w:sz w:val="15"/>
          <w:szCs w:val="15"/>
          <w:color w:val="auto"/>
        </w:rPr>
        <w:t>+</w:t>
      </w:r>
      <w:r>
        <w:rPr>
          <w:rFonts w:ascii="Arial" w:cs="Arial" w:eastAsia="Arial" w:hAnsi="Arial"/>
          <w:sz w:val="18"/>
          <w:szCs w:val="18"/>
          <w:color w:val="auto"/>
        </w:rPr>
        <w:t xml:space="preserve">securities to be quoted under section 1019B of the Corporations Act at the time that we request that the </w:t>
      </w:r>
      <w:r>
        <w:rPr>
          <w:rFonts w:ascii="Arial" w:cs="Arial" w:eastAsia="Arial" w:hAnsi="Arial"/>
          <w:sz w:val="15"/>
          <w:szCs w:val="15"/>
          <w:color w:val="auto"/>
        </w:rPr>
        <w:t>+</w:t>
      </w:r>
      <w:r>
        <w:rPr>
          <w:rFonts w:ascii="Arial" w:cs="Arial" w:eastAsia="Arial" w:hAnsi="Arial"/>
          <w:sz w:val="18"/>
          <w:szCs w:val="18"/>
          <w:color w:val="auto"/>
        </w:rPr>
        <w:t>securities be quoted.</w:t>
      </w:r>
    </w:p>
    <w:p>
      <w:pPr>
        <w:spacing w:after="0" w:line="76" w:lineRule="exact"/>
        <w:rPr>
          <w:sz w:val="20"/>
          <w:szCs w:val="20"/>
          <w:color w:val="auto"/>
        </w:rPr>
      </w:pPr>
    </w:p>
    <w:p>
      <w:pPr>
        <w:ind w:left="440" w:right="20" w:hanging="436"/>
        <w:spacing w:after="0" w:line="277"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indemnify ASX to the fullest extent permitted by law in respect of any claim, action or expense arising from or connected with any breach of the warranties in this agreement.</w:t>
      </w:r>
    </w:p>
    <w:p>
      <w:pPr>
        <w:spacing w:after="0" w:line="76" w:lineRule="exact"/>
        <w:rPr>
          <w:sz w:val="20"/>
          <w:szCs w:val="20"/>
          <w:color w:val="auto"/>
        </w:rPr>
      </w:pPr>
    </w:p>
    <w:p>
      <w:pPr>
        <w:ind w:left="440" w:right="20" w:hanging="436"/>
        <w:spacing w:after="0" w:line="264"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We give ASX the information and documents required by this form. If any information or document is not available now, we will give it to ASX before </w:t>
      </w:r>
      <w:r>
        <w:rPr>
          <w:rFonts w:ascii="Arial" w:cs="Arial" w:eastAsia="Arial" w:hAnsi="Arial"/>
          <w:sz w:val="15"/>
          <w:szCs w:val="15"/>
          <w:color w:val="auto"/>
        </w:rPr>
        <w:t>+</w:t>
      </w:r>
      <w:r>
        <w:rPr>
          <w:rFonts w:ascii="Arial" w:cs="Arial" w:eastAsia="Arial" w:hAnsi="Arial"/>
          <w:sz w:val="18"/>
          <w:szCs w:val="18"/>
          <w:color w:val="auto"/>
        </w:rPr>
        <w:t xml:space="preserve">quotation of the </w:t>
      </w:r>
      <w:r>
        <w:rPr>
          <w:rFonts w:ascii="Arial" w:cs="Arial" w:eastAsia="Arial" w:hAnsi="Arial"/>
          <w:sz w:val="15"/>
          <w:szCs w:val="15"/>
          <w:color w:val="auto"/>
        </w:rPr>
        <w:t>+</w:t>
      </w:r>
      <w:r>
        <w:rPr>
          <w:rFonts w:ascii="Arial" w:cs="Arial" w:eastAsia="Arial" w:hAnsi="Arial"/>
          <w:sz w:val="18"/>
          <w:szCs w:val="18"/>
          <w:color w:val="auto"/>
        </w:rPr>
        <w:t>securities begins. We acknowledge that ASX is relying on the information and documents. We warrant that they are (will be) true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40" w:type="dxa"/>
            <w:vAlign w:val="bottom"/>
          </w:tcPr>
          <w:p>
            <w:pPr>
              <w:spacing w:after="0"/>
              <w:rPr>
                <w:sz w:val="20"/>
                <w:szCs w:val="20"/>
                <w:color w:val="auto"/>
              </w:rPr>
            </w:pPr>
            <w:r>
              <w:rPr>
                <w:rFonts w:ascii="Arial" w:cs="Arial" w:eastAsia="Arial" w:hAnsi="Arial"/>
                <w:sz w:val="18"/>
                <w:szCs w:val="18"/>
                <w:color w:val="auto"/>
              </w:rPr>
              <w:t>Sign here:</w:t>
            </w:r>
          </w:p>
        </w:tc>
        <w:tc>
          <w:tcPr>
            <w:tcW w:w="1580" w:type="dxa"/>
            <w:vAlign w:val="bottom"/>
            <w:tcBorders>
              <w:bottom w:val="single" w:sz="8" w:color="auto"/>
            </w:tcBorders>
          </w:tcPr>
          <w:p>
            <w:pPr>
              <w:spacing w:after="0"/>
              <w:rPr>
                <w:sz w:val="19"/>
                <w:szCs w:val="19"/>
                <w:color w:val="auto"/>
              </w:rPr>
            </w:pPr>
          </w:p>
        </w:tc>
        <w:tc>
          <w:tcPr>
            <w:tcW w:w="5660" w:type="dxa"/>
            <w:vAlign w:val="bottom"/>
          </w:tcPr>
          <w:p>
            <w:pPr>
              <w:jc w:val="right"/>
              <w:spacing w:after="0"/>
              <w:rPr>
                <w:sz w:val="20"/>
                <w:szCs w:val="20"/>
                <w:color w:val="auto"/>
              </w:rPr>
            </w:pPr>
            <w:r>
              <w:rPr>
                <w:rFonts w:ascii="Arial" w:cs="Arial" w:eastAsia="Arial" w:hAnsi="Arial"/>
                <w:sz w:val="18"/>
                <w:szCs w:val="18"/>
                <w:color w:val="auto"/>
              </w:rPr>
              <w:t>Date: 3 December 2019</w:t>
            </w:r>
          </w:p>
        </w:tc>
      </w:tr>
      <w:tr>
        <w:trPr>
          <w:trHeight w:val="250"/>
        </w:trPr>
        <w:tc>
          <w:tcPr>
            <w:tcW w:w="144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(Company secretary)</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Print name:</w:t>
            </w:r>
          </w:p>
        </w:tc>
        <w:tc>
          <w:tcPr>
            <w:tcW w:w="7240" w:type="dxa"/>
            <w:vAlign w:val="bottom"/>
            <w:gridSpan w:val="2"/>
          </w:tcPr>
          <w:p>
            <w:pPr>
              <w:spacing w:after="0"/>
              <w:rPr>
                <w:sz w:val="20"/>
                <w:szCs w:val="20"/>
                <w:color w:val="auto"/>
              </w:rPr>
            </w:pPr>
            <w:r>
              <w:rPr>
                <w:rFonts w:ascii="Arial" w:cs="Arial" w:eastAsia="Arial" w:hAnsi="Arial"/>
                <w:sz w:val="18"/>
                <w:szCs w:val="18"/>
                <w:color w:val="auto"/>
              </w:rPr>
              <w:t>Mark Licciardo</w:t>
            </w:r>
          </w:p>
        </w:tc>
      </w:tr>
      <w:tr>
        <w:trPr>
          <w:trHeight w:val="432"/>
        </w:trPr>
        <w:tc>
          <w:tcPr>
            <w:tcW w:w="1440" w:type="dxa"/>
            <w:vAlign w:val="bottom"/>
          </w:tcPr>
          <w:p>
            <w:pPr>
              <w:spacing w:after="0"/>
              <w:rPr>
                <w:sz w:val="24"/>
                <w:szCs w:val="24"/>
                <w:color w:val="auto"/>
              </w:rPr>
            </w:pPr>
          </w:p>
        </w:tc>
        <w:tc>
          <w:tcPr>
            <w:tcW w:w="7240" w:type="dxa"/>
            <w:vAlign w:val="bottom"/>
            <w:gridSpan w:val="2"/>
          </w:tcPr>
          <w:p>
            <w:pPr>
              <w:jc w:val="right"/>
              <w:ind w:right="2470"/>
              <w:spacing w:after="0"/>
              <w:rPr>
                <w:sz w:val="20"/>
                <w:szCs w:val="20"/>
                <w:color w:val="auto"/>
              </w:rPr>
            </w:pPr>
            <w:r>
              <w:rPr>
                <w:rFonts w:ascii="Arial" w:cs="Arial" w:eastAsia="Arial" w:hAnsi="Arial"/>
                <w:sz w:val="18"/>
                <w:szCs w:val="18"/>
                <w:color w:val="auto"/>
              </w:rPr>
              <w:t>== == ==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63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158" w:lineRule="exact"/>
        <w:rPr>
          <w:sz w:val="20"/>
          <w:szCs w:val="20"/>
          <w:color w:val="auto"/>
        </w:rPr>
      </w:pPr>
    </w:p>
    <w:p>
      <w:pPr>
        <w:spacing w:after="0"/>
        <w:tabs>
          <w:tab w:leader="none" w:pos="9500" w:val="left"/>
        </w:tabs>
        <w:rPr>
          <w:sz w:val="20"/>
          <w:szCs w:val="20"/>
          <w:color w:val="auto"/>
        </w:rPr>
      </w:pPr>
      <w:r>
        <w:rPr>
          <w:rFonts w:ascii="Arial" w:cs="Arial" w:eastAsia="Arial" w:hAnsi="Arial"/>
          <w:sz w:val="16"/>
          <w:szCs w:val="16"/>
          <w:color w:val="auto"/>
        </w:rPr>
        <w:t>04/03/2013</w:t>
      </w:r>
      <w:r>
        <w:rPr>
          <w:sz w:val="20"/>
          <w:szCs w:val="20"/>
          <w:color w:val="auto"/>
        </w:rPr>
        <w:tab/>
      </w:r>
      <w:r>
        <w:rPr>
          <w:rFonts w:ascii="Arial" w:cs="Arial" w:eastAsia="Arial" w:hAnsi="Arial"/>
          <w:sz w:val="16"/>
          <w:szCs w:val="16"/>
          <w:color w:val="auto"/>
        </w:rPr>
        <w:t>Appendix 3B Page 9</w:t>
      </w:r>
    </w:p>
    <w:p>
      <w:pPr>
        <w:sectPr>
          <w:pgSz w:w="11900" w:h="16838" w:orient="portrait"/>
          <w:cols w:equalWidth="0" w:num="1">
            <w:col w:w="11020"/>
          </w:cols>
          <w:pgMar w:left="440" w:top="274" w:right="439" w:bottom="1440" w:gutter="0" w:footer="0" w:header="0"/>
        </w:sectPr>
      </w:pPr>
    </w:p>
    <w:bookmarkStart w:id="13" w:name="page14"/>
    <w:bookmarkEnd w:id="13"/>
    <w:p>
      <w:pPr>
        <w:ind w:left="4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3B – Annexure 1</w:t>
      </w:r>
    </w:p>
    <w:p>
      <w:pPr>
        <w:spacing w:after="0" w:line="225" w:lineRule="exact"/>
        <w:rPr>
          <w:sz w:val="20"/>
          <w:szCs w:val="20"/>
          <w:color w:val="auto"/>
        </w:rPr>
      </w:pPr>
    </w:p>
    <w:p>
      <w:pPr>
        <w:ind w:right="3719"/>
        <w:spacing w:after="0" w:line="407" w:lineRule="auto"/>
        <w:rPr>
          <w:sz w:val="20"/>
          <w:szCs w:val="20"/>
          <w:color w:val="auto"/>
        </w:rPr>
      </w:pPr>
      <w:r>
        <w:rPr>
          <w:rFonts w:ascii="Arial" w:cs="Arial" w:eastAsia="Arial" w:hAnsi="Arial"/>
          <w:sz w:val="18"/>
          <w:szCs w:val="18"/>
          <w:b w:val="1"/>
          <w:bCs w:val="1"/>
          <w:color w:val="auto"/>
        </w:rPr>
        <w:t xml:space="preserve">Calculation of placement capacity under rule 7.1 and rule 7.1A for eligible entities </w:t>
      </w:r>
      <w:r>
        <w:rPr>
          <w:rFonts w:ascii="Arial" w:cs="Arial" w:eastAsia="Arial" w:hAnsi="Arial"/>
          <w:sz w:val="18"/>
          <w:szCs w:val="18"/>
          <w:color w:val="auto"/>
        </w:rPr>
        <w:t>Introduced 01/08/12 Amended 04/03/13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Rule 7.1 – Issues exceeding 15% of capital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Calculate “A”, the base figure from which the placement capacity is calculated</w:t>
      </w:r>
    </w:p>
    <w:p>
      <w:pPr>
        <w:spacing w:after="0" w:line="117" w:lineRule="exact"/>
        <w:rPr>
          <w:sz w:val="20"/>
          <w:szCs w:val="20"/>
          <w:color w:val="auto"/>
        </w:rPr>
      </w:pPr>
    </w:p>
    <w:p>
      <w:pPr>
        <w:ind w:right="2579"/>
        <w:spacing w:after="0" w:line="277" w:lineRule="auto"/>
        <w:rPr>
          <w:sz w:val="20"/>
          <w:szCs w:val="20"/>
          <w:color w:val="auto"/>
        </w:rPr>
      </w:pPr>
      <w:r>
        <w:rPr>
          <w:rFonts w:ascii="Arial" w:cs="Arial" w:eastAsia="Arial" w:hAnsi="Arial"/>
          <w:sz w:val="18"/>
          <w:szCs w:val="18"/>
          <w:b w:val="1"/>
          <w:bCs w:val="1"/>
          <w:i w:val="1"/>
          <w:iCs w:val="1"/>
          <w:color w:val="auto"/>
        </w:rPr>
        <w:t xml:space="preserve">Insert </w:t>
      </w:r>
      <w:r>
        <w:rPr>
          <w:rFonts w:ascii="Arial" w:cs="Arial" w:eastAsia="Arial" w:hAnsi="Arial"/>
          <w:sz w:val="18"/>
          <w:szCs w:val="18"/>
          <w:color w:val="auto"/>
        </w:rPr>
        <w:t>number of fully paid</w:t>
      </w:r>
      <w:r>
        <w:rPr>
          <w:rFonts w:ascii="Arial" w:cs="Arial" w:eastAsia="Arial" w:hAnsi="Arial"/>
          <w:sz w:val="18"/>
          <w:szCs w:val="18"/>
          <w:b w:val="1"/>
          <w:bCs w:val="1"/>
          <w:i w:val="1"/>
          <w:iCs w:val="1"/>
          <w:color w:val="auto"/>
        </w:rPr>
        <w:t xml:space="preserve"> </w:t>
      </w:r>
      <w:r>
        <w:rPr>
          <w:rFonts w:ascii="Arial" w:cs="Arial" w:eastAsia="Arial" w:hAnsi="Arial"/>
          <w:sz w:val="15"/>
          <w:szCs w:val="15"/>
          <w:color w:val="auto"/>
        </w:rPr>
        <w:t>+</w:t>
      </w:r>
      <w:r>
        <w:rPr>
          <w:rFonts w:ascii="Arial" w:cs="Arial" w:eastAsia="Arial" w:hAnsi="Arial"/>
          <w:sz w:val="18"/>
          <w:szCs w:val="18"/>
          <w:color w:val="auto"/>
        </w:rPr>
        <w:t>ordinary securities on issue 12 months before the</w:t>
      </w:r>
      <w:r>
        <w:rPr>
          <w:rFonts w:ascii="Arial" w:cs="Arial" w:eastAsia="Arial" w:hAnsi="Arial"/>
          <w:sz w:val="18"/>
          <w:szCs w:val="18"/>
          <w:b w:val="1"/>
          <w:bCs w:val="1"/>
          <w:i w:val="1"/>
          <w:iCs w:val="1"/>
          <w:color w:val="auto"/>
        </w:rPr>
        <w:t xml:space="preserve"> </w:t>
      </w:r>
      <w:r>
        <w:rPr>
          <w:rFonts w:ascii="Arial" w:cs="Arial" w:eastAsia="Arial" w:hAnsi="Arial"/>
          <w:sz w:val="15"/>
          <w:szCs w:val="15"/>
          <w:color w:val="auto"/>
        </w:rPr>
        <w:t>+</w:t>
      </w:r>
      <w:r>
        <w:rPr>
          <w:rFonts w:ascii="Arial" w:cs="Arial" w:eastAsia="Arial" w:hAnsi="Arial"/>
          <w:sz w:val="18"/>
          <w:szCs w:val="18"/>
          <w:color w:val="auto"/>
        </w:rPr>
        <w:t>issue 1,342,378,325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or date of agreement to issue</w:t>
      </w:r>
    </w:p>
    <w:p>
      <w:pPr>
        <w:sectPr>
          <w:pgSz w:w="11900" w:h="16838" w:orient="portrait"/>
          <w:cols w:equalWidth="0" w:num="1">
            <w:col w:w="10019"/>
          </w:cols>
          <w:pgMar w:left="440" w:top="270" w:right="1440"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the following:</w:t>
      </w:r>
    </w:p>
    <w:p>
      <w:pPr>
        <w:spacing w:after="0" w:line="131" w:lineRule="exact"/>
        <w:rPr>
          <w:sz w:val="20"/>
          <w:szCs w:val="20"/>
          <w:color w:val="auto"/>
        </w:rPr>
      </w:pPr>
    </w:p>
    <w:p>
      <w:pPr>
        <w:ind w:left="360" w:hanging="356"/>
        <w:spacing w:after="0" w:line="277" w:lineRule="auto"/>
        <w:tabs>
          <w:tab w:leader="none" w:pos="3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Number of fully paid </w:t>
      </w:r>
      <w:r>
        <w:rPr>
          <w:rFonts w:ascii="Arial" w:cs="Arial" w:eastAsia="Arial" w:hAnsi="Arial"/>
          <w:sz w:val="15"/>
          <w:szCs w:val="15"/>
          <w:color w:val="auto"/>
        </w:rPr>
        <w:t>+</w:t>
      </w:r>
      <w:r>
        <w:rPr>
          <w:rFonts w:ascii="Arial" w:cs="Arial" w:eastAsia="Arial" w:hAnsi="Arial"/>
          <w:sz w:val="18"/>
          <w:szCs w:val="18"/>
          <w:color w:val="auto"/>
        </w:rPr>
        <w:t>ordinary securities issued in that 12 month period under an exception in rule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right="80" w:hanging="356"/>
        <w:spacing w:after="0" w:line="277" w:lineRule="auto"/>
        <w:tabs>
          <w:tab w:leader="none" w:pos="3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Number of fully paid </w:t>
      </w:r>
      <w:r>
        <w:rPr>
          <w:rFonts w:ascii="Arial" w:cs="Arial" w:eastAsia="Arial" w:hAnsi="Arial"/>
          <w:sz w:val="15"/>
          <w:szCs w:val="15"/>
          <w:color w:val="auto"/>
        </w:rPr>
        <w:t>+</w:t>
      </w:r>
      <w:r>
        <w:rPr>
          <w:rFonts w:ascii="Arial" w:cs="Arial" w:eastAsia="Arial" w:hAnsi="Arial"/>
          <w:sz w:val="18"/>
          <w:szCs w:val="18"/>
          <w:color w:val="auto"/>
        </w:rPr>
        <w:t>ordinary securities issued in that 12 month period with shareholder approval</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22,061,250 – 11/01/2019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258,799 – 03/04/2019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851,201 – 15/05/2019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300,000 – 21/05/2019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700,000 – 27/05/2019</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1,500,000 – 31/05/2019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1,500,000 – 03/06/2019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1,750,000 – 27/06/2019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1,524,328 – 01/08/2019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60,933 – 23/08/2019</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36,111,110 – 12/11/2019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3,740,000 – 14/11/2019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1,300,000 – 18/11/2019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12,500 – 28/11/2019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12,500 – 03/11/2019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71,682,621</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186,028,209 – 10/12/2018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124,018,806 – 10/12/2018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189,952,985 – 18/01/2019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500,000,000</w:t>
      </w:r>
    </w:p>
    <w:p>
      <w:pPr>
        <w:sectPr>
          <w:pgSz w:w="11900" w:h="16838" w:orient="portrait"/>
          <w:cols w:equalWidth="0" w:num="2">
            <w:col w:w="6020" w:space="380"/>
            <w:col w:w="3619"/>
          </w:cols>
          <w:pgMar w:left="440" w:top="27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5"/>
        <w:spacing w:after="0" w:line="277" w:lineRule="auto"/>
        <w:rPr>
          <w:sz w:val="20"/>
          <w:szCs w:val="20"/>
          <w:color w:val="auto"/>
        </w:rPr>
      </w:pPr>
      <w:r>
        <w:rPr>
          <w:rFonts w:ascii="Arial" w:cs="Arial" w:eastAsia="Arial" w:hAnsi="Arial"/>
          <w:sz w:val="18"/>
          <w:szCs w:val="18"/>
          <w:color w:val="auto"/>
        </w:rPr>
        <w:t xml:space="preserve">Number of partly paid </w:t>
      </w:r>
      <w:r>
        <w:rPr>
          <w:rFonts w:ascii="Arial" w:cs="Arial" w:eastAsia="Arial" w:hAnsi="Arial"/>
          <w:sz w:val="15"/>
          <w:szCs w:val="15"/>
          <w:color w:val="auto"/>
        </w:rPr>
        <w:t>+</w:t>
      </w:r>
      <w:r>
        <w:rPr>
          <w:rFonts w:ascii="Arial" w:cs="Arial" w:eastAsia="Arial" w:hAnsi="Arial"/>
          <w:sz w:val="18"/>
          <w:szCs w:val="18"/>
          <w:color w:val="auto"/>
        </w:rPr>
        <w:t>ordinary securities that became fully paid in that 12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-387985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Nil</w:t>
      </w:r>
    </w:p>
    <w:p>
      <w:pPr>
        <w:spacing w:after="0" w:line="470" w:lineRule="exact"/>
        <w:rPr>
          <w:sz w:val="20"/>
          <w:szCs w:val="20"/>
          <w:color w:val="auto"/>
        </w:rPr>
      </w:pPr>
    </w:p>
    <w:p>
      <w:pPr>
        <w:sectPr>
          <w:pgSz w:w="11900" w:h="16838" w:orient="portrait"/>
          <w:cols w:equalWidth="0" w:num="3">
            <w:col w:w="60" w:space="300"/>
            <w:col w:w="5200" w:space="180"/>
            <w:col w:w="5280"/>
          </w:cols>
          <w:pgMar w:left="440" w:top="274" w:right="4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131" w:lineRule="exact"/>
        <w:rPr>
          <w:sz w:val="20"/>
          <w:szCs w:val="20"/>
          <w:color w:val="auto"/>
        </w:rPr>
      </w:pPr>
    </w:p>
    <w:p>
      <w:pPr>
        <w:ind w:left="360" w:right="5500" w:hanging="356"/>
        <w:spacing w:after="0" w:line="277" w:lineRule="auto"/>
        <w:tabs>
          <w:tab w:leader="none" w:pos="3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Include only ordinary securities here – other classes of equity securities cannot be added</w:t>
      </w:r>
    </w:p>
    <w:p>
      <w:pPr>
        <w:spacing w:after="0" w:line="75" w:lineRule="exact"/>
        <w:rPr>
          <w:rFonts w:ascii="Arial" w:cs="Arial" w:eastAsia="Arial" w:hAnsi="Arial"/>
          <w:sz w:val="18"/>
          <w:szCs w:val="18"/>
          <w:color w:val="auto"/>
        </w:rPr>
      </w:pPr>
    </w:p>
    <w:p>
      <w:pPr>
        <w:ind w:left="360" w:right="5460" w:hanging="356"/>
        <w:spacing w:after="0" w:line="277" w:lineRule="auto"/>
        <w:tabs>
          <w:tab w:leader="none" w:pos="3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Include here (if applicable) the securities the subject of the Appendix 3B to which this form is annexed</w:t>
      </w:r>
    </w:p>
    <w:p>
      <w:pPr>
        <w:spacing w:after="0" w:line="75" w:lineRule="exact"/>
        <w:rPr>
          <w:rFonts w:ascii="Arial" w:cs="Arial" w:eastAsia="Arial" w:hAnsi="Arial"/>
          <w:sz w:val="18"/>
          <w:szCs w:val="18"/>
          <w:color w:val="auto"/>
        </w:rPr>
      </w:pPr>
    </w:p>
    <w:p>
      <w:pPr>
        <w:ind w:left="360" w:right="5920" w:hanging="356"/>
        <w:spacing w:after="0" w:line="277" w:lineRule="auto"/>
        <w:tabs>
          <w:tab w:leader="none" w:pos="3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It may be useful to set out issues of securities on different dates as separate line items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w w:val="93"/>
              </w:rPr>
              <w:t xml:space="preserve">Subtract </w:t>
            </w:r>
            <w:r>
              <w:rPr>
                <w:rFonts w:ascii="Arial" w:cs="Arial" w:eastAsia="Arial" w:hAnsi="Arial"/>
                <w:sz w:val="18"/>
                <w:szCs w:val="18"/>
                <w:color w:val="auto"/>
                <w:w w:val="93"/>
              </w:rPr>
              <w:t>the number of fully paid</w:t>
            </w:r>
            <w:r>
              <w:rPr>
                <w:rFonts w:ascii="Arial" w:cs="Arial" w:eastAsia="Arial" w:hAnsi="Arial"/>
                <w:sz w:val="18"/>
                <w:szCs w:val="18"/>
                <w:b w:val="1"/>
                <w:bCs w:val="1"/>
                <w:i w:val="1"/>
                <w:iCs w:val="1"/>
                <w:color w:val="auto"/>
                <w:w w:val="93"/>
              </w:rPr>
              <w:t xml:space="preserve"> </w:t>
            </w:r>
            <w:r>
              <w:rPr>
                <w:rFonts w:ascii="Arial" w:cs="Arial" w:eastAsia="Arial" w:hAnsi="Arial"/>
                <w:sz w:val="15"/>
                <w:szCs w:val="15"/>
                <w:color w:val="auto"/>
                <w:w w:val="93"/>
              </w:rPr>
              <w:t>+</w:t>
            </w:r>
            <w:r>
              <w:rPr>
                <w:rFonts w:ascii="Arial" w:cs="Arial" w:eastAsia="Arial" w:hAnsi="Arial"/>
                <w:sz w:val="18"/>
                <w:szCs w:val="18"/>
                <w:color w:val="auto"/>
                <w:w w:val="93"/>
              </w:rPr>
              <w:t>ordinary securities cancelled during that</w:t>
            </w:r>
          </w:p>
        </w:tc>
        <w:tc>
          <w:tcPr>
            <w:tcW w:w="2820" w:type="dxa"/>
            <w:vAlign w:val="bottom"/>
          </w:tcPr>
          <w:p>
            <w:pPr>
              <w:ind w:left="140"/>
              <w:spacing w:after="0"/>
              <w:rPr>
                <w:sz w:val="20"/>
                <w:szCs w:val="20"/>
                <w:color w:val="auto"/>
              </w:rPr>
            </w:pPr>
            <w:r>
              <w:rPr>
                <w:rFonts w:ascii="Arial" w:cs="Arial" w:eastAsia="Arial" w:hAnsi="Arial"/>
                <w:sz w:val="18"/>
                <w:szCs w:val="18"/>
                <w:color w:val="auto"/>
              </w:rPr>
              <w:t>Nil</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12 month period</w:t>
            </w:r>
          </w:p>
        </w:tc>
        <w:tc>
          <w:tcPr>
            <w:tcW w:w="2820" w:type="dxa"/>
            <w:vAlign w:val="bottom"/>
          </w:tcPr>
          <w:p>
            <w:pPr>
              <w:spacing w:after="0"/>
              <w:rPr>
                <w:sz w:val="20"/>
                <w:szCs w:val="20"/>
                <w:color w:val="auto"/>
              </w:rPr>
            </w:pPr>
          </w:p>
        </w:tc>
      </w:tr>
      <w:tr>
        <w:trPr>
          <w:trHeight w:val="324"/>
        </w:trPr>
        <w:tc>
          <w:tcPr>
            <w:tcW w:w="5600" w:type="dxa"/>
            <w:vAlign w:val="bottom"/>
          </w:tcPr>
          <w:p>
            <w:pPr>
              <w:spacing w:after="0"/>
              <w:rPr>
                <w:sz w:val="20"/>
                <w:szCs w:val="20"/>
                <w:color w:val="auto"/>
              </w:rPr>
            </w:pPr>
            <w:r>
              <w:rPr>
                <w:rFonts w:ascii="Arial" w:cs="Arial" w:eastAsia="Arial" w:hAnsi="Arial"/>
                <w:sz w:val="18"/>
                <w:szCs w:val="18"/>
                <w:b w:val="1"/>
                <w:bCs w:val="1"/>
                <w:color w:val="auto"/>
              </w:rPr>
              <w:t>“A”</w:t>
            </w:r>
          </w:p>
        </w:tc>
        <w:tc>
          <w:tcPr>
            <w:tcW w:w="2820" w:type="dxa"/>
            <w:vAlign w:val="bottom"/>
          </w:tcPr>
          <w:p>
            <w:pPr>
              <w:ind w:left="140"/>
              <w:spacing w:after="0"/>
              <w:rPr>
                <w:sz w:val="20"/>
                <w:szCs w:val="20"/>
                <w:color w:val="auto"/>
              </w:rPr>
            </w:pPr>
            <w:r>
              <w:rPr>
                <w:rFonts w:ascii="Arial" w:cs="Arial" w:eastAsia="Arial" w:hAnsi="Arial"/>
                <w:sz w:val="18"/>
                <w:szCs w:val="18"/>
                <w:color w:val="auto"/>
              </w:rPr>
              <w:t>1,914,060,946</w:t>
            </w:r>
          </w:p>
        </w:tc>
      </w:tr>
      <w:tr>
        <w:trPr>
          <w:trHeight w:val="432"/>
        </w:trPr>
        <w:tc>
          <w:tcPr>
            <w:tcW w:w="5600" w:type="dxa"/>
            <w:vAlign w:val="bottom"/>
          </w:tcPr>
          <w:p>
            <w:pPr>
              <w:spacing w:after="0"/>
              <w:rPr>
                <w:sz w:val="20"/>
                <w:szCs w:val="20"/>
                <w:color w:val="auto"/>
              </w:rPr>
            </w:pPr>
            <w:r>
              <w:rPr>
                <w:rFonts w:ascii="Arial" w:cs="Arial" w:eastAsia="Arial" w:hAnsi="Arial"/>
                <w:sz w:val="18"/>
                <w:szCs w:val="18"/>
                <w:b w:val="1"/>
                <w:bCs w:val="1"/>
                <w:color w:val="auto"/>
              </w:rPr>
              <w:t>Step 2: Calculate 15% of “A”</w:t>
            </w:r>
          </w:p>
        </w:tc>
        <w:tc>
          <w:tcPr>
            <w:tcW w:w="2820" w:type="dxa"/>
            <w:vAlign w:val="bottom"/>
          </w:tcPr>
          <w:p>
            <w:pPr>
              <w:spacing w:after="0"/>
              <w:rPr>
                <w:sz w:val="24"/>
                <w:szCs w:val="24"/>
                <w:color w:val="auto"/>
              </w:rPr>
            </w:pPr>
          </w:p>
        </w:tc>
      </w:tr>
      <w:tr>
        <w:trPr>
          <w:trHeight w:val="324"/>
        </w:trPr>
        <w:tc>
          <w:tcPr>
            <w:tcW w:w="5600" w:type="dxa"/>
            <w:vAlign w:val="bottom"/>
          </w:tcPr>
          <w:p>
            <w:pPr>
              <w:spacing w:after="0"/>
              <w:rPr>
                <w:sz w:val="20"/>
                <w:szCs w:val="20"/>
                <w:color w:val="auto"/>
              </w:rPr>
            </w:pPr>
            <w:r>
              <w:rPr>
                <w:rFonts w:ascii="Arial" w:cs="Arial" w:eastAsia="Arial" w:hAnsi="Arial"/>
                <w:sz w:val="18"/>
                <w:szCs w:val="18"/>
                <w:b w:val="1"/>
                <w:bCs w:val="1"/>
                <w:color w:val="auto"/>
              </w:rPr>
              <w:t>“B”</w:t>
            </w:r>
          </w:p>
        </w:tc>
        <w:tc>
          <w:tcPr>
            <w:tcW w:w="2820" w:type="dxa"/>
            <w:vAlign w:val="bottom"/>
          </w:tcPr>
          <w:p>
            <w:pPr>
              <w:ind w:left="140"/>
              <w:spacing w:after="0"/>
              <w:rPr>
                <w:sz w:val="20"/>
                <w:szCs w:val="20"/>
                <w:color w:val="auto"/>
              </w:rPr>
            </w:pPr>
            <w:r>
              <w:rPr>
                <w:rFonts w:ascii="Arial" w:cs="Arial" w:eastAsia="Arial" w:hAnsi="Arial"/>
                <w:sz w:val="18"/>
                <w:szCs w:val="18"/>
                <w:color w:val="auto"/>
              </w:rPr>
              <w:t>0.15</w:t>
            </w:r>
          </w:p>
        </w:tc>
      </w:tr>
      <w:tr>
        <w:trPr>
          <w:trHeight w:val="338"/>
        </w:trPr>
        <w:tc>
          <w:tcPr>
            <w:tcW w:w="5600" w:type="dxa"/>
            <w:vAlign w:val="bottom"/>
          </w:tcPr>
          <w:p>
            <w:pPr>
              <w:spacing w:after="0"/>
              <w:rPr>
                <w:sz w:val="24"/>
                <w:szCs w:val="24"/>
                <w:color w:val="auto"/>
              </w:rPr>
            </w:pPr>
          </w:p>
        </w:tc>
        <w:tc>
          <w:tcPr>
            <w:tcW w:w="2820" w:type="dxa"/>
            <w:vAlign w:val="bottom"/>
          </w:tcPr>
          <w:p>
            <w:pPr>
              <w:ind w:left="140"/>
              <w:spacing w:after="0"/>
              <w:rPr>
                <w:sz w:val="20"/>
                <w:szCs w:val="20"/>
                <w:color w:val="auto"/>
              </w:rPr>
            </w:pPr>
            <w:r>
              <w:rPr>
                <w:rFonts w:ascii="Arial" w:cs="Arial" w:eastAsia="Arial" w:hAnsi="Arial"/>
                <w:sz w:val="18"/>
                <w:szCs w:val="18"/>
                <w:i w:val="1"/>
                <w:iCs w:val="1"/>
                <w:color w:val="auto"/>
                <w:w w:val="91"/>
              </w:rPr>
              <w:t>[Note: this value cannot be changed]</w:t>
            </w:r>
          </w:p>
        </w:tc>
      </w:tr>
      <w:tr>
        <w:trPr>
          <w:trHeight w:val="338"/>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Multiply </w:t>
            </w:r>
            <w:r>
              <w:rPr>
                <w:rFonts w:ascii="Arial" w:cs="Arial" w:eastAsia="Arial" w:hAnsi="Arial"/>
                <w:sz w:val="18"/>
                <w:szCs w:val="18"/>
                <w:color w:val="auto"/>
              </w:rPr>
              <w:t>“A” by 0.15</w:t>
            </w:r>
          </w:p>
        </w:tc>
        <w:tc>
          <w:tcPr>
            <w:tcW w:w="2820" w:type="dxa"/>
            <w:vAlign w:val="bottom"/>
          </w:tcPr>
          <w:p>
            <w:pPr>
              <w:ind w:left="140"/>
              <w:spacing w:after="0"/>
              <w:rPr>
                <w:sz w:val="20"/>
                <w:szCs w:val="20"/>
                <w:color w:val="auto"/>
              </w:rPr>
            </w:pPr>
            <w:r>
              <w:rPr>
                <w:rFonts w:ascii="Arial" w:cs="Arial" w:eastAsia="Arial" w:hAnsi="Arial"/>
                <w:sz w:val="18"/>
                <w:szCs w:val="18"/>
                <w:color w:val="auto"/>
              </w:rPr>
              <w:t>287,109,142</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Calculate “C”, the amount of placement capacity under rule 7.1 that has already been used</w:t>
      </w:r>
    </w:p>
    <w:p>
      <w:pPr>
        <w:spacing w:after="0" w:line="117" w:lineRule="exact"/>
        <w:rPr>
          <w:sz w:val="20"/>
          <w:szCs w:val="20"/>
          <w:color w:val="auto"/>
        </w:rPr>
      </w:pPr>
    </w:p>
    <w:p>
      <w:pPr>
        <w:ind w:right="3380"/>
        <w:spacing w:after="0" w:line="277" w:lineRule="auto"/>
        <w:rPr>
          <w:sz w:val="20"/>
          <w:szCs w:val="20"/>
          <w:color w:val="auto"/>
        </w:rPr>
      </w:pPr>
      <w:r>
        <w:rPr>
          <w:rFonts w:ascii="Arial" w:cs="Arial" w:eastAsia="Arial" w:hAnsi="Arial"/>
          <w:sz w:val="18"/>
          <w:szCs w:val="18"/>
          <w:b w:val="1"/>
          <w:bCs w:val="1"/>
          <w:i w:val="1"/>
          <w:iCs w:val="1"/>
          <w:color w:val="auto"/>
        </w:rPr>
        <w:t xml:space="preserve">Insert </w:t>
      </w:r>
      <w:r>
        <w:rPr>
          <w:rFonts w:ascii="Arial" w:cs="Arial" w:eastAsia="Arial" w:hAnsi="Arial"/>
          <w:sz w:val="18"/>
          <w:szCs w:val="18"/>
          <w:color w:val="auto"/>
        </w:rPr>
        <w:t>number of</w:t>
      </w:r>
      <w:r>
        <w:rPr>
          <w:rFonts w:ascii="Arial" w:cs="Arial" w:eastAsia="Arial" w:hAnsi="Arial"/>
          <w:sz w:val="18"/>
          <w:szCs w:val="18"/>
          <w:b w:val="1"/>
          <w:bCs w:val="1"/>
          <w:i w:val="1"/>
          <w:iCs w:val="1"/>
          <w:color w:val="auto"/>
        </w:rPr>
        <w:t xml:space="preserve"> </w:t>
      </w:r>
      <w:r>
        <w:rPr>
          <w:rFonts w:ascii="Arial" w:cs="Arial" w:eastAsia="Arial" w:hAnsi="Arial"/>
          <w:sz w:val="15"/>
          <w:szCs w:val="15"/>
          <w:color w:val="auto"/>
        </w:rPr>
        <w:t>+</w:t>
      </w:r>
      <w:r>
        <w:rPr>
          <w:rFonts w:ascii="Arial" w:cs="Arial" w:eastAsia="Arial" w:hAnsi="Arial"/>
          <w:sz w:val="18"/>
          <w:szCs w:val="18"/>
          <w:color w:val="auto"/>
        </w:rPr>
        <w:t>equity securities issued or agreed to be issued in that 12 203,389,831 – 20/11/2019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 period </w:t>
      </w:r>
      <w:r>
        <w:rPr>
          <w:rFonts w:ascii="Arial" w:cs="Arial" w:eastAsia="Arial" w:hAnsi="Arial"/>
          <w:sz w:val="18"/>
          <w:szCs w:val="18"/>
          <w:i w:val="1"/>
          <w:iCs w:val="1"/>
          <w:color w:val="auto"/>
        </w:rPr>
        <w:t>not counting</w:t>
      </w:r>
      <w:r>
        <w:rPr>
          <w:rFonts w:ascii="Arial" w:cs="Arial" w:eastAsia="Arial" w:hAnsi="Arial"/>
          <w:sz w:val="18"/>
          <w:szCs w:val="18"/>
          <w:color w:val="auto"/>
        </w:rPr>
        <w:t xml:space="preserve"> those issued:</w:t>
      </w:r>
    </w:p>
    <w:p>
      <w:pPr>
        <w:spacing w:after="0" w:line="76" w:lineRule="exact"/>
        <w:rPr>
          <w:sz w:val="20"/>
          <w:szCs w:val="20"/>
          <w:color w:val="auto"/>
        </w:rPr>
      </w:pPr>
    </w:p>
    <w:p>
      <w:pPr>
        <w:ind w:left="340" w:hanging="33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an exception in rule 7.2</w:t>
      </w:r>
    </w:p>
    <w:p>
      <w:pPr>
        <w:spacing w:after="0" w:line="130" w:lineRule="exact"/>
        <w:rPr>
          <w:rFonts w:ascii="Arial" w:cs="Arial" w:eastAsia="Arial" w:hAnsi="Arial"/>
          <w:sz w:val="18"/>
          <w:szCs w:val="18"/>
          <w:color w:val="auto"/>
        </w:rPr>
      </w:pPr>
    </w:p>
    <w:p>
      <w:pPr>
        <w:ind w:left="340" w:hanging="33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rule 7.1A</w:t>
      </w:r>
    </w:p>
    <w:p>
      <w:pPr>
        <w:spacing w:after="0" w:line="130" w:lineRule="exact"/>
        <w:rPr>
          <w:rFonts w:ascii="Arial" w:cs="Arial" w:eastAsia="Arial" w:hAnsi="Arial"/>
          <w:sz w:val="18"/>
          <w:szCs w:val="18"/>
          <w:color w:val="auto"/>
        </w:rPr>
      </w:pPr>
    </w:p>
    <w:p>
      <w:pPr>
        <w:ind w:left="340" w:hanging="33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security holder approval under rule 7.1 or rule 7.4</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131" w:lineRule="exact"/>
        <w:rPr>
          <w:sz w:val="20"/>
          <w:szCs w:val="20"/>
          <w:color w:val="auto"/>
        </w:rPr>
      </w:pPr>
    </w:p>
    <w:p>
      <w:pPr>
        <w:ind w:left="360" w:right="5580" w:hanging="356"/>
        <w:spacing w:after="0" w:line="277" w:lineRule="auto"/>
        <w:tabs>
          <w:tab w:leader="none" w:pos="34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This applies to equity securities, unless specifically excluded – not just ordinary securities</w:t>
      </w:r>
    </w:p>
    <w:p>
      <w:pPr>
        <w:spacing w:after="0" w:line="75" w:lineRule="exact"/>
        <w:rPr>
          <w:rFonts w:ascii="Arial" w:cs="Arial" w:eastAsia="Arial" w:hAnsi="Arial"/>
          <w:sz w:val="18"/>
          <w:szCs w:val="18"/>
          <w:color w:val="auto"/>
        </w:rPr>
      </w:pPr>
    </w:p>
    <w:p>
      <w:pPr>
        <w:ind w:left="360" w:right="5460" w:hanging="356"/>
        <w:spacing w:after="0" w:line="277" w:lineRule="auto"/>
        <w:tabs>
          <w:tab w:leader="none" w:pos="34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Include here (if applicable) the securities the subject of the Appendix 3B to which this form is annexed</w:t>
      </w:r>
    </w:p>
    <w:p>
      <w:pPr>
        <w:spacing w:after="0" w:line="75" w:lineRule="exact"/>
        <w:rPr>
          <w:rFonts w:ascii="Arial" w:cs="Arial" w:eastAsia="Arial" w:hAnsi="Arial"/>
          <w:sz w:val="18"/>
          <w:szCs w:val="18"/>
          <w:color w:val="auto"/>
        </w:rPr>
      </w:pPr>
    </w:p>
    <w:p>
      <w:pPr>
        <w:ind w:left="360" w:right="5920" w:hanging="356"/>
        <w:spacing w:after="0" w:line="277" w:lineRule="auto"/>
        <w:tabs>
          <w:tab w:leader="none" w:pos="34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It may be useful to set out issues of securities on different dates as separate line items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“C”</w:t>
            </w:r>
          </w:p>
        </w:tc>
        <w:tc>
          <w:tcPr>
            <w:tcW w:w="3620" w:type="dxa"/>
            <w:vAlign w:val="bottom"/>
          </w:tcPr>
          <w:p>
            <w:pPr>
              <w:jc w:val="right"/>
              <w:spacing w:after="0"/>
              <w:rPr>
                <w:sz w:val="20"/>
                <w:szCs w:val="20"/>
                <w:color w:val="auto"/>
              </w:rPr>
            </w:pPr>
            <w:r>
              <w:rPr>
                <w:rFonts w:ascii="Arial" w:cs="Arial" w:eastAsia="Arial" w:hAnsi="Arial"/>
                <w:sz w:val="18"/>
                <w:szCs w:val="18"/>
                <w:color w:val="auto"/>
              </w:rPr>
              <w:t>203,389,831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158" w:lineRule="exact"/>
        <w:rPr>
          <w:sz w:val="20"/>
          <w:szCs w:val="20"/>
          <w:color w:val="auto"/>
        </w:rPr>
      </w:pPr>
    </w:p>
    <w:p>
      <w:pPr>
        <w:spacing w:after="0"/>
        <w:tabs>
          <w:tab w:leader="none" w:pos="9420" w:val="left"/>
        </w:tabs>
        <w:rPr>
          <w:sz w:val="20"/>
          <w:szCs w:val="20"/>
          <w:color w:val="auto"/>
        </w:rPr>
      </w:pPr>
      <w:r>
        <w:rPr>
          <w:rFonts w:ascii="Arial" w:cs="Arial" w:eastAsia="Arial" w:hAnsi="Arial"/>
          <w:sz w:val="16"/>
          <w:szCs w:val="16"/>
          <w:color w:val="auto"/>
        </w:rPr>
        <w:t>04/03/2013</w:t>
      </w:r>
      <w:r>
        <w:rPr>
          <w:sz w:val="20"/>
          <w:szCs w:val="20"/>
          <w:color w:val="auto"/>
        </w:rPr>
        <w:tab/>
      </w:r>
      <w:r>
        <w:rPr>
          <w:rFonts w:ascii="Arial" w:cs="Arial" w:eastAsia="Arial" w:hAnsi="Arial"/>
          <w:sz w:val="16"/>
          <w:szCs w:val="16"/>
          <w:color w:val="auto"/>
        </w:rPr>
        <w:t>Appendix 3B Page 11</w:t>
      </w:r>
    </w:p>
    <w:p>
      <w:pPr>
        <w:sectPr>
          <w:pgSz w:w="11900" w:h="16838" w:orient="portrait"/>
          <w:cols w:equalWidth="0" w:num="1">
            <w:col w:w="11020"/>
          </w:cols>
          <w:pgMar w:left="440" w:top="274" w:right="4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4: Subtract “C” from [“A” x “B”] to calculate remaining placement capacity under rule 7.1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 x 0.15</w:t>
            </w:r>
          </w:p>
        </w:tc>
        <w:tc>
          <w:tcPr>
            <w:tcW w:w="5720" w:type="dxa"/>
            <w:vAlign w:val="bottom"/>
          </w:tcPr>
          <w:p>
            <w:pPr>
              <w:ind w:left="1160"/>
              <w:spacing w:after="0"/>
              <w:rPr>
                <w:sz w:val="20"/>
                <w:szCs w:val="20"/>
                <w:color w:val="auto"/>
              </w:rPr>
            </w:pPr>
            <w:r>
              <w:rPr>
                <w:rFonts w:ascii="Arial" w:cs="Arial" w:eastAsia="Arial" w:hAnsi="Arial"/>
                <w:sz w:val="18"/>
                <w:szCs w:val="18"/>
                <w:color w:val="auto"/>
              </w:rPr>
              <w:t>287,109,142</w:t>
            </w:r>
          </w:p>
        </w:tc>
      </w:tr>
      <w:tr>
        <w:trPr>
          <w:trHeight w:val="338"/>
        </w:trPr>
        <w:tc>
          <w:tcPr>
            <w:tcW w:w="4580" w:type="dxa"/>
            <w:vAlign w:val="bottom"/>
          </w:tcPr>
          <w:p>
            <w:pPr>
              <w:spacing w:after="0"/>
              <w:rPr>
                <w:sz w:val="20"/>
                <w:szCs w:val="20"/>
                <w:color w:val="auto"/>
              </w:rPr>
            </w:pPr>
            <w:r>
              <w:rPr>
                <w:rFonts w:ascii="Arial" w:cs="Arial" w:eastAsia="Arial" w:hAnsi="Arial"/>
                <w:sz w:val="18"/>
                <w:szCs w:val="18"/>
                <w:i w:val="1"/>
                <w:iCs w:val="1"/>
                <w:color w:val="auto"/>
              </w:rPr>
              <w:t>Note: number must be same as shown in Step 2</w:t>
            </w:r>
          </w:p>
        </w:tc>
        <w:tc>
          <w:tcPr>
            <w:tcW w:w="5720" w:type="dxa"/>
            <w:vAlign w:val="bottom"/>
          </w:tcPr>
          <w:p>
            <w:pPr>
              <w:spacing w:after="0"/>
              <w:rPr>
                <w:sz w:val="24"/>
                <w:szCs w:val="24"/>
                <w:color w:val="auto"/>
              </w:rPr>
            </w:pPr>
          </w:p>
        </w:tc>
      </w:tr>
      <w:tr>
        <w:trPr>
          <w:trHeight w:val="338"/>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“C”</w:t>
            </w:r>
          </w:p>
        </w:tc>
        <w:tc>
          <w:tcPr>
            <w:tcW w:w="5720" w:type="dxa"/>
            <w:vAlign w:val="bottom"/>
          </w:tcPr>
          <w:p>
            <w:pPr>
              <w:ind w:left="1160"/>
              <w:spacing w:after="0"/>
              <w:rPr>
                <w:sz w:val="20"/>
                <w:szCs w:val="20"/>
                <w:color w:val="auto"/>
              </w:rPr>
            </w:pPr>
            <w:r>
              <w:rPr>
                <w:rFonts w:ascii="Arial" w:cs="Arial" w:eastAsia="Arial" w:hAnsi="Arial"/>
                <w:sz w:val="18"/>
                <w:szCs w:val="18"/>
                <w:color w:val="auto"/>
              </w:rPr>
              <w:t>203,389,831</w:t>
            </w:r>
          </w:p>
        </w:tc>
      </w:tr>
      <w:tr>
        <w:trPr>
          <w:trHeight w:val="338"/>
        </w:trPr>
        <w:tc>
          <w:tcPr>
            <w:tcW w:w="4580" w:type="dxa"/>
            <w:vAlign w:val="bottom"/>
          </w:tcPr>
          <w:p>
            <w:pPr>
              <w:spacing w:after="0"/>
              <w:rPr>
                <w:sz w:val="20"/>
                <w:szCs w:val="20"/>
                <w:color w:val="auto"/>
              </w:rPr>
            </w:pPr>
            <w:r>
              <w:rPr>
                <w:rFonts w:ascii="Arial" w:cs="Arial" w:eastAsia="Arial" w:hAnsi="Arial"/>
                <w:sz w:val="18"/>
                <w:szCs w:val="18"/>
                <w:i w:val="1"/>
                <w:iCs w:val="1"/>
                <w:color w:val="auto"/>
              </w:rPr>
              <w:t>Note: number must be same as shown in Step 3</w:t>
            </w:r>
          </w:p>
        </w:tc>
        <w:tc>
          <w:tcPr>
            <w:tcW w:w="5720" w:type="dxa"/>
            <w:vAlign w:val="bottom"/>
          </w:tcPr>
          <w:p>
            <w:pPr>
              <w:spacing w:after="0"/>
              <w:rPr>
                <w:sz w:val="24"/>
                <w:szCs w:val="24"/>
                <w:color w:val="auto"/>
              </w:rPr>
            </w:pPr>
          </w:p>
        </w:tc>
      </w:tr>
      <w:tr>
        <w:trPr>
          <w:trHeight w:val="338"/>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Total </w:t>
            </w:r>
            <w:r>
              <w:rPr>
                <w:rFonts w:ascii="Arial" w:cs="Arial" w:eastAsia="Arial" w:hAnsi="Arial"/>
                <w:sz w:val="18"/>
                <w:szCs w:val="18"/>
                <w:color w:val="auto"/>
              </w:rPr>
              <w:t>[“A” x 0.15] – “C”</w:t>
            </w:r>
          </w:p>
        </w:tc>
        <w:tc>
          <w:tcPr>
            <w:tcW w:w="5720" w:type="dxa"/>
            <w:vAlign w:val="bottom"/>
          </w:tcPr>
          <w:p>
            <w:pPr>
              <w:ind w:left="1160"/>
              <w:spacing w:after="0"/>
              <w:rPr>
                <w:sz w:val="20"/>
                <w:szCs w:val="20"/>
                <w:color w:val="auto"/>
              </w:rPr>
            </w:pPr>
            <w:r>
              <w:rPr>
                <w:rFonts w:ascii="Arial" w:cs="Arial" w:eastAsia="Arial" w:hAnsi="Arial"/>
                <w:sz w:val="18"/>
                <w:szCs w:val="18"/>
                <w:color w:val="auto"/>
              </w:rPr>
              <w:t>83,719,311</w:t>
            </w:r>
          </w:p>
        </w:tc>
      </w:tr>
      <w:tr>
        <w:trPr>
          <w:trHeight w:val="338"/>
        </w:trPr>
        <w:tc>
          <w:tcPr>
            <w:tcW w:w="4580" w:type="dxa"/>
            <w:vAlign w:val="bottom"/>
          </w:tcPr>
          <w:p>
            <w:pPr>
              <w:spacing w:after="0"/>
              <w:rPr>
                <w:sz w:val="24"/>
                <w:szCs w:val="24"/>
                <w:color w:val="auto"/>
              </w:rPr>
            </w:pPr>
          </w:p>
        </w:tc>
        <w:tc>
          <w:tcPr>
            <w:tcW w:w="5720" w:type="dxa"/>
            <w:vAlign w:val="bottom"/>
          </w:tcPr>
          <w:p>
            <w:pPr>
              <w:ind w:left="1160"/>
              <w:spacing w:after="0"/>
              <w:rPr>
                <w:sz w:val="20"/>
                <w:szCs w:val="20"/>
                <w:color w:val="auto"/>
              </w:rPr>
            </w:pPr>
            <w:r>
              <w:rPr>
                <w:rFonts w:ascii="Arial" w:cs="Arial" w:eastAsia="Arial" w:hAnsi="Arial"/>
                <w:sz w:val="18"/>
                <w:szCs w:val="18"/>
                <w:i w:val="1"/>
                <w:iCs w:val="1"/>
                <w:color w:val="auto"/>
                <w:w w:val="92"/>
              </w:rPr>
              <w:t>[Note: this is the remaining placement capacity under rule 7.1]</w:t>
            </w:r>
          </w:p>
        </w:tc>
      </w:tr>
    </w:tbl>
    <w:p>
      <w:pPr>
        <w:sectPr>
          <w:pgSz w:w="11900" w:h="16838" w:orient="portrait"/>
          <w:cols w:equalWidth="0" w:num="1">
            <w:col w:w="10300"/>
          </w:cols>
          <w:pgMar w:left="440" w:top="274" w:right="11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2</w:t>
      </w:r>
    </w:p>
    <w:p>
      <w:pPr>
        <w:spacing w:after="0" w:line="252" w:lineRule="exact"/>
        <w:rPr>
          <w:sz w:val="20"/>
          <w:szCs w:val="20"/>
          <w:color w:val="auto"/>
        </w:rPr>
      </w:pPr>
    </w:p>
    <w:p>
      <w:pPr>
        <w:ind w:right="2960" w:firstLine="3318"/>
        <w:spacing w:after="0" w:line="382" w:lineRule="auto"/>
        <w:rPr>
          <w:sz w:val="20"/>
          <w:szCs w:val="20"/>
          <w:color w:val="auto"/>
        </w:rPr>
      </w:pPr>
      <w:r>
        <w:rPr>
          <w:rFonts w:ascii="Arial" w:cs="Arial" w:eastAsia="Arial" w:hAnsi="Arial"/>
          <w:sz w:val="18"/>
          <w:szCs w:val="18"/>
          <w:b w:val="1"/>
          <w:bCs w:val="1"/>
          <w:color w:val="auto"/>
        </w:rPr>
        <w:t xml:space="preserve">Rule 7.1A – Additional placement capacity for eligible entities Step 1: Calculate “A”, the base figure from which the placement capacity is calculated “A” </w:t>
      </w:r>
      <w:r>
        <w:rPr>
          <w:rFonts w:ascii="Arial" w:cs="Arial" w:eastAsia="Arial" w:hAnsi="Arial"/>
          <w:sz w:val="18"/>
          <w:szCs w:val="18"/>
          <w:color w:val="auto"/>
        </w:rPr>
        <w:t>1,914,060,946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number must be same as shown in Step 1 of Part 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Calculate 10% of “A”</w:t>
      </w:r>
    </w:p>
    <w:p>
      <w:pPr>
        <w:spacing w:after="0" w:line="11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8"/>
          <w:szCs w:val="18"/>
          <w:color w:val="auto"/>
        </w:rPr>
        <w:t>0.10</w:t>
      </w:r>
    </w:p>
    <w:p>
      <w:pPr>
        <w:spacing w:after="0" w:line="13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Note: this value cannot be changed</w:t>
      </w:r>
    </w:p>
    <w:p>
      <w:pPr>
        <w:spacing w:after="0" w:line="13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 xml:space="preserve">Multiply </w:t>
      </w:r>
      <w:r>
        <w:rPr>
          <w:rFonts w:ascii="Arial" w:cs="Arial" w:eastAsia="Arial" w:hAnsi="Arial"/>
          <w:sz w:val="18"/>
          <w:szCs w:val="18"/>
          <w:color w:val="auto"/>
        </w:rPr>
        <w:t>“A” by 0.10</w:t>
      </w:r>
      <w:r>
        <w:rPr>
          <w:sz w:val="20"/>
          <w:szCs w:val="20"/>
          <w:color w:val="auto"/>
        </w:rPr>
        <w:tab/>
      </w:r>
      <w:r>
        <w:rPr>
          <w:rFonts w:ascii="Arial" w:cs="Arial" w:eastAsia="Arial" w:hAnsi="Arial"/>
          <w:sz w:val="16"/>
          <w:szCs w:val="16"/>
          <w:color w:val="auto"/>
        </w:rPr>
        <w:t>191,406,095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Calculate “E”, the amount of placement capacity under rule 7.1A that has already been used</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7"/>
          <w:szCs w:val="17"/>
          <w:b w:val="1"/>
          <w:bCs w:val="1"/>
          <w:i w:val="1"/>
          <w:iCs w:val="1"/>
          <w:color w:val="auto"/>
        </w:rPr>
        <w:t xml:space="preserve">Insert </w:t>
      </w:r>
      <w:r>
        <w:rPr>
          <w:rFonts w:ascii="Arial" w:cs="Arial" w:eastAsia="Arial" w:hAnsi="Arial"/>
          <w:sz w:val="17"/>
          <w:szCs w:val="17"/>
          <w:color w:val="auto"/>
        </w:rPr>
        <w:t>number of</w:t>
      </w:r>
      <w:r>
        <w:rPr>
          <w:rFonts w:ascii="Arial" w:cs="Arial" w:eastAsia="Arial" w:hAnsi="Arial"/>
          <w:sz w:val="17"/>
          <w:szCs w:val="17"/>
          <w:b w:val="1"/>
          <w:bCs w:val="1"/>
          <w:i w:val="1"/>
          <w:iCs w:val="1"/>
          <w:color w:val="auto"/>
        </w:rPr>
        <w:t xml:space="preserve"> </w:t>
      </w:r>
      <w:r>
        <w:rPr>
          <w:rFonts w:ascii="Arial" w:cs="Arial" w:eastAsia="Arial" w:hAnsi="Arial"/>
          <w:sz w:val="14"/>
          <w:szCs w:val="14"/>
          <w:color w:val="auto"/>
        </w:rPr>
        <w:t>+</w:t>
      </w:r>
      <w:r>
        <w:rPr>
          <w:rFonts w:ascii="Arial" w:cs="Arial" w:eastAsia="Arial" w:hAnsi="Arial"/>
          <w:sz w:val="17"/>
          <w:szCs w:val="17"/>
          <w:color w:val="auto"/>
        </w:rPr>
        <w:t>equity securities issued or agreed to be issued in that 12</w:t>
      </w:r>
      <w:r>
        <w:rPr>
          <w:sz w:val="20"/>
          <w:szCs w:val="20"/>
          <w:color w:val="auto"/>
        </w:rPr>
        <w:tab/>
      </w:r>
      <w:r>
        <w:rPr>
          <w:rFonts w:ascii="Arial" w:cs="Arial" w:eastAsia="Arial" w:hAnsi="Arial"/>
          <w:sz w:val="18"/>
          <w:szCs w:val="18"/>
          <w:color w:val="auto"/>
        </w:rPr>
        <w:t>Nil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 period under rule 7.1A</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131" w:lineRule="exact"/>
        <w:rPr>
          <w:sz w:val="20"/>
          <w:szCs w:val="20"/>
          <w:color w:val="auto"/>
        </w:rPr>
      </w:pPr>
    </w:p>
    <w:p>
      <w:pPr>
        <w:ind w:left="340" w:hanging="336"/>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This applies to equity securities – not just ordinary securities</w:t>
      </w:r>
    </w:p>
    <w:p>
      <w:pPr>
        <w:spacing w:after="0" w:line="130" w:lineRule="exact"/>
        <w:rPr>
          <w:rFonts w:ascii="Arial" w:cs="Arial" w:eastAsia="Arial" w:hAnsi="Arial"/>
          <w:sz w:val="18"/>
          <w:szCs w:val="18"/>
          <w:color w:val="auto"/>
        </w:rPr>
      </w:pPr>
    </w:p>
    <w:p>
      <w:pPr>
        <w:ind w:left="360" w:right="5560" w:hanging="356"/>
        <w:spacing w:after="0" w:line="277" w:lineRule="auto"/>
        <w:tabs>
          <w:tab w:leader="none" w:pos="3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Include here – if applicable – the securities the subject of the Appendix 3B to which this form is annexed</w:t>
      </w:r>
    </w:p>
    <w:p>
      <w:pPr>
        <w:spacing w:after="0" w:line="75" w:lineRule="exact"/>
        <w:rPr>
          <w:rFonts w:ascii="Arial" w:cs="Arial" w:eastAsia="Arial" w:hAnsi="Arial"/>
          <w:sz w:val="18"/>
          <w:szCs w:val="18"/>
          <w:color w:val="auto"/>
        </w:rPr>
      </w:pPr>
    </w:p>
    <w:p>
      <w:pPr>
        <w:ind w:left="360" w:right="5400" w:hanging="356"/>
        <w:spacing w:after="0" w:line="264" w:lineRule="auto"/>
        <w:tabs>
          <w:tab w:leader="none" w:pos="3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Do not include equity securities issued under rule 7.1 (they must be dealt with in Part 1), or for which specific security holder approval has been obtained</w:t>
      </w:r>
    </w:p>
    <w:p>
      <w:pPr>
        <w:spacing w:after="0" w:line="86" w:lineRule="exact"/>
        <w:rPr>
          <w:rFonts w:ascii="Arial" w:cs="Arial" w:eastAsia="Arial" w:hAnsi="Arial"/>
          <w:sz w:val="18"/>
          <w:szCs w:val="18"/>
          <w:color w:val="auto"/>
        </w:rPr>
      </w:pPr>
    </w:p>
    <w:p>
      <w:pPr>
        <w:ind w:left="360" w:right="5920" w:hanging="356"/>
        <w:spacing w:after="0" w:line="277" w:lineRule="auto"/>
        <w:tabs>
          <w:tab w:leader="none" w:pos="3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It may be useful to set out issues of securities on different dates as separate line items</w:t>
      </w:r>
    </w:p>
    <w:p>
      <w:pPr>
        <w:spacing w:after="0" w:line="7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8"/>
          <w:szCs w:val="18"/>
          <w:color w:val="auto"/>
        </w:rPr>
        <w:t>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632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158" w:lineRule="exact"/>
        <w:rPr>
          <w:sz w:val="20"/>
          <w:szCs w:val="20"/>
          <w:color w:val="auto"/>
        </w:rPr>
      </w:pPr>
    </w:p>
    <w:p>
      <w:pPr>
        <w:spacing w:after="0"/>
        <w:tabs>
          <w:tab w:leader="none" w:pos="9420" w:val="left"/>
        </w:tabs>
        <w:rPr>
          <w:sz w:val="20"/>
          <w:szCs w:val="20"/>
          <w:color w:val="auto"/>
        </w:rPr>
      </w:pPr>
      <w:r>
        <w:rPr>
          <w:rFonts w:ascii="Arial" w:cs="Arial" w:eastAsia="Arial" w:hAnsi="Arial"/>
          <w:sz w:val="16"/>
          <w:szCs w:val="16"/>
          <w:color w:val="auto"/>
        </w:rPr>
        <w:t>04/03/2013</w:t>
      </w:r>
      <w:r>
        <w:rPr>
          <w:sz w:val="20"/>
          <w:szCs w:val="20"/>
          <w:color w:val="auto"/>
        </w:rPr>
        <w:tab/>
      </w:r>
      <w:r>
        <w:rPr>
          <w:rFonts w:ascii="Arial" w:cs="Arial" w:eastAsia="Arial" w:hAnsi="Arial"/>
          <w:sz w:val="16"/>
          <w:szCs w:val="16"/>
          <w:color w:val="auto"/>
        </w:rPr>
        <w:t>Appendix 3B Page 13</w:t>
      </w:r>
    </w:p>
    <w:p>
      <w:pPr>
        <w:sectPr>
          <w:pgSz w:w="11900" w:h="16838" w:orient="portrait"/>
          <w:cols w:equalWidth="0" w:num="1">
            <w:col w:w="11020"/>
          </w:cols>
          <w:pgMar w:left="440" w:top="270" w:right="4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Step 4: Subtract “E” from [“A” x “D”] to calculate remaining placement capacity under rule 7.1A</w:t>
      </w:r>
    </w:p>
    <w:p>
      <w:pPr>
        <w:sectPr>
          <w:pgSz w:w="11900" w:h="16838" w:orient="portrait"/>
          <w:cols w:equalWidth="0" w:num="1">
            <w:col w:w="10280"/>
          </w:cols>
          <w:pgMar w:left="440" w:top="274" w:right="117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 x 0.10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191,406,095</w:t>
      </w:r>
    </w:p>
    <w:p>
      <w:pPr>
        <w:spacing w:after="0" w:line="153" w:lineRule="exact"/>
        <w:rPr>
          <w:sz w:val="20"/>
          <w:szCs w:val="20"/>
          <w:color w:val="auto"/>
        </w:rPr>
      </w:pPr>
    </w:p>
    <w:p>
      <w:pPr>
        <w:sectPr>
          <w:pgSz w:w="11900" w:h="16838" w:orient="portrait"/>
          <w:cols w:equalWidth="0" w:num="2">
            <w:col w:w="5020" w:space="720"/>
            <w:col w:w="4540"/>
          </w:cols>
          <w:pgMar w:left="440" w:top="274" w:right="11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Note: number must be same as shown in Step 2</w:t>
      </w:r>
    </w:p>
    <w:p>
      <w:pPr>
        <w:sectPr>
          <w:pgSz w:w="11900" w:h="16838" w:orient="portrait"/>
          <w:cols w:equalWidth="0" w:num="1">
            <w:col w:w="10280"/>
          </w:cols>
          <w:pgMar w:left="440" w:top="274" w:right="117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Subtract </w:t>
      </w: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Nil</w:t>
      </w:r>
    </w:p>
    <w:p>
      <w:pPr>
        <w:spacing w:after="0" w:line="131" w:lineRule="exact"/>
        <w:rPr>
          <w:sz w:val="20"/>
          <w:szCs w:val="20"/>
          <w:color w:val="auto"/>
        </w:rPr>
      </w:pPr>
    </w:p>
    <w:p>
      <w:pPr>
        <w:sectPr>
          <w:pgSz w:w="11900" w:h="16838" w:orient="portrait"/>
          <w:cols w:equalWidth="0" w:num="2">
            <w:col w:w="5020" w:space="720"/>
            <w:col w:w="4540"/>
          </w:cols>
          <w:pgMar w:left="440" w:top="274" w:right="117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Note: number must be same as shown in Step 3</w:t>
      </w:r>
    </w:p>
    <w:p>
      <w:pPr>
        <w:sectPr>
          <w:pgSz w:w="11900" w:h="16838" w:orient="portrait"/>
          <w:cols w:equalWidth="0" w:num="1">
            <w:col w:w="10280"/>
          </w:cols>
          <w:pgMar w:left="440" w:top="274" w:right="117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Total </w:t>
      </w:r>
      <w:r>
        <w:rPr>
          <w:rFonts w:ascii="Arial" w:cs="Arial" w:eastAsia="Arial" w:hAnsi="Arial"/>
          <w:sz w:val="17"/>
          <w:szCs w:val="17"/>
          <w:color w:val="auto"/>
        </w:rPr>
        <w:t>[“A” x 0.10] – “E”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191,406,095</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this is the remaining placement capacity under rule 7.1A</w:t>
      </w:r>
    </w:p>
    <w:p>
      <w:pPr>
        <w:sectPr>
          <w:pgSz w:w="11900" w:h="16838" w:orient="portrait"/>
          <w:cols w:equalWidth="0" w:num="2">
            <w:col w:w="5020" w:space="720"/>
            <w:col w:w="4540"/>
          </w:cols>
          <w:pgMar w:left="440" w:top="274" w:right="11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26035"/>
                    </a:xfrm>
                    <a:prstGeom prst="rect">
                      <a:avLst/>
                    </a:prstGeom>
                    <a:noFill/>
                  </pic:spPr>
                </pic:pic>
              </a:graphicData>
            </a:graphic>
          </wp:anchor>
        </w:drawing>
        <w:t>SCHEDULE 2 – TERMS AND CONDITIONS OF LONG TERM INCENTIVE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699770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274955</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0" w:hanging="436"/>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RSUs</w:t>
      </w:r>
    </w:p>
    <w:p>
      <w:pPr>
        <w:spacing w:after="0" w:line="121" w:lineRule="exact"/>
        <w:rPr>
          <w:rFonts w:ascii="Arial" w:cs="Arial" w:eastAsia="Arial" w:hAnsi="Arial"/>
          <w:sz w:val="18"/>
          <w:szCs w:val="18"/>
          <w:b w:val="1"/>
          <w:bCs w:val="1"/>
          <w:color w:val="auto"/>
        </w:rPr>
      </w:pPr>
    </w:p>
    <w:p>
      <w:pPr>
        <w:ind w:left="440" w:righ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Upon the issue of the RSUs the Company will issue to the Participant a certificate stating the applicable terms of the RSU, including the number of RSUs issued and any Vesting Conditions. The RSUs granted (and Shares issued or transferred on their vesting) will be registered in the appropriate register of the Company. For the purposes of these Terms and Conditions, Dr Perry is referred to as the ‘</w:t>
      </w:r>
      <w:r>
        <w:rPr>
          <w:rFonts w:ascii="Arial" w:cs="Arial" w:eastAsia="Arial" w:hAnsi="Arial"/>
          <w:sz w:val="16"/>
          <w:szCs w:val="16"/>
          <w:b w:val="1"/>
          <w:bCs w:val="1"/>
          <w:color w:val="auto"/>
        </w:rPr>
        <w:t>Participant</w:t>
      </w:r>
      <w:r>
        <w:rPr>
          <w:rFonts w:ascii="Arial" w:cs="Arial" w:eastAsia="Arial" w:hAnsi="Arial"/>
          <w:sz w:val="16"/>
          <w:szCs w:val="16"/>
          <w:color w:val="auto"/>
        </w:rPr>
        <w:t>’.</w:t>
      </w:r>
    </w:p>
    <w:p>
      <w:pPr>
        <w:spacing w:after="0" w:line="34" w:lineRule="exact"/>
        <w:rPr>
          <w:rFonts w:ascii="Arial" w:cs="Arial" w:eastAsia="Arial" w:hAnsi="Arial"/>
          <w:sz w:val="18"/>
          <w:szCs w:val="18"/>
          <w:b w:val="1"/>
          <w:bCs w:val="1"/>
          <w:color w:val="auto"/>
        </w:rPr>
      </w:pPr>
    </w:p>
    <w:p>
      <w:pPr>
        <w:ind w:left="440" w:right="8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The following summary in this Schedule 2 outlines both (i) the terms of the</w:t>
      </w:r>
      <w:r>
        <w:rPr>
          <w:rFonts w:ascii="Arial" w:cs="Arial" w:eastAsia="Arial" w:hAnsi="Arial"/>
          <w:sz w:val="18"/>
          <w:szCs w:val="18"/>
          <w:b w:val="1"/>
          <w:bCs w:val="1"/>
          <w:color w:val="auto"/>
        </w:rPr>
        <w:t xml:space="preserve"> existing 50 million RSU</w:t>
      </w:r>
      <w:r>
        <w:rPr>
          <w:rFonts w:ascii="Arial" w:cs="Arial" w:eastAsia="Arial" w:hAnsi="Arial"/>
          <w:sz w:val="18"/>
          <w:szCs w:val="18"/>
          <w:color w:val="auto"/>
        </w:rPr>
        <w:t>s approved by Avita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shareholders at the 2017 AGM; and (ii) the terms of the </w:t>
      </w:r>
      <w:r>
        <w:rPr>
          <w:rFonts w:ascii="Arial" w:cs="Arial" w:eastAsia="Arial" w:hAnsi="Arial"/>
          <w:sz w:val="18"/>
          <w:szCs w:val="18"/>
          <w:b w:val="1"/>
          <w:bCs w:val="1"/>
          <w:color w:val="auto"/>
        </w:rPr>
        <w:t>proposed additional new 39,554,252 RSUs</w:t>
      </w:r>
      <w:r>
        <w:rPr>
          <w:rFonts w:ascii="Arial" w:cs="Arial" w:eastAsia="Arial" w:hAnsi="Arial"/>
          <w:sz w:val="18"/>
          <w:szCs w:val="18"/>
          <w:color w:val="auto"/>
        </w:rPr>
        <w:t xml:space="preserve"> the subject of Resolution 6 at this 2019 AGM.</w:t>
      </w:r>
    </w:p>
    <w:p>
      <w:pPr>
        <w:spacing w:after="0" w:line="68" w:lineRule="exact"/>
        <w:rPr>
          <w:rFonts w:ascii="Arial" w:cs="Arial" w:eastAsia="Arial" w:hAnsi="Arial"/>
          <w:sz w:val="18"/>
          <w:szCs w:val="18"/>
          <w:b w:val="1"/>
          <w:bCs w:val="1"/>
          <w:color w:val="auto"/>
        </w:rPr>
      </w:pPr>
    </w:p>
    <w:p>
      <w:pPr>
        <w:ind w:left="440" w:right="4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ADDITION </w:t>
      </w:r>
      <w:r>
        <w:rPr>
          <w:rFonts w:ascii="Arial" w:cs="Arial" w:eastAsia="Arial" w:hAnsi="Arial"/>
          <w:sz w:val="18"/>
          <w:szCs w:val="18"/>
          <w:color w:val="auto"/>
        </w:rPr>
        <w:t>to these RSUs, shareholders should be aware that Avita has issued as a long term incentive 15 million options to Dr Perry as</w:t>
      </w:r>
      <w:r>
        <w:rPr>
          <w:rFonts w:ascii="Arial" w:cs="Arial" w:eastAsia="Arial" w:hAnsi="Arial"/>
          <w:sz w:val="18"/>
          <w:szCs w:val="18"/>
          <w:b w:val="1"/>
          <w:bCs w:val="1"/>
          <w:color w:val="auto"/>
        </w:rPr>
        <w:t xml:space="preserve"> </w:t>
      </w:r>
      <w:r>
        <w:rPr>
          <w:rFonts w:ascii="Arial" w:cs="Arial" w:eastAsia="Arial" w:hAnsi="Arial"/>
          <w:sz w:val="18"/>
          <w:szCs w:val="18"/>
          <w:color w:val="auto"/>
        </w:rPr>
        <w:t>detailed in 2018 AGM Notice and as approved by Avita shareholders at the 2018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243205</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8" w:lineRule="exact"/>
        <w:rPr>
          <w:sz w:val="20"/>
          <w:szCs w:val="20"/>
          <w:color w:val="auto"/>
        </w:rPr>
      </w:pPr>
    </w:p>
    <w:p>
      <w:pPr>
        <w:ind w:left="440" w:hanging="436"/>
        <w:spacing w:after="0"/>
        <w:tabs>
          <w:tab w:leader="none" w:pos="4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dealing with RSUs</w:t>
      </w:r>
    </w:p>
    <w:p>
      <w:pPr>
        <w:spacing w:after="0" w:line="121" w:lineRule="exact"/>
        <w:rPr>
          <w:rFonts w:ascii="Arial" w:cs="Arial" w:eastAsia="Arial" w:hAnsi="Arial"/>
          <w:sz w:val="18"/>
          <w:szCs w:val="18"/>
          <w:b w:val="1"/>
          <w:bCs w:val="1"/>
          <w:color w:val="auto"/>
        </w:rPr>
      </w:pPr>
    </w:p>
    <w:p>
      <w:pPr>
        <w:ind w:left="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to a designated beneficiary upon the Participant’s death or by will or the laws of descent and distribution, the Participant may not without prior written approval of the Board sell, assign, transfer or otherwise deal with, or grant a Security Interest over, an RSU granted to the Participant.</w:t>
      </w:r>
    </w:p>
    <w:p>
      <w:pPr>
        <w:spacing w:after="0" w:line="15" w:lineRule="exact"/>
        <w:rPr>
          <w:rFonts w:ascii="Arial" w:cs="Arial" w:eastAsia="Arial" w:hAnsi="Arial"/>
          <w:sz w:val="18"/>
          <w:szCs w:val="18"/>
          <w:b w:val="1"/>
          <w:bCs w:val="1"/>
          <w:color w:val="auto"/>
        </w:rPr>
      </w:pPr>
    </w:p>
    <w:p>
      <w:pPr>
        <w:ind w:left="44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Except to a designated beneficiary upon the Participant’s death or by will or the laws of descent and distribution, the RSU lapses immediately on purported sale, assignment, transfer, dealing or the grant of Security Interest, unless the Board in its absolute discretion approves the dealing, or the transfer or transmission is effected by force of law on death or legal incapacity to the Participant’s legal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9" w:lineRule="exact"/>
        <w:rPr>
          <w:sz w:val="20"/>
          <w:szCs w:val="20"/>
          <w:color w:val="auto"/>
        </w:rPr>
      </w:pPr>
    </w:p>
    <w:p>
      <w:pPr>
        <w:ind w:left="440" w:hanging="436"/>
        <w:spacing w:after="0"/>
        <w:tabs>
          <w:tab w:leader="none" w:pos="4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Operation of RSUs</w:t>
      </w:r>
    </w:p>
    <w:p>
      <w:pPr>
        <w:spacing w:after="0" w:line="13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3.1    Consideration</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No cash consideration will be payable on the grant of the RSUs unless otherwise specified in these Terms and Conditions.</w:t>
      </w:r>
    </w:p>
    <w:p>
      <w:pPr>
        <w:spacing w:after="0" w:line="36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3.2    Vesting Conditions</w:t>
      </w:r>
    </w:p>
    <w:p>
      <w:pPr>
        <w:spacing w:after="0" w:line="121" w:lineRule="exact"/>
        <w:rPr>
          <w:rFonts w:ascii="Arial" w:cs="Arial" w:eastAsia="Arial" w:hAnsi="Arial"/>
          <w:sz w:val="18"/>
          <w:szCs w:val="18"/>
          <w:b w:val="1"/>
          <w:bCs w:val="1"/>
          <w:color w:val="auto"/>
        </w:rPr>
      </w:pPr>
    </w:p>
    <w:p>
      <w:pPr>
        <w:ind w:lef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Where the RSUs are subject to Vesting Conditions detailed in paragraphs 3.3 or 3.5 below; and those RSUs will only vest as the respective Vesting Conditions are met and if not met by the specified date, the relevant RSUs will, in the absence of a resolution of the Board of the Company to the contrary, automatically lapse.</w:t>
      </w:r>
    </w:p>
    <w:p>
      <w:pPr>
        <w:spacing w:after="0" w:line="69" w:lineRule="exact"/>
        <w:rPr>
          <w:rFonts w:ascii="Arial" w:cs="Arial" w:eastAsia="Arial" w:hAnsi="Arial"/>
          <w:sz w:val="18"/>
          <w:szCs w:val="18"/>
          <w:b w:val="1"/>
          <w:bCs w:val="1"/>
          <w:color w:val="auto"/>
        </w:rPr>
      </w:pPr>
    </w:p>
    <w:p>
      <w:pPr>
        <w:ind w:left="440" w:right="1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Vesting Conditions relate to the continued tenure (of Dr Perry) as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in accordance with his employment agreement (</w:t>
      </w:r>
      <w:r>
        <w:rPr>
          <w:rFonts w:ascii="Arial" w:cs="Arial" w:eastAsia="Arial" w:hAnsi="Arial"/>
          <w:sz w:val="18"/>
          <w:szCs w:val="18"/>
          <w:b w:val="1"/>
          <w:bCs w:val="1"/>
          <w:color w:val="auto"/>
        </w:rPr>
        <w:t>Tenure Vesting</w:t>
      </w:r>
      <w:r>
        <w:rPr>
          <w:rFonts w:ascii="Arial" w:cs="Arial" w:eastAsia="Arial" w:hAnsi="Arial"/>
          <w:sz w:val="18"/>
          <w:szCs w:val="18"/>
          <w:color w:val="auto"/>
        </w:rPr>
        <w:t>), Company Share Price (</w:t>
      </w:r>
      <w:r>
        <w:rPr>
          <w:rFonts w:ascii="Arial" w:cs="Arial" w:eastAsia="Arial" w:hAnsi="Arial"/>
          <w:sz w:val="18"/>
          <w:szCs w:val="18"/>
          <w:b w:val="1"/>
          <w:bCs w:val="1"/>
          <w:color w:val="auto"/>
        </w:rPr>
        <w:t>Share Price Vesting</w:t>
      </w:r>
      <w:r>
        <w:rPr>
          <w:rFonts w:ascii="Arial" w:cs="Arial" w:eastAsia="Arial" w:hAnsi="Arial"/>
          <w:sz w:val="18"/>
          <w:szCs w:val="18"/>
          <w:color w:val="auto"/>
        </w:rPr>
        <w:t>) and Milestone performance (</w:t>
      </w:r>
      <w:r>
        <w:rPr>
          <w:rFonts w:ascii="Arial" w:cs="Arial" w:eastAsia="Arial" w:hAnsi="Arial"/>
          <w:sz w:val="18"/>
          <w:szCs w:val="18"/>
          <w:b w:val="1"/>
          <w:bCs w:val="1"/>
          <w:color w:val="auto"/>
        </w:rPr>
        <w:t>Milestone Vesting</w:t>
      </w:r>
      <w:r>
        <w:rPr>
          <w:rFonts w:ascii="Arial" w:cs="Arial" w:eastAsia="Arial" w:hAnsi="Arial"/>
          <w:sz w:val="18"/>
          <w:szCs w:val="18"/>
          <w:color w:val="auto"/>
        </w:rPr>
        <w:t>) - as set by the Board of Directors (specified below).</w:t>
      </w:r>
    </w:p>
    <w:p>
      <w:pPr>
        <w:spacing w:after="0" w:line="68"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For the purposes of this schedule “</w:t>
      </w:r>
      <w:r>
        <w:rPr>
          <w:rFonts w:ascii="Arial" w:cs="Arial" w:eastAsia="Arial" w:hAnsi="Arial"/>
          <w:sz w:val="18"/>
          <w:szCs w:val="18"/>
          <w:b w:val="1"/>
          <w:bCs w:val="1"/>
          <w:color w:val="auto"/>
        </w:rPr>
        <w:t>Initial Vesting Date</w:t>
      </w:r>
      <w:r>
        <w:rPr>
          <w:rFonts w:ascii="Arial" w:cs="Arial" w:eastAsia="Arial" w:hAnsi="Arial"/>
          <w:sz w:val="18"/>
          <w:szCs w:val="18"/>
          <w:color w:val="auto"/>
        </w:rPr>
        <w:t>” means the earlier of:</w:t>
      </w:r>
    </w:p>
    <w:p>
      <w:pPr>
        <w:spacing w:after="0" w:line="134" w:lineRule="exact"/>
        <w:rPr>
          <w:rFonts w:ascii="Arial" w:cs="Arial" w:eastAsia="Arial" w:hAnsi="Arial"/>
          <w:sz w:val="18"/>
          <w:szCs w:val="18"/>
          <w:b w:val="1"/>
          <w:bCs w:val="1"/>
          <w:color w:val="auto"/>
        </w:rPr>
      </w:pPr>
    </w:p>
    <w:p>
      <w:pPr>
        <w:ind w:left="980" w:hanging="544"/>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date of execution of equity deeds in respect of the RSUs; and</w:t>
      </w:r>
    </w:p>
    <w:p>
      <w:pPr>
        <w:spacing w:after="0" w:line="130" w:lineRule="exact"/>
        <w:rPr>
          <w:rFonts w:ascii="Arial" w:cs="Arial" w:eastAsia="Arial" w:hAnsi="Arial"/>
          <w:sz w:val="18"/>
          <w:szCs w:val="18"/>
          <w:color w:val="auto"/>
        </w:rPr>
      </w:pPr>
    </w:p>
    <w:p>
      <w:pPr>
        <w:ind w:left="980" w:right="560" w:hanging="544"/>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date that trading in the Shares are not prohibited under the terms of the Company’s Securities Trading Policy as applicable to all employees of the Company.</w:t>
      </w:r>
    </w:p>
    <w:p>
      <w:pPr>
        <w:sectPr>
          <w:pgSz w:w="11900" w:h="16838" w:orient="portrait"/>
          <w:cols w:equalWidth="0" w:num="1">
            <w:col w:w="11020"/>
          </w:cols>
          <w:pgMar w:left="440" w:top="364" w:right="439" w:bottom="1440" w:gutter="0" w:footer="0" w:header="0"/>
        </w:sectPr>
      </w:pPr>
    </w:p>
    <w:bookmarkStart w:id="19" w:name="page20"/>
    <w:bookmarkEnd w:id="19"/>
    <w:p>
      <w:pPr>
        <w:ind w:left="440"/>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5"/>
          <w:szCs w:val="15"/>
          <w:b w:val="1"/>
          <w:bCs w:val="1"/>
          <w:color w:val="auto"/>
        </w:rPr>
        <w:t>Tenure Vesting</w:t>
      </w:r>
    </w:p>
    <w:p>
      <w:pPr>
        <w:spacing w:after="0" w:line="121" w:lineRule="exact"/>
        <w:rPr>
          <w:sz w:val="20"/>
          <w:szCs w:val="20"/>
          <w:color w:val="auto"/>
        </w:rPr>
      </w:pPr>
    </w:p>
    <w:p>
      <w:pPr>
        <w:ind w:left="440" w:right="140"/>
        <w:spacing w:after="0" w:line="264" w:lineRule="auto"/>
        <w:rPr>
          <w:sz w:val="20"/>
          <w:szCs w:val="20"/>
          <w:color w:val="auto"/>
        </w:rPr>
      </w:pPr>
      <w:r>
        <w:rPr>
          <w:rFonts w:ascii="Arial" w:cs="Arial" w:eastAsia="Arial" w:hAnsi="Arial"/>
          <w:sz w:val="18"/>
          <w:szCs w:val="18"/>
          <w:color w:val="auto"/>
        </w:rPr>
        <w:t>The Tenure Vesting is deemed satisfied and a maximum of RSUs vest in the following numbers on the following dates, provided the Participant has been continuously employed by the Company as CEO of the Company as at the relevant date since the grant of the RSUs (</w:t>
      </w:r>
      <w:r>
        <w:rPr>
          <w:rFonts w:ascii="Arial" w:cs="Arial" w:eastAsia="Arial" w:hAnsi="Arial"/>
          <w:sz w:val="18"/>
          <w:szCs w:val="18"/>
          <w:b w:val="1"/>
          <w:bCs w:val="1"/>
          <w:color w:val="auto"/>
        </w:rPr>
        <w:t>Continuously</w:t>
      </w:r>
      <w:r>
        <w:rPr>
          <w:rFonts w:ascii="Arial" w:cs="Arial" w:eastAsia="Arial" w:hAnsi="Arial"/>
          <w:sz w:val="18"/>
          <w:szCs w:val="18"/>
          <w:color w:val="auto"/>
        </w:rPr>
        <w:t xml:space="preserve"> </w:t>
      </w:r>
      <w:r>
        <w:rPr>
          <w:rFonts w:ascii="Arial" w:cs="Arial" w:eastAsia="Arial" w:hAnsi="Arial"/>
          <w:sz w:val="18"/>
          <w:szCs w:val="18"/>
          <w:b w:val="1"/>
          <w:bCs w:val="1"/>
          <w:color w:val="auto"/>
        </w:rPr>
        <w:t>Employed</w:t>
      </w:r>
      <w:r>
        <w:rPr>
          <w:rFonts w:ascii="Arial" w:cs="Arial" w:eastAsia="Arial" w:hAnsi="Arial"/>
          <w:sz w:val="18"/>
          <w:szCs w:val="18"/>
          <w:color w:val="auto"/>
        </w:rPr>
        <w:t>):</w:t>
      </w:r>
    </w:p>
    <w:p>
      <w:pPr>
        <w:spacing w:after="0" w:line="83" w:lineRule="exact"/>
        <w:rPr>
          <w:sz w:val="20"/>
          <w:szCs w:val="20"/>
          <w:color w:val="auto"/>
        </w:rPr>
      </w:pPr>
    </w:p>
    <w:p>
      <w:pPr>
        <w:ind w:left="980" w:hanging="54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 -</w:t>
      </w:r>
    </w:p>
    <w:p>
      <w:pPr>
        <w:spacing w:after="0" w:line="134" w:lineRule="exact"/>
        <w:rPr>
          <w:rFonts w:ascii="Arial" w:cs="Arial" w:eastAsia="Arial" w:hAnsi="Arial"/>
          <w:sz w:val="18"/>
          <w:szCs w:val="18"/>
          <w:color w:val="auto"/>
        </w:rPr>
      </w:pPr>
    </w:p>
    <w:p>
      <w:pPr>
        <w:ind w:left="1420" w:hanging="430"/>
        <w:spacing w:after="0"/>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11,111,110 RSUs where the tenure conditions have already been satisfied, to vest on the Initial Vesting Date;</w:t>
      </w:r>
    </w:p>
    <w:p>
      <w:pPr>
        <w:spacing w:after="0" w:line="130" w:lineRule="exact"/>
        <w:rPr>
          <w:rFonts w:ascii="Arial" w:cs="Arial" w:eastAsia="Arial" w:hAnsi="Arial"/>
          <w:sz w:val="18"/>
          <w:szCs w:val="18"/>
          <w:color w:val="auto"/>
        </w:rPr>
      </w:pPr>
    </w:p>
    <w:p>
      <w:pPr>
        <w:ind w:left="1420" w:right="300" w:hanging="43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5,555,556 RSUs are to vest on 1 June 2020, provided the Participant has been Continuously Employed for the period to 31 May 2020;</w:t>
      </w:r>
    </w:p>
    <w:p>
      <w:pPr>
        <w:spacing w:after="0" w:line="71" w:lineRule="exact"/>
        <w:rPr>
          <w:rFonts w:ascii="Arial" w:cs="Arial" w:eastAsia="Arial" w:hAnsi="Arial"/>
          <w:sz w:val="18"/>
          <w:szCs w:val="18"/>
          <w:color w:val="auto"/>
        </w:rPr>
      </w:pPr>
    </w:p>
    <w:p>
      <w:pPr>
        <w:ind w:left="980" w:hanging="54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subject to shareholder approval under </w:t>
      </w:r>
      <w:r>
        <w:rPr>
          <w:rFonts w:ascii="Arial" w:cs="Arial" w:eastAsia="Arial" w:hAnsi="Arial"/>
          <w:sz w:val="18"/>
          <w:szCs w:val="18"/>
          <w:b w:val="1"/>
          <w:bCs w:val="1"/>
          <w:color w:val="auto"/>
        </w:rPr>
        <w:t>Resolution 6</w:t>
      </w:r>
      <w:r>
        <w:rPr>
          <w:rFonts w:ascii="Arial" w:cs="Arial" w:eastAsia="Arial" w:hAnsi="Arial"/>
          <w:sz w:val="18"/>
          <w:szCs w:val="18"/>
          <w:color w:val="auto"/>
        </w:rPr>
        <w:t xml:space="preserve"> at the 2019 AGM the following </w:t>
      </w:r>
      <w:r>
        <w:rPr>
          <w:rFonts w:ascii="Arial" w:cs="Arial" w:eastAsia="Arial" w:hAnsi="Arial"/>
          <w:sz w:val="18"/>
          <w:szCs w:val="18"/>
          <w:b w:val="1"/>
          <w:bCs w:val="1"/>
          <w:color w:val="auto"/>
        </w:rPr>
        <w:t>additional new RSUs -</w:t>
      </w:r>
    </w:p>
    <w:p>
      <w:pPr>
        <w:spacing w:after="0" w:line="134" w:lineRule="exact"/>
        <w:rPr>
          <w:rFonts w:ascii="Arial" w:cs="Arial" w:eastAsia="Arial" w:hAnsi="Arial"/>
          <w:sz w:val="18"/>
          <w:szCs w:val="18"/>
          <w:color w:val="auto"/>
        </w:rPr>
      </w:pPr>
    </w:p>
    <w:p>
      <w:pPr>
        <w:ind w:left="1420" w:right="300" w:hanging="43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4,750,700 RSUs are to vest on 1 June 2020, provided the Participant has been Continuously Employed for the period to 31 May 2020;</w:t>
      </w:r>
    </w:p>
    <w:p>
      <w:pPr>
        <w:spacing w:after="0" w:line="75" w:lineRule="exact"/>
        <w:rPr>
          <w:rFonts w:ascii="Arial" w:cs="Arial" w:eastAsia="Arial" w:hAnsi="Arial"/>
          <w:sz w:val="18"/>
          <w:szCs w:val="18"/>
          <w:color w:val="auto"/>
        </w:rPr>
      </w:pPr>
    </w:p>
    <w:p>
      <w:pPr>
        <w:ind w:left="1420" w:right="300" w:hanging="43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4,750,700 RSUs are to vest on 1 June 2021, provided the Participant has been Continuously Employed for the period to 31 May 2021;</w:t>
      </w:r>
    </w:p>
    <w:p>
      <w:pPr>
        <w:spacing w:after="0" w:line="75" w:lineRule="exact"/>
        <w:rPr>
          <w:rFonts w:ascii="Arial" w:cs="Arial" w:eastAsia="Arial" w:hAnsi="Arial"/>
          <w:sz w:val="18"/>
          <w:szCs w:val="18"/>
          <w:color w:val="auto"/>
        </w:rPr>
      </w:pPr>
    </w:p>
    <w:p>
      <w:pPr>
        <w:ind w:left="1420" w:right="300" w:hanging="43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4,750,700 RSUs are to vest on 1 June 2022, provided the Participant has been Continuously Employed for the period to 31 May 2022.</w:t>
      </w:r>
    </w:p>
    <w:p>
      <w:pPr>
        <w:spacing w:after="0" w:line="62"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For clarity where the RSUs the subject of paragraph 3.3(b) is not approved by shareholders at the Company’s 2019 AGM, those RSUs will not be issued by the Company and the Participant will not have any claim or entitlement of any nature against the Company for the failure to issue those RSUs.</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Share Price Vesting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Provided the Participant is and has been Continuously Employed at the relevant time:</w:t>
      </w:r>
    </w:p>
    <w:p>
      <w:pPr>
        <w:spacing w:after="0" w:line="131" w:lineRule="exact"/>
        <w:rPr>
          <w:sz w:val="20"/>
          <w:szCs w:val="20"/>
          <w:color w:val="auto"/>
        </w:rPr>
      </w:pPr>
    </w:p>
    <w:p>
      <w:pPr>
        <w:ind w:left="980" w:right="20" w:hanging="544"/>
        <w:spacing w:after="0" w:line="28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16,666,666 </w:t>
      </w:r>
      <w:r>
        <w:rPr>
          <w:rFonts w:ascii="Arial" w:cs="Arial" w:eastAsia="Arial" w:hAnsi="Arial"/>
          <w:sz w:val="18"/>
          <w:szCs w:val="18"/>
          <w:b w:val="1"/>
          <w:bCs w:val="1"/>
          <w:color w:val="auto"/>
        </w:rPr>
        <w:t>existing RSUs</w:t>
      </w:r>
      <w:r>
        <w:rPr>
          <w:rFonts w:ascii="Arial" w:cs="Arial" w:eastAsia="Arial" w:hAnsi="Arial"/>
          <w:sz w:val="18"/>
          <w:szCs w:val="18"/>
          <w:color w:val="auto"/>
        </w:rPr>
        <w:t xml:space="preserve"> issued pursuant to Avita shareholder approval at the 2017 AGM, where the share price conditions have already been satisfied, to vest on the Initial Vesting Date.</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Performance Vesting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Provided the Participant is and has been Continuously Employed at the relevant time</w:t>
      </w:r>
      <w:r>
        <w:rPr>
          <w:rFonts w:ascii="Arial" w:cs="Arial" w:eastAsia="Arial" w:hAnsi="Arial"/>
          <w:sz w:val="16"/>
          <w:szCs w:val="16"/>
          <w:color w:val="auto"/>
        </w:rPr>
        <w:t>, the Performance Vesting is satisfied the following</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RSUs will vest in the following numbers on the following dates:</w:t>
      </w:r>
    </w:p>
    <w:p>
      <w:pPr>
        <w:spacing w:after="0" w:line="112" w:lineRule="exact"/>
        <w:rPr>
          <w:sz w:val="20"/>
          <w:szCs w:val="20"/>
          <w:color w:val="auto"/>
        </w:rPr>
      </w:pPr>
    </w:p>
    <w:p>
      <w:pPr>
        <w:ind w:left="980" w:hanging="54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existing RSUs </w:t>
      </w:r>
      <w:r>
        <w:rPr>
          <w:rFonts w:ascii="Arial" w:cs="Arial" w:eastAsia="Arial" w:hAnsi="Arial"/>
          <w:sz w:val="18"/>
          <w:szCs w:val="18"/>
          <w:color w:val="auto"/>
        </w:rPr>
        <w:t>issued pursuant to Avita shareholder approval at the 2017 AGM -</w:t>
      </w:r>
    </w:p>
    <w:p>
      <w:pPr>
        <w:spacing w:after="0" w:line="134" w:lineRule="exact"/>
        <w:rPr>
          <w:rFonts w:ascii="Arial" w:cs="Arial" w:eastAsia="Arial" w:hAnsi="Arial"/>
          <w:sz w:val="18"/>
          <w:szCs w:val="18"/>
          <w:color w:val="auto"/>
        </w:rPr>
      </w:pPr>
    </w:p>
    <w:p>
      <w:pPr>
        <w:ind w:left="1420" w:hanging="430"/>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8,333,334 RSUs to vest on the Initial Vesting Date;</w:t>
      </w:r>
    </w:p>
    <w:p>
      <w:pPr>
        <w:spacing w:after="0" w:line="130" w:lineRule="exact"/>
        <w:rPr>
          <w:rFonts w:ascii="Arial" w:cs="Arial" w:eastAsia="Arial" w:hAnsi="Arial"/>
          <w:sz w:val="18"/>
          <w:szCs w:val="18"/>
          <w:color w:val="auto"/>
        </w:rPr>
      </w:pPr>
    </w:p>
    <w:p>
      <w:pPr>
        <w:ind w:left="1420" w:right="100" w:hanging="430"/>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8,333,334 RSUs to vest upon the date there is Initial BARDA Procurement under CLIN2 of the BARDA contract for 5,614 ReCell devices totalling USD $7,594,620;</w:t>
      </w:r>
    </w:p>
    <w:p>
      <w:pPr>
        <w:spacing w:after="0" w:line="71" w:lineRule="exact"/>
        <w:rPr>
          <w:rFonts w:ascii="Arial" w:cs="Arial" w:eastAsia="Arial" w:hAnsi="Arial"/>
          <w:sz w:val="18"/>
          <w:szCs w:val="18"/>
          <w:color w:val="auto"/>
        </w:rPr>
      </w:pPr>
    </w:p>
    <w:p>
      <w:pPr>
        <w:ind w:left="980" w:hanging="54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subject to shareholder approval under </w:t>
      </w:r>
      <w:r>
        <w:rPr>
          <w:rFonts w:ascii="Arial" w:cs="Arial" w:eastAsia="Arial" w:hAnsi="Arial"/>
          <w:sz w:val="18"/>
          <w:szCs w:val="18"/>
          <w:b w:val="1"/>
          <w:bCs w:val="1"/>
          <w:color w:val="auto"/>
        </w:rPr>
        <w:t>Resolution 6</w:t>
      </w:r>
      <w:r>
        <w:rPr>
          <w:rFonts w:ascii="Arial" w:cs="Arial" w:eastAsia="Arial" w:hAnsi="Arial"/>
          <w:sz w:val="18"/>
          <w:szCs w:val="18"/>
          <w:color w:val="auto"/>
        </w:rPr>
        <w:t xml:space="preserve"> at the 2019 AGM the following </w:t>
      </w:r>
      <w:r>
        <w:rPr>
          <w:rFonts w:ascii="Arial" w:cs="Arial" w:eastAsia="Arial" w:hAnsi="Arial"/>
          <w:sz w:val="18"/>
          <w:szCs w:val="18"/>
          <w:b w:val="1"/>
          <w:bCs w:val="1"/>
          <w:color w:val="auto"/>
        </w:rPr>
        <w:t>additional new RSUs -</w:t>
      </w:r>
    </w:p>
    <w:p>
      <w:pPr>
        <w:spacing w:after="0" w:line="134" w:lineRule="exact"/>
        <w:rPr>
          <w:rFonts w:ascii="Arial" w:cs="Arial" w:eastAsia="Arial" w:hAnsi="Arial"/>
          <w:sz w:val="18"/>
          <w:szCs w:val="18"/>
          <w:color w:val="auto"/>
        </w:rPr>
      </w:pPr>
    </w:p>
    <w:p>
      <w:pPr>
        <w:ind w:left="1420" w:right="580" w:hanging="430"/>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6,850,484 RSUs to vest where the first patient first visit for treatment in an FDA approved US soft tissue/trauma trial by the Company prior to 31 March 2020;</w:t>
      </w:r>
    </w:p>
    <w:p>
      <w:pPr>
        <w:sectPr>
          <w:pgSz w:w="11900" w:h="16838" w:orient="portrait"/>
          <w:cols w:equalWidth="0" w:num="1">
            <w:col w:w="10940"/>
          </w:cols>
          <w:pgMar w:left="440" w:top="270" w:right="519" w:bottom="1440" w:gutter="0" w:footer="0" w:header="0"/>
        </w:sectPr>
      </w:pPr>
    </w:p>
    <w:bookmarkStart w:id="20" w:name="page21"/>
    <w:bookmarkEnd w:id="20"/>
    <w:p>
      <w:pPr>
        <w:ind w:left="1420" w:right="220" w:hanging="430"/>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6,850,484 RSUs to vest where the first patient first visit for treatment in an FDA approved US pilot vitiligo trial by the Company prior to 30 September 2020;</w:t>
      </w:r>
    </w:p>
    <w:p>
      <w:pPr>
        <w:spacing w:after="0" w:line="75" w:lineRule="exact"/>
        <w:rPr>
          <w:rFonts w:ascii="Arial" w:cs="Arial" w:eastAsia="Arial" w:hAnsi="Arial"/>
          <w:sz w:val="18"/>
          <w:szCs w:val="18"/>
          <w:color w:val="auto"/>
        </w:rPr>
      </w:pPr>
    </w:p>
    <w:p>
      <w:pPr>
        <w:ind w:left="1420" w:hanging="430"/>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6,850,485 RSUs to vest where the first patient first visit for treatment in an FDA approved US paediatric trial by the Company prior to 30 June 2020;</w:t>
      </w:r>
    </w:p>
    <w:p>
      <w:pPr>
        <w:spacing w:after="0" w:line="75" w:lineRule="exact"/>
        <w:rPr>
          <w:rFonts w:ascii="Arial" w:cs="Arial" w:eastAsia="Arial" w:hAnsi="Arial"/>
          <w:sz w:val="18"/>
          <w:szCs w:val="18"/>
          <w:color w:val="auto"/>
        </w:rPr>
      </w:pPr>
    </w:p>
    <w:p>
      <w:pPr>
        <w:ind w:left="1420" w:right="440" w:hanging="430"/>
        <w:spacing w:after="0" w:line="342" w:lineRule="auto"/>
        <w:tabs>
          <w:tab w:leader="none" w:pos="1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2,375,350 RSUs to vest on the submission before 30 June 2021 to the FDA of an application for approval of a next generation RECELL device (being an improvement of the current RECELL device and providing for ease of clinician use);</w:t>
      </w:r>
    </w:p>
    <w:p>
      <w:pPr>
        <w:spacing w:after="0" w:line="29" w:lineRule="exact"/>
        <w:rPr>
          <w:rFonts w:ascii="Arial" w:cs="Arial" w:eastAsia="Arial" w:hAnsi="Arial"/>
          <w:sz w:val="16"/>
          <w:szCs w:val="16"/>
          <w:color w:val="auto"/>
        </w:rPr>
      </w:pPr>
    </w:p>
    <w:p>
      <w:pPr>
        <w:ind w:left="1420" w:right="600" w:hanging="430"/>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2,375,349 RSUs to vest on approval by FDA approval prior to 30 June 2022 of a next generation RECELL device (being an improvement of the current RECELL device and providing for ease of clinician use).</w:t>
      </w:r>
    </w:p>
    <w:p>
      <w:pPr>
        <w:spacing w:after="0" w:line="62"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For clarity where the RSUs the subject of paragraph 3.5(b) not approved by shareholders at the Company’s 2019 AGM, those RSUs will not be issued by the Company and the Participant will not have any claim or entitlement against the Company of any nature for the failure to issue those RSUs.</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RSU Conversion and Expiry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RSU, once vested, will convert into one (1) Share credited as fully paid.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RSUs will expire and cannot be exercised, converted or transferred if they have not vested on or before:</w:t>
      </w:r>
    </w:p>
    <w:p>
      <w:pPr>
        <w:spacing w:after="0" w:line="127" w:lineRule="exact"/>
        <w:rPr>
          <w:sz w:val="20"/>
          <w:szCs w:val="20"/>
          <w:color w:val="auto"/>
        </w:rPr>
      </w:pPr>
    </w:p>
    <w:p>
      <w:pPr>
        <w:ind w:left="980" w:hanging="54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3.3(a), paragraph 3.4(a) and paragraph 3.5(a) - </w:t>
      </w:r>
      <w:r>
        <w:rPr>
          <w:rFonts w:ascii="Arial" w:cs="Arial" w:eastAsia="Arial" w:hAnsi="Arial"/>
          <w:sz w:val="18"/>
          <w:szCs w:val="18"/>
          <w:b w:val="1"/>
          <w:bCs w:val="1"/>
          <w:color w:val="auto"/>
        </w:rPr>
        <w:t>30 November 2027</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in the case of the RSUs detailed in paragraphs 3.3(b) and 3.5(b) - </w:t>
      </w:r>
      <w:r>
        <w:rPr>
          <w:rFonts w:ascii="Arial" w:cs="Arial" w:eastAsia="Arial" w:hAnsi="Arial"/>
          <w:sz w:val="18"/>
          <w:szCs w:val="18"/>
          <w:b w:val="1"/>
          <w:bCs w:val="1"/>
          <w:color w:val="auto"/>
        </w:rPr>
        <w:t>22 November 2029</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Unvested RSUs re termination of employment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an RSU has already vested, in the event of the termination of employment of the Participant:</w:t>
      </w:r>
    </w:p>
    <w:p>
      <w:pPr>
        <w:spacing w:after="0" w:line="127" w:lineRule="exact"/>
        <w:rPr>
          <w:sz w:val="20"/>
          <w:szCs w:val="20"/>
          <w:color w:val="auto"/>
        </w:rPr>
      </w:pPr>
    </w:p>
    <w:p>
      <w:pPr>
        <w:ind w:left="980" w:hanging="54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 All the Participant’s unvested RSUs will lapse automatically;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Termination by the Company Without Cause</w:t>
      </w:r>
      <w:r>
        <w:rPr>
          <w:rFonts w:ascii="Arial" w:cs="Arial" w:eastAsia="Arial" w:hAnsi="Arial"/>
          <w:sz w:val="18"/>
          <w:szCs w:val="18"/>
          <w:color w:val="auto"/>
        </w:rPr>
        <w:t>: All the Participant’s unvested RSUs will vest;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Termination Due to Disability or Death</w:t>
      </w:r>
      <w:r>
        <w:rPr>
          <w:rFonts w:ascii="Arial" w:cs="Arial" w:eastAsia="Arial" w:hAnsi="Arial"/>
          <w:sz w:val="18"/>
          <w:szCs w:val="18"/>
          <w:color w:val="auto"/>
        </w:rPr>
        <w:t>: All the Participant’s unvested RSUs will vest;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Voluntary Termination for Good Cause</w:t>
      </w:r>
      <w:r>
        <w:rPr>
          <w:rFonts w:ascii="Arial" w:cs="Arial" w:eastAsia="Arial" w:hAnsi="Arial"/>
          <w:sz w:val="18"/>
          <w:szCs w:val="18"/>
          <w:color w:val="auto"/>
        </w:rPr>
        <w:t>: All the Participant’s unvested RSUs will vest;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Voluntary Termination in all other circumstances</w:t>
      </w:r>
      <w:r>
        <w:rPr>
          <w:rFonts w:ascii="Arial" w:cs="Arial" w:eastAsia="Arial" w:hAnsi="Arial"/>
          <w:sz w:val="18"/>
          <w:szCs w:val="18"/>
          <w:color w:val="auto"/>
        </w:rPr>
        <w:t>: All the Participant’s unvested RSUs will lapse automatically.</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Lapsed RSUs do not vest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RSU which has lapsed will not vest.</w:t>
      </w:r>
    </w:p>
    <w:p>
      <w:pPr>
        <w:sectPr>
          <w:pgSz w:w="11900" w:h="16838" w:orient="portrait"/>
          <w:cols w:equalWidth="0" w:num="1">
            <w:col w:w="10940"/>
          </w:cols>
          <w:pgMar w:left="440" w:top="274" w:right="519" w:bottom="1440" w:gutter="0" w:footer="0" w:header="0"/>
        </w:sectPr>
      </w:pPr>
    </w:p>
    <w:bookmarkStart w:id="21" w:name="page22"/>
    <w:bookmarkEnd w:id="21"/>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3.9</w:t>
      </w:r>
      <w:r>
        <w:rPr>
          <w:sz w:val="20"/>
          <w:szCs w:val="20"/>
          <w:color w:val="auto"/>
        </w:rPr>
        <w:tab/>
      </w:r>
      <w:r>
        <w:rPr>
          <w:rFonts w:ascii="Arial" w:cs="Arial" w:eastAsia="Arial" w:hAnsi="Arial"/>
          <w:sz w:val="16"/>
          <w:szCs w:val="16"/>
          <w:b w:val="1"/>
          <w:bCs w:val="1"/>
          <w:color w:val="auto"/>
        </w:rPr>
        <w:t>No vesting of RSU on bankruptcy</w:t>
      </w:r>
    </w:p>
    <w:p>
      <w:pPr>
        <w:spacing w:after="0" w:line="121" w:lineRule="exact"/>
        <w:rPr>
          <w:sz w:val="20"/>
          <w:szCs w:val="20"/>
          <w:color w:val="auto"/>
        </w:rPr>
      </w:pPr>
    </w:p>
    <w:p>
      <w:pPr>
        <w:jc w:val="both"/>
        <w:ind w:left="440" w:right="80"/>
        <w:spacing w:after="0" w:line="264" w:lineRule="auto"/>
        <w:rPr>
          <w:sz w:val="20"/>
          <w:szCs w:val="20"/>
          <w:color w:val="auto"/>
        </w:rPr>
      </w:pPr>
      <w:r>
        <w:rPr>
          <w:rFonts w:ascii="Arial" w:cs="Arial" w:eastAsia="Arial" w:hAnsi="Arial"/>
          <w:sz w:val="18"/>
          <w:szCs w:val="18"/>
          <w:color w:val="auto"/>
        </w:rPr>
        <w:t>It is a condition precedent to the vesting of a RSU that if the Participant is an individual, the Participant is not bankrupt and has not committed an act of bankruptcy or, if the Participant is deceased, the Participant’s estate is not bankrupt or if the Participant is not an individual, the Participant is not insolvent or subject to a resolution or order for winding up.</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Occurrence of a “Change in Control”</w:t>
      </w:r>
    </w:p>
    <w:p>
      <w:pPr>
        <w:spacing w:after="0" w:line="117" w:lineRule="exact"/>
        <w:rPr>
          <w:sz w:val="20"/>
          <w:szCs w:val="20"/>
          <w:color w:val="auto"/>
        </w:rPr>
      </w:pPr>
    </w:p>
    <w:p>
      <w:pPr>
        <w:jc w:val="both"/>
        <w:ind w:left="440" w:right="60"/>
        <w:spacing w:after="0" w:line="261" w:lineRule="auto"/>
        <w:rPr>
          <w:sz w:val="20"/>
          <w:szCs w:val="20"/>
          <w:color w:val="auto"/>
        </w:rPr>
      </w:pPr>
      <w:r>
        <w:rPr>
          <w:rFonts w:ascii="Arial" w:cs="Arial" w:eastAsia="Arial" w:hAnsi="Arial"/>
          <w:sz w:val="18"/>
          <w:szCs w:val="18"/>
          <w:color w:val="auto"/>
        </w:rPr>
        <w:t>Notwithstanding any other paragraph in this Schedule 2 but subject to all applicable laws upon the occurrence of a Control Event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Participant is as at the date of occurrence of a Control Event is still Continuously Employed), all of the unvested RSUs held by the Participant are deemed to be vested (without the need for any other action by the Company) and any Vesting Conditions are deemed to have been waived or so modified from such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7660" w:firstLine="4"/>
        <w:spacing w:after="0" w:line="385" w:lineRule="auto"/>
        <w:tabs>
          <w:tab w:leader="none" w:pos="43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Shares on vesting of RSUs 4.1 Issue or transfer</w:t>
      </w:r>
    </w:p>
    <w:p>
      <w:pPr>
        <w:spacing w:after="0" w:line="2" w:lineRule="exact"/>
        <w:rPr>
          <w:sz w:val="20"/>
          <w:szCs w:val="20"/>
          <w:color w:val="auto"/>
        </w:rPr>
      </w:pPr>
    </w:p>
    <w:p>
      <w:pPr>
        <w:ind w:left="440"/>
        <w:spacing w:after="0" w:line="276" w:lineRule="auto"/>
        <w:rPr>
          <w:sz w:val="20"/>
          <w:szCs w:val="20"/>
          <w:color w:val="auto"/>
        </w:rPr>
      </w:pPr>
      <w:r>
        <w:rPr>
          <w:rFonts w:ascii="Arial" w:cs="Arial" w:eastAsia="Arial" w:hAnsi="Arial"/>
          <w:sz w:val="17"/>
          <w:szCs w:val="17"/>
          <w:color w:val="auto"/>
        </w:rPr>
        <w:t>Subject to this paragraph 4.1, within 15 Business Days after the vesting of a Participant’s RSU the Company will issue or transfer to the Participant one Share (credited as fully paid) for each RSU vesting. If Participant is liable for taxes, duties or other amounts on the issuance of the RSU shares, and the Company liable to make a payment(s) for whatever reason (including withholding) to the appropriate authorities on account of that liability, unless the Participant and the Company agree otherwise, the Participant must pay to the Company the amount of such taxes within 5 business days of the RSU issuance, and the Company is required to pay the taxes to the appropriate authorities.</w:t>
      </w:r>
    </w:p>
    <w:p>
      <w:pPr>
        <w:spacing w:after="0" w:line="31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Shares issued by the Company to rank pari passu</w:t>
      </w:r>
    </w:p>
    <w:p>
      <w:pPr>
        <w:spacing w:after="0" w:line="121" w:lineRule="exact"/>
        <w:rPr>
          <w:sz w:val="20"/>
          <w:szCs w:val="20"/>
          <w:color w:val="auto"/>
        </w:rPr>
      </w:pPr>
    </w:p>
    <w:p>
      <w:pPr>
        <w:ind w:left="440" w:right="40"/>
        <w:spacing w:after="0" w:line="342" w:lineRule="auto"/>
        <w:rPr>
          <w:sz w:val="20"/>
          <w:szCs w:val="20"/>
          <w:color w:val="auto"/>
        </w:rPr>
      </w:pPr>
      <w:r>
        <w:rPr>
          <w:rFonts w:ascii="Arial" w:cs="Arial" w:eastAsia="Arial" w:hAnsi="Arial"/>
          <w:sz w:val="16"/>
          <w:szCs w:val="16"/>
          <w:color w:val="auto"/>
        </w:rPr>
        <w:t>All Shares issued on the vesting of a Participant’s RSUs will rank pari passu in all respects with the Shares of the same class for the time being on issue, except for any rights attaching to the Shares by reference to a record date prior to the date of the allotment of the Shares upon that vesting.</w:t>
      </w:r>
    </w:p>
    <w:p>
      <w:pPr>
        <w:spacing w:after="0" w:line="26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Shares to be quoted on ASX</w:t>
      </w:r>
    </w:p>
    <w:p>
      <w:pPr>
        <w:spacing w:after="0" w:line="121" w:lineRule="exact"/>
        <w:rPr>
          <w:sz w:val="20"/>
          <w:szCs w:val="20"/>
          <w:color w:val="auto"/>
        </w:rPr>
      </w:pPr>
    </w:p>
    <w:p>
      <w:pPr>
        <w:ind w:left="440" w:right="20"/>
        <w:spacing w:after="0" w:line="279" w:lineRule="auto"/>
        <w:rPr>
          <w:sz w:val="20"/>
          <w:szCs w:val="20"/>
          <w:color w:val="auto"/>
        </w:rPr>
      </w:pPr>
      <w:r>
        <w:rPr>
          <w:rFonts w:ascii="Arial" w:cs="Arial" w:eastAsia="Arial" w:hAnsi="Arial"/>
          <w:sz w:val="17"/>
          <w:szCs w:val="17"/>
          <w:color w:val="auto"/>
        </w:rPr>
        <w:t>If Shares of the same class as those issued or transferred on the vesting of a Participant’s RSUs are quoted on the ASX, the Company will apply to the ASX as required by the Listing Rules for those Shares to be quoted. In the event that the Company undergoes a reorganization that results in the conversion of Shares quoted on the ASX into shares quoted on another exchange, then the Company will apply to the relevant exchange and /or securities regulator (as required) for those converted shares (related to the RSUs that have vested) to be quoted.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440" w:hanging="436"/>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Reorganisation and winding-up</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RSUs may vest at a time earlier than the Prescribed Vesting Date</w:t>
      </w:r>
    </w:p>
    <w:p>
      <w:pPr>
        <w:spacing w:after="0" w:line="121" w:lineRule="exact"/>
        <w:rPr>
          <w:sz w:val="20"/>
          <w:szCs w:val="20"/>
          <w:color w:val="auto"/>
        </w:rPr>
      </w:pPr>
    </w:p>
    <w:p>
      <w:pPr>
        <w:jc w:val="both"/>
        <w:ind w:left="440" w:right="160"/>
        <w:spacing w:after="0" w:line="264" w:lineRule="auto"/>
        <w:rPr>
          <w:sz w:val="20"/>
          <w:szCs w:val="20"/>
          <w:color w:val="auto"/>
        </w:rPr>
      </w:pPr>
      <w:r>
        <w:rPr>
          <w:rFonts w:ascii="Arial" w:cs="Arial" w:eastAsia="Arial" w:hAnsi="Arial"/>
          <w:sz w:val="18"/>
          <w:szCs w:val="18"/>
          <w:color w:val="auto"/>
        </w:rPr>
        <w:t>Notwithstanding any of the above provisions, if the Board, in its absolute discretion but subject to applicable laws, gives notice that any or all of the Participant’s RSUs may vest as determined by the Board within a particular time, then the RSUs may vest within that time in addition to any other period during which the RSUs vest.</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Compulsory acquisition, Reorganisation or winding 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80" w:hanging="54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person becomes bound or entitled to compulsorily acquire Shares under the Company’s Constitution; or</w:t>
      </w:r>
    </w:p>
    <w:p>
      <w:pPr>
        <w:sectPr>
          <w:pgSz w:w="11900" w:h="16838" w:orient="portrait"/>
          <w:cols w:equalWidth="0" w:num="1">
            <w:col w:w="11000"/>
          </w:cols>
          <w:pgMar w:left="440" w:top="270" w:right="459" w:bottom="1440" w:gutter="0" w:footer="0" w:header="0"/>
        </w:sectPr>
      </w:pPr>
    </w:p>
    <w:bookmarkStart w:id="22" w:name="page23"/>
    <w:bookmarkEnd w:id="22"/>
    <w:p>
      <w:pPr>
        <w:ind w:left="980" w:hanging="54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Reorganisation is sanctioned by one or more of the following under the Company’s Constitution or otherwise:</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court;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general meeting or other meeting of holders of the Company’s securities; or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meeting of the Company’s creditors; or</w:t>
      </w:r>
    </w:p>
    <w:p>
      <w:pPr>
        <w:spacing w:after="0" w:line="130" w:lineRule="exact"/>
        <w:rPr>
          <w:rFonts w:ascii="Arial" w:cs="Arial" w:eastAsia="Arial" w:hAnsi="Arial"/>
          <w:sz w:val="18"/>
          <w:szCs w:val="18"/>
          <w:color w:val="auto"/>
        </w:rPr>
      </w:pPr>
    </w:p>
    <w:p>
      <w:pPr>
        <w:ind w:left="440" w:right="800" w:hanging="4"/>
        <w:spacing w:after="0" w:line="440" w:lineRule="auto"/>
        <w:tabs>
          <w:tab w:leader="none" w:pos="9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 passes a resolution for voluntary winding up or an order is made for the compulsory winding up of the Company, then the Board may vest RSUs within a specified period of up to 30 days after the occurrence of the relevant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2" w:lineRule="exact"/>
        <w:rPr>
          <w:sz w:val="20"/>
          <w:szCs w:val="20"/>
          <w:color w:val="auto"/>
        </w:rPr>
      </w:pPr>
    </w:p>
    <w:p>
      <w:pPr>
        <w:ind w:right="8920" w:firstLine="4"/>
        <w:spacing w:after="0" w:line="434" w:lineRule="auto"/>
        <w:tabs>
          <w:tab w:leader="none" w:pos="43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of RSUs 6.1 No bonus issue</w:t>
      </w:r>
    </w:p>
    <w:p>
      <w:pPr>
        <w:ind w:left="440"/>
        <w:spacing w:after="0" w:line="277"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bonus issue of Shares pro rata to shareholders of securities of the Company as a result of holding the RSU.</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Sub-division, consolidation, reduction or return</w:t>
      </w:r>
    </w:p>
    <w:p>
      <w:pPr>
        <w:spacing w:after="0" w:line="121" w:lineRule="exact"/>
        <w:rPr>
          <w:sz w:val="20"/>
          <w:szCs w:val="20"/>
          <w:color w:val="auto"/>
        </w:rPr>
      </w:pPr>
    </w:p>
    <w:p>
      <w:pPr>
        <w:ind w:left="440" w:right="140"/>
        <w:spacing w:after="0" w:line="264" w:lineRule="auto"/>
        <w:rPr>
          <w:sz w:val="20"/>
          <w:szCs w:val="20"/>
          <w:color w:val="auto"/>
        </w:rPr>
      </w:pPr>
      <w:r>
        <w:rPr>
          <w:rFonts w:ascii="Arial" w:cs="Arial" w:eastAsia="Arial" w:hAnsi="Arial"/>
          <w:sz w:val="18"/>
          <w:szCs w:val="18"/>
          <w:color w:val="auto"/>
        </w:rPr>
        <w:t>If there is any Reorganisation, including any subdivision, consolidation, reduction or return of the issued capital of the Company, the number of RSUs to which each Participant is entitled will be adjusted in the way specified by the Listing Rules (as apply to adjustments for options from time to time).</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No right to participate in new issues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Subject to the preceding paragraphs, during the currency of a Participant’s RSU and before its vests, the Participant is not entitled to participate in any new issue of securities of the Company as a result of holding the RSU.</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Accumulation of adjustments</w:t>
      </w:r>
    </w:p>
    <w:p>
      <w:pPr>
        <w:spacing w:after="0" w:line="121" w:lineRule="exact"/>
        <w:rPr>
          <w:sz w:val="20"/>
          <w:szCs w:val="20"/>
          <w:color w:val="auto"/>
        </w:rPr>
      </w:pPr>
    </w:p>
    <w:p>
      <w:pPr>
        <w:jc w:val="both"/>
        <w:ind w:left="440" w:right="40"/>
        <w:spacing w:after="0" w:line="264" w:lineRule="auto"/>
        <w:rPr>
          <w:sz w:val="20"/>
          <w:szCs w:val="20"/>
          <w:color w:val="auto"/>
        </w:rPr>
      </w:pPr>
      <w:r>
        <w:rPr>
          <w:rFonts w:ascii="Arial" w:cs="Arial" w:eastAsia="Arial" w:hAnsi="Arial"/>
          <w:sz w:val="18"/>
          <w:szCs w:val="18"/>
          <w:color w:val="auto"/>
        </w:rPr>
        <w:t>Full effect must be given to these paragraphs 6.1, 6.2 and 6.3 as and when occasions of their application arise and in such manner that the effects of the successive applications of them are cumulative, the intention being that the adjustments they progressively effect must be such as to reflect in relation to the Shares comprised in an RSU.</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Participant has no right to change the number of Shares into which the RSU vests.</w:t>
      </w:r>
    </w:p>
    <w:p>
      <w:pPr>
        <w:sectPr>
          <w:pgSz w:w="11900" w:h="16838" w:orient="portrait"/>
          <w:cols w:equalWidth="0" w:num="1">
            <w:col w:w="10940"/>
          </w:cols>
          <w:pgMar w:left="440" w:top="274" w:right="5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ASX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 (ASX: AVH)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3B – Annexure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Unlisted Options on Issue as at 28 November 2019</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1140" w:type="dxa"/>
            <w:vAlign w:val="bottom"/>
            <w:gridSpan w:val="2"/>
          </w:tcPr>
          <w:p>
            <w:pPr>
              <w:jc w:val="right"/>
              <w:spacing w:after="0"/>
              <w:rPr>
                <w:sz w:val="20"/>
                <w:szCs w:val="20"/>
                <w:color w:val="auto"/>
              </w:rPr>
            </w:pPr>
            <w:r>
              <w:rPr>
                <w:rFonts w:ascii="Arial" w:cs="Arial" w:eastAsia="Arial" w:hAnsi="Arial"/>
                <w:sz w:val="14"/>
                <w:szCs w:val="14"/>
                <w:color w:val="auto"/>
                <w:w w:val="93"/>
              </w:rPr>
              <w:t>Number of Options</w:t>
            </w:r>
          </w:p>
        </w:tc>
        <w:tc>
          <w:tcPr>
            <w:tcW w:w="3540" w:type="dxa"/>
            <w:vAlign w:val="bottom"/>
            <w:gridSpan w:val="3"/>
          </w:tcPr>
          <w:p>
            <w:pPr>
              <w:ind w:left="2700"/>
              <w:spacing w:after="0"/>
              <w:rPr>
                <w:sz w:val="20"/>
                <w:szCs w:val="20"/>
                <w:color w:val="auto"/>
              </w:rPr>
            </w:pPr>
            <w:r>
              <w:rPr>
                <w:rFonts w:ascii="Arial" w:cs="Arial" w:eastAsia="Arial" w:hAnsi="Arial"/>
                <w:sz w:val="14"/>
                <w:szCs w:val="14"/>
                <w:color w:val="auto"/>
                <w:w w:val="91"/>
              </w:rPr>
              <w:t>Exercise Price</w:t>
            </w:r>
          </w:p>
        </w:tc>
        <w:tc>
          <w:tcPr>
            <w:tcW w:w="3700" w:type="dxa"/>
            <w:vAlign w:val="bottom"/>
            <w:gridSpan w:val="3"/>
          </w:tcPr>
          <w:p>
            <w:pPr>
              <w:jc w:val="right"/>
              <w:ind w:right="60"/>
              <w:spacing w:after="0"/>
              <w:rPr>
                <w:sz w:val="20"/>
                <w:szCs w:val="20"/>
                <w:color w:val="auto"/>
              </w:rPr>
            </w:pPr>
            <w:r>
              <w:rPr>
                <w:rFonts w:ascii="Arial" w:cs="Arial" w:eastAsia="Arial" w:hAnsi="Arial"/>
                <w:sz w:val="14"/>
                <w:szCs w:val="14"/>
                <w:color w:val="auto"/>
              </w:rPr>
              <w:t>Expiration Date</w:t>
            </w:r>
          </w:p>
        </w:tc>
      </w:tr>
      <w:tr>
        <w:trPr>
          <w:trHeight w:val="210"/>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2,156,039</w:t>
            </w:r>
          </w:p>
        </w:tc>
        <w:tc>
          <w:tcPr>
            <w:tcW w:w="2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0.126</w:t>
            </w:r>
          </w:p>
        </w:tc>
        <w:tc>
          <w:tcPr>
            <w:tcW w:w="2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31-Dec-20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13,660,415</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0.085</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18-May-27</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1,072,916</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26-May-27</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1,038,333</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0.080</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27-Jun-27</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0.063</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6-Sep-27</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1,400,000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0.056</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12-Jun-28</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0.059</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25-Jun-28</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14,380,000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0.089</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1-Nov-28</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19,241,250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30-Nov-28</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0.057</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18-Apr-28</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8,360,000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0.057</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16-Apr-28</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700,000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0.057</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14-Jun-28</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30-Nov-28</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7,006,250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0.082</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2-Jan-29</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0.089</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2-Jan-29</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6,866,250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0.300</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1-Apr-29</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8,717,084</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0.420</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28-Jun-29</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0.440</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1-Jul-29</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29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0.590</w:t>
            </w:r>
          </w:p>
        </w:tc>
        <w:tc>
          <w:tcPr>
            <w:tcW w:w="2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1-Oct-29</w:t>
            </w:r>
          </w:p>
        </w:tc>
      </w:tr>
      <w:tr>
        <w:trPr>
          <w:trHeight w:val="216"/>
        </w:trPr>
        <w:tc>
          <w:tcPr>
            <w:tcW w:w="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13,500,000</w:t>
            </w:r>
          </w:p>
        </w:tc>
        <w:tc>
          <w:tcPr>
            <w:tcW w:w="296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0.560</w:t>
            </w:r>
          </w:p>
        </w:tc>
        <w:tc>
          <w:tcPr>
            <w:tcW w:w="27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25-Nov-29</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124,158,537</w:t>
            </w:r>
          </w:p>
        </w:tc>
        <w:tc>
          <w:tcPr>
            <w:tcW w:w="2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Unlisted Options Forfeited (since last Appendix 3B)</w:t>
      </w:r>
    </w:p>
    <w:p>
      <w:pPr>
        <w:spacing w:after="0" w:line="126" w:lineRule="exact"/>
        <w:rPr>
          <w:sz w:val="20"/>
          <w:szCs w:val="20"/>
          <w:color w:val="auto"/>
        </w:rPr>
      </w:pPr>
    </w:p>
    <w:p>
      <w:pPr>
        <w:ind w:left="880"/>
        <w:spacing w:after="0"/>
        <w:tabs>
          <w:tab w:leader="none" w:pos="6220" w:val="left"/>
          <w:tab w:leader="none" w:pos="7840" w:val="left"/>
          <w:tab w:leader="none" w:pos="9540" w:val="left"/>
        </w:tabs>
        <w:rPr>
          <w:sz w:val="20"/>
          <w:szCs w:val="20"/>
          <w:color w:val="auto"/>
        </w:rPr>
      </w:pPr>
      <w:r>
        <w:rPr>
          <w:rFonts w:ascii="Arial" w:cs="Arial" w:eastAsia="Arial" w:hAnsi="Arial"/>
          <w:sz w:val="14"/>
          <w:szCs w:val="14"/>
          <w:u w:val="single" w:color="auto"/>
          <w:color w:val="auto"/>
        </w:rPr>
        <w:t>Options Parcel</w:t>
      </w:r>
      <w:r>
        <w:rPr>
          <w:sz w:val="20"/>
          <w:szCs w:val="20"/>
          <w:color w:val="auto"/>
        </w:rPr>
        <w:tab/>
      </w:r>
      <w:r>
        <w:rPr>
          <w:rFonts w:ascii="Arial" w:cs="Arial" w:eastAsia="Arial" w:hAnsi="Arial"/>
          <w:sz w:val="14"/>
          <w:szCs w:val="14"/>
          <w:u w:val="single" w:color="auto"/>
          <w:color w:val="auto"/>
        </w:rPr>
        <w:t>Exercise Price</w:t>
      </w:r>
      <w:r>
        <w:rPr>
          <w:sz w:val="20"/>
          <w:szCs w:val="20"/>
          <w:color w:val="auto"/>
        </w:rPr>
        <w:tab/>
      </w:r>
      <w:r>
        <w:rPr>
          <w:rFonts w:ascii="Arial" w:cs="Arial" w:eastAsia="Arial" w:hAnsi="Arial"/>
          <w:sz w:val="14"/>
          <w:szCs w:val="14"/>
          <w:u w:val="single" w:color="auto"/>
          <w:color w:val="auto"/>
        </w:rPr>
        <w:t>Expiration Date</w:t>
      </w:r>
      <w:r>
        <w:rPr>
          <w:sz w:val="20"/>
          <w:szCs w:val="20"/>
          <w:color w:val="auto"/>
        </w:rPr>
        <w:tab/>
      </w:r>
      <w:r>
        <w:rPr>
          <w:rFonts w:ascii="Arial" w:cs="Arial" w:eastAsia="Arial" w:hAnsi="Arial"/>
          <w:sz w:val="13"/>
          <w:szCs w:val="13"/>
          <w:u w:val="single" w:color="auto"/>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12700</wp:posOffset>
            </wp:positionV>
            <wp:extent cx="58743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Unlisted Options issued within this Appendix 3B</w:t>
      </w:r>
    </w:p>
    <w:p>
      <w:pPr>
        <w:spacing w:after="0" w:line="126" w:lineRule="exact"/>
        <w:rPr>
          <w:sz w:val="20"/>
          <w:szCs w:val="20"/>
          <w:color w:val="auto"/>
        </w:rPr>
      </w:pPr>
    </w:p>
    <w:p>
      <w:pPr>
        <w:ind w:left="880"/>
        <w:spacing w:after="0"/>
        <w:tabs>
          <w:tab w:leader="none" w:pos="6460" w:val="left"/>
          <w:tab w:leader="none" w:pos="8040" w:val="left"/>
          <w:tab w:leader="none" w:pos="9700" w:val="left"/>
        </w:tabs>
        <w:rPr>
          <w:sz w:val="20"/>
          <w:szCs w:val="20"/>
          <w:color w:val="auto"/>
        </w:rPr>
      </w:pPr>
      <w:r>
        <w:rPr>
          <w:rFonts w:ascii="Arial" w:cs="Arial" w:eastAsia="Arial" w:hAnsi="Arial"/>
          <w:sz w:val="14"/>
          <w:szCs w:val="14"/>
          <w:u w:val="single" w:color="auto"/>
          <w:color w:val="auto"/>
        </w:rPr>
        <w:t>Options Parcel</w:t>
      </w:r>
      <w:r>
        <w:rPr>
          <w:sz w:val="20"/>
          <w:szCs w:val="20"/>
          <w:color w:val="auto"/>
        </w:rPr>
        <w:tab/>
      </w:r>
      <w:r>
        <w:rPr>
          <w:rFonts w:ascii="Arial" w:cs="Arial" w:eastAsia="Arial" w:hAnsi="Arial"/>
          <w:sz w:val="14"/>
          <w:szCs w:val="14"/>
          <w:u w:val="single" w:color="auto"/>
          <w:color w:val="auto"/>
        </w:rPr>
        <w:t>Exercise Price</w:t>
      </w:r>
      <w:r>
        <w:rPr>
          <w:sz w:val="20"/>
          <w:szCs w:val="20"/>
          <w:color w:val="auto"/>
        </w:rPr>
        <w:tab/>
      </w:r>
      <w:r>
        <w:rPr>
          <w:rFonts w:ascii="Arial" w:cs="Arial" w:eastAsia="Arial" w:hAnsi="Arial"/>
          <w:sz w:val="14"/>
          <w:szCs w:val="14"/>
          <w:u w:val="single" w:color="auto"/>
          <w:color w:val="auto"/>
        </w:rPr>
        <w:t>Expiration Date</w:t>
      </w:r>
      <w:r>
        <w:rPr>
          <w:sz w:val="20"/>
          <w:szCs w:val="20"/>
          <w:color w:val="auto"/>
        </w:rPr>
        <w:tab/>
      </w:r>
      <w:r>
        <w:rPr>
          <w:rFonts w:ascii="Arial" w:cs="Arial" w:eastAsia="Arial" w:hAnsi="Arial"/>
          <w:sz w:val="12"/>
          <w:szCs w:val="12"/>
          <w:u w:val="single" w:color="auto"/>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12700</wp:posOffset>
            </wp:positionV>
            <wp:extent cx="58743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sectPr>
          <w:pgSz w:w="11900" w:h="16838" w:orient="portrait"/>
          <w:cols w:equalWidth="0" w:num="1">
            <w:col w:w="11020"/>
          </w:cols>
          <w:pgMar w:left="440" w:top="1323"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Unlisted Options exercised within this Appendix 3B</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gridSpan w:val="5"/>
          </w:tcPr>
          <w:p>
            <w:pPr>
              <w:ind w:left="880"/>
              <w:spacing w:after="0"/>
              <w:rPr>
                <w:sz w:val="20"/>
                <w:szCs w:val="20"/>
                <w:color w:val="auto"/>
              </w:rPr>
            </w:pPr>
            <w:r>
              <w:rPr>
                <w:rFonts w:ascii="Arial" w:cs="Arial" w:eastAsia="Arial" w:hAnsi="Arial"/>
                <w:sz w:val="14"/>
                <w:szCs w:val="14"/>
                <w:color w:val="auto"/>
              </w:rPr>
              <w:t>Options Parcel</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Exercise Price</w:t>
            </w:r>
          </w:p>
        </w:tc>
        <w:tc>
          <w:tcPr>
            <w:tcW w:w="1340" w:type="dxa"/>
            <w:vAlign w:val="bottom"/>
            <w:gridSpan w:val="3"/>
          </w:tcPr>
          <w:p>
            <w:pPr>
              <w:jc w:val="right"/>
              <w:ind w:right="420"/>
              <w:spacing w:after="0"/>
              <w:rPr>
                <w:sz w:val="20"/>
                <w:szCs w:val="20"/>
                <w:color w:val="auto"/>
              </w:rPr>
            </w:pPr>
            <w:r>
              <w:rPr>
                <w:rFonts w:ascii="Arial" w:cs="Arial" w:eastAsia="Arial" w:hAnsi="Arial"/>
                <w:sz w:val="14"/>
                <w:szCs w:val="14"/>
                <w:color w:val="auto"/>
                <w:w w:val="93"/>
              </w:rPr>
              <w:t>Expiration Date</w:t>
            </w:r>
          </w:p>
        </w:tc>
        <w:tc>
          <w:tcPr>
            <w:tcW w:w="600" w:type="dxa"/>
            <w:vAlign w:val="bottom"/>
            <w:gridSpan w:val="3"/>
          </w:tcPr>
          <w:p>
            <w:pPr>
              <w:ind w:left="80"/>
              <w:spacing w:after="0"/>
              <w:rPr>
                <w:sz w:val="20"/>
                <w:szCs w:val="20"/>
                <w:color w:val="auto"/>
              </w:rPr>
            </w:pPr>
            <w:r>
              <w:rPr>
                <w:rFonts w:ascii="Arial" w:cs="Arial" w:eastAsia="Arial" w:hAnsi="Arial"/>
                <w:sz w:val="14"/>
                <w:szCs w:val="14"/>
                <w:color w:val="auto"/>
              </w:rPr>
              <w:t>Issued</w:t>
            </w:r>
          </w:p>
        </w:tc>
      </w:tr>
      <w:tr>
        <w:trPr>
          <w:trHeight w:val="203"/>
        </w:trPr>
        <w:tc>
          <w:tcPr>
            <w:tcW w:w="880" w:type="dxa"/>
            <w:vAlign w:val="bottom"/>
          </w:tcPr>
          <w:p>
            <w:pPr>
              <w:spacing w:after="0"/>
              <w:rPr>
                <w:sz w:val="17"/>
                <w:szCs w:val="17"/>
                <w:color w:val="auto"/>
              </w:rPr>
            </w:pPr>
          </w:p>
        </w:tc>
        <w:tc>
          <w:tcPr>
            <w:tcW w:w="8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5"/>
              </w:rPr>
              <w:t>14,380,000</w:t>
            </w:r>
          </w:p>
        </w:tc>
        <w:tc>
          <w:tcPr>
            <w:tcW w:w="7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0.089</w:t>
            </w:r>
          </w:p>
        </w:tc>
        <w:tc>
          <w:tcPr>
            <w:tcW w:w="4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01/11/2028</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12,500</w:t>
            </w:r>
          </w:p>
        </w:tc>
        <w:tc>
          <w:tcPr>
            <w:tcW w:w="60" w:type="dxa"/>
            <w:vAlign w:val="bottom"/>
            <w:tcBorders>
              <w:top w:val="single" w:sz="8" w:color="CCEEFF"/>
            </w:tcBorders>
            <w:shd w:val="clear" w:color="auto" w:fill="CCEEFF"/>
          </w:tcPr>
          <w:p>
            <w:pPr>
              <w:spacing w:after="0"/>
              <w:rPr>
                <w:sz w:val="17"/>
                <w:szCs w:val="17"/>
                <w:color w:val="auto"/>
              </w:rPr>
            </w:pPr>
          </w:p>
        </w:tc>
      </w:tr>
      <w:tr>
        <w:trPr>
          <w:trHeight w:val="540"/>
        </w:trPr>
        <w:tc>
          <w:tcPr>
            <w:tcW w:w="444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89"/>
              </w:rPr>
              <w:t>Unlisted Options on Issue as at 3 December 2019</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880" w:type="dxa"/>
            <w:vAlign w:val="bottom"/>
          </w:tcPr>
          <w:p>
            <w:pPr>
              <w:spacing w:after="0"/>
              <w:rPr>
                <w:sz w:val="23"/>
                <w:szCs w:val="23"/>
                <w:color w:val="auto"/>
              </w:rPr>
            </w:pPr>
          </w:p>
        </w:tc>
        <w:tc>
          <w:tcPr>
            <w:tcW w:w="3560" w:type="dxa"/>
            <w:vAlign w:val="bottom"/>
            <w:gridSpan w:val="4"/>
          </w:tcPr>
          <w:p>
            <w:pPr>
              <w:jc w:val="center"/>
              <w:ind w:right="1560"/>
              <w:spacing w:after="0"/>
              <w:rPr>
                <w:sz w:val="20"/>
                <w:szCs w:val="20"/>
                <w:color w:val="auto"/>
              </w:rPr>
            </w:pPr>
            <w:r>
              <w:rPr>
                <w:rFonts w:ascii="Arial" w:cs="Arial" w:eastAsia="Arial" w:hAnsi="Arial"/>
                <w:sz w:val="14"/>
                <w:szCs w:val="14"/>
                <w:color w:val="auto"/>
                <w:w w:val="95"/>
              </w:rPr>
              <w:t>Number of Options</w:t>
            </w:r>
          </w:p>
        </w:tc>
        <w:tc>
          <w:tcPr>
            <w:tcW w:w="1560" w:type="dxa"/>
            <w:vAlign w:val="bottom"/>
            <w:gridSpan w:val="3"/>
          </w:tcPr>
          <w:p>
            <w:pPr>
              <w:ind w:left="720"/>
              <w:spacing w:after="0"/>
              <w:rPr>
                <w:sz w:val="20"/>
                <w:szCs w:val="20"/>
                <w:color w:val="auto"/>
              </w:rPr>
            </w:pPr>
            <w:r>
              <w:rPr>
                <w:rFonts w:ascii="Arial" w:cs="Arial" w:eastAsia="Arial" w:hAnsi="Arial"/>
                <w:sz w:val="14"/>
                <w:szCs w:val="14"/>
                <w:color w:val="auto"/>
                <w:w w:val="91"/>
              </w:rPr>
              <w:t>Exercise Price</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40" w:type="dxa"/>
            <w:vAlign w:val="bottom"/>
            <w:gridSpan w:val="6"/>
          </w:tcPr>
          <w:p>
            <w:pPr>
              <w:jc w:val="right"/>
              <w:ind w:right="500"/>
              <w:spacing w:after="0"/>
              <w:rPr>
                <w:sz w:val="20"/>
                <w:szCs w:val="20"/>
                <w:color w:val="auto"/>
              </w:rPr>
            </w:pPr>
            <w:r>
              <w:rPr>
                <w:rFonts w:ascii="Arial" w:cs="Arial" w:eastAsia="Arial" w:hAnsi="Arial"/>
                <w:sz w:val="14"/>
                <w:szCs w:val="14"/>
                <w:color w:val="auto"/>
              </w:rPr>
              <w:t>Expiration Date</w:t>
            </w:r>
          </w:p>
        </w:tc>
      </w:tr>
      <w:tr>
        <w:trPr>
          <w:trHeight w:val="210"/>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2,156,039</w:t>
            </w:r>
          </w:p>
        </w:tc>
        <w:tc>
          <w:tcPr>
            <w:tcW w:w="19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0.126</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31-Dec-20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13,660,415</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0.085</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18-May-27</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1,072,916</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26-May-27</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1,038,333</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27-Jun-27</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4,000,000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0.063</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6-Sep-27</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1,400,000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0.056</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12-Jun-28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0.059</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25-Jun-28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14,367,500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0.089</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1-Nov-28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19,241,250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30-Nov-28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0.057</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18-Apr-28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8,360,000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0.057</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16-Apr-28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0.057</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14-Jun-28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15,000,000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30-Nov-28</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7,006,250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0.082</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2-Jan-29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380,000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0.089</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2-Jan-29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6,866,250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1-Apr-29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8,717,084</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0.420</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28-Jun-29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0.440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1-Jul-29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980,000</w:t>
            </w:r>
          </w:p>
        </w:tc>
        <w:tc>
          <w:tcPr>
            <w:tcW w:w="19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0.590</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1-Oct-29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13,500,000</w:t>
            </w:r>
          </w:p>
        </w:tc>
        <w:tc>
          <w:tcPr>
            <w:tcW w:w="198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0.560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25-Nov-29</w:t>
            </w:r>
          </w:p>
        </w:tc>
        <w:tc>
          <w:tcPr>
            <w:tcW w:w="440" w:type="dxa"/>
            <w:vAlign w:val="bottom"/>
            <w:gridSpan w:val="2"/>
          </w:tcPr>
          <w:p>
            <w:pPr>
              <w:spacing w:after="0"/>
              <w:rPr>
                <w:sz w:val="18"/>
                <w:szCs w:val="18"/>
                <w:color w:val="auto"/>
              </w:rPr>
            </w:pPr>
          </w:p>
        </w:tc>
      </w:tr>
      <w:tr>
        <w:trPr>
          <w:trHeight w:val="216"/>
        </w:trPr>
        <w:tc>
          <w:tcPr>
            <w:tcW w:w="134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124,146,037</w:t>
            </w:r>
          </w:p>
        </w:tc>
        <w:tc>
          <w:tcPr>
            <w:tcW w:w="1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ectPr>
          <w:pgSz w:w="11900" w:h="16838" w:orient="portrait"/>
          <w:cols w:equalWidth="0" w:num="1">
            <w:col w:w="10140"/>
          </w:cols>
          <w:pgMar w:left="440" w:top="274" w:right="13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ASX/News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1337945" cy="531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79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LIMITED (ASX: AVH)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Cleansing Notice under section 708A of the Corporations Act 2001 (Cth)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Valencia, California, USA, and Melbourne, Australia, 3 December 2019 </w:t>
      </w:r>
      <w:r>
        <w:rPr>
          <w:rFonts w:ascii="Arial" w:cs="Arial" w:eastAsia="Arial" w:hAnsi="Arial"/>
          <w:sz w:val="18"/>
          <w:szCs w:val="18"/>
          <w:color w:val="auto"/>
        </w:rPr>
        <w:t>— Avita Medical Limited (ASX: AVH) (the Company) issued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12,500 Fully Paid Ordinary Shares, exercised as part of conversion of Unlisted Options granted to employees.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gives notice under section 708A(5)(e) of the Corporations Act 2001 (Cth) (Act) in compliance with the requirements of section 708A(6)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Act as follows:</w:t>
      </w:r>
    </w:p>
    <w:p>
      <w:pPr>
        <w:spacing w:after="0" w:line="116" w:lineRule="exact"/>
        <w:rPr>
          <w:sz w:val="20"/>
          <w:szCs w:val="20"/>
          <w:color w:val="auto"/>
        </w:rPr>
      </w:pPr>
    </w:p>
    <w:p>
      <w:pPr>
        <w:ind w:left="440" w:hanging="436"/>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issued the shares without disclosure under Part 6D.2 of the Act;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at the date of this notice, the Company has complied with:</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provisions of Chapter 2M of the Act as they apply to the Company;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provisions of section 674 of the Act.</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is not aware of any information required to be disclosed for the purposes of section 708A(6)(e) of the Act, being information:</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that has been excluded from a continuous disclosure notice in accordance with the Listing Rules of the ASX;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that investors and their professional advisors would reasonably require for the purposes of making an informed assessment of:</w:t>
      </w:r>
    </w:p>
    <w:p>
      <w:pPr>
        <w:spacing w:after="0" w:line="142" w:lineRule="exact"/>
        <w:rPr>
          <w:rFonts w:ascii="Arial" w:cs="Arial" w:eastAsia="Arial" w:hAnsi="Arial"/>
          <w:sz w:val="17"/>
          <w:szCs w:val="17"/>
          <w:color w:val="auto"/>
        </w:rPr>
      </w:pPr>
    </w:p>
    <w:p>
      <w:pPr>
        <w:ind w:left="1420" w:hanging="430"/>
        <w:spacing w:after="0"/>
        <w:tabs>
          <w:tab w:leader="none" w:pos="14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assets and liabilities, financial position and performance, profits and losses and prospects of the Company; or</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rights and liabilities attaching to the Ordinary Shares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 Appendix 3B with respect to the issue has been lodged with ASX along with this Cleansing Notice.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at the date of this Cleansing Notice, there is no excluded information for the purposes of section 708A(7) and section 708A(8) of the Corporations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AVITA MEDICAL LIMITED</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REGENERATIVE EPIDERMAL SUSPENSION</w:t>
      </w:r>
      <w:r>
        <w:rPr>
          <w:rFonts w:ascii="Arial" w:cs="Arial" w:eastAsia="Arial" w:hAnsi="Arial"/>
          <w:sz w:val="15"/>
          <w:szCs w:val="15"/>
          <w:color w:val="auto"/>
        </w:rPr>
        <w:t>™</w:t>
      </w:r>
      <w:r>
        <w:rPr>
          <w:rFonts w:ascii="Arial" w:cs="Arial" w:eastAsia="Arial" w:hAnsi="Arial"/>
          <w:sz w:val="18"/>
          <w:szCs w:val="18"/>
          <w:color w:val="auto"/>
        </w:rPr>
        <w:t xml:space="preserve"> (RES</w:t>
      </w:r>
      <w:r>
        <w:rPr>
          <w:rFonts w:ascii="Arial" w:cs="Arial" w:eastAsia="Arial" w:hAnsi="Arial"/>
          <w:sz w:val="15"/>
          <w:szCs w:val="15"/>
          <w:color w:val="auto"/>
        </w:rPr>
        <w:t>™</w:t>
      </w:r>
      <w:r>
        <w:rPr>
          <w:rFonts w:ascii="Arial" w:cs="Arial" w:eastAsia="Arial" w:hAnsi="Arial"/>
          <w:sz w:val="18"/>
          <w:szCs w:val="18"/>
          <w:color w:val="auto"/>
        </w:rPr>
        <w:t>),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AVITA Medical’s first U.S.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(FDA) in September 2018. The RECELL System is indicated for use in the treatment of acute thermal burns in patients 18 years and older. The RECELL System produces Spray-On Skin</w:t>
      </w:r>
      <w:r>
        <w:rPr>
          <w:rFonts w:ascii="Arial" w:cs="Arial" w:eastAsia="Arial" w:hAnsi="Arial"/>
          <w:sz w:val="13"/>
          <w:szCs w:val="13"/>
          <w:color w:val="auto"/>
        </w:rPr>
        <w:t>™</w:t>
      </w:r>
      <w:r>
        <w:rPr>
          <w:rFonts w:ascii="Arial" w:cs="Arial" w:eastAsia="Arial" w:hAnsi="Arial"/>
          <w:sz w:val="16"/>
          <w:szCs w:val="16"/>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7,000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3"/>
          <w:szCs w:val="13"/>
          <w:color w:val="auto"/>
        </w:rPr>
        <w:t>®</w:t>
      </w:r>
      <w:r>
        <w:rPr>
          <w:rFonts w:ascii="Arial" w:cs="Arial" w:eastAsia="Arial" w:hAnsi="Arial"/>
          <w:sz w:val="16"/>
          <w:szCs w:val="16"/>
          <w:color w:val="auto"/>
        </w:rPr>
        <w:t xml:space="preserve"> Autologous Cell Harvesting Device for a full description of important safety information including contraindications, warnings and precautions.</w:t>
      </w:r>
    </w:p>
    <w:p>
      <w:pPr>
        <w:spacing w:after="0" w:line="16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international markets outside of Europe, our products are marketed under the RECELL System brand to promote skin healing in a wide range of applications including burns, chronic wounds and aesthetics. The RECELL System is TGA-registered in Australia, and CFDA-cleared in China.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visit www.avitamedical.com.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ectPr>
          <w:pgSz w:w="11900" w:h="16838" w:orient="portrait"/>
          <w:cols w:equalWidth="0" w:num="1">
            <w:col w:w="11000"/>
          </w:cols>
          <w:pgMar w:left="440" w:top="270" w:right="4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w:t>
            </w:r>
          </w:p>
        </w:tc>
        <w:tc>
          <w:tcPr>
            <w:tcW w:w="2360" w:type="dxa"/>
            <w:vAlign w:val="bottom"/>
          </w:tcPr>
          <w:p>
            <w:pPr>
              <w:spacing w:after="0"/>
              <w:rPr>
                <w:sz w:val="20"/>
                <w:szCs w:val="20"/>
                <w:color w:val="auto"/>
              </w:rPr>
            </w:pPr>
          </w:p>
        </w:tc>
      </w:tr>
      <w:tr>
        <w:trPr>
          <w:trHeight w:val="441"/>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Sam Brown, Inc</w:t>
            </w:r>
          </w:p>
        </w:tc>
        <w:tc>
          <w:tcPr>
            <w:tcW w:w="2360" w:type="dxa"/>
            <w:vAlign w:val="bottom"/>
          </w:tcPr>
          <w:p>
            <w:pPr>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Chris Curran</w:t>
            </w:r>
          </w:p>
        </w:tc>
        <w:tc>
          <w:tcPr>
            <w:tcW w:w="2360" w:type="dxa"/>
            <w:vAlign w:val="bottom"/>
          </w:tcPr>
          <w:p>
            <w:pPr>
              <w:spacing w:after="0"/>
              <w:rPr>
                <w:sz w:val="20"/>
                <w:szCs w:val="20"/>
                <w:color w:val="auto"/>
              </w:rPr>
            </w:pPr>
            <w:r>
              <w:rPr>
                <w:rFonts w:ascii="Arial" w:cs="Arial" w:eastAsia="Arial" w:hAnsi="Arial"/>
                <w:sz w:val="18"/>
                <w:szCs w:val="18"/>
                <w:color w:val="auto"/>
              </w:rPr>
              <w:t>Caroline Corner</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Phone +1-615.414.8668</w:t>
            </w:r>
          </w:p>
        </w:tc>
        <w:tc>
          <w:tcPr>
            <w:tcW w:w="2360" w:type="dxa"/>
            <w:vAlign w:val="bottom"/>
          </w:tcPr>
          <w:p>
            <w:pPr>
              <w:spacing w:after="0"/>
              <w:rPr>
                <w:sz w:val="20"/>
                <w:szCs w:val="20"/>
                <w:color w:val="auto"/>
              </w:rPr>
            </w:pPr>
            <w:r>
              <w:rPr>
                <w:rFonts w:ascii="Arial" w:cs="Arial" w:eastAsia="Arial" w:hAnsi="Arial"/>
                <w:sz w:val="18"/>
                <w:szCs w:val="18"/>
                <w:color w:val="auto"/>
              </w:rPr>
              <w:t>Phone +1-415-202-5678</w:t>
            </w:r>
          </w:p>
        </w:tc>
      </w:tr>
      <w:tr>
        <w:trPr>
          <w:trHeight w:val="190"/>
        </w:trPr>
        <w:tc>
          <w:tcPr>
            <w:tcW w:w="5640" w:type="dxa"/>
            <w:vAlign w:val="bottom"/>
            <w:gridSpan w:val="3"/>
          </w:tcPr>
          <w:p>
            <w:pPr>
              <w:spacing w:after="0" w:line="190" w:lineRule="exact"/>
              <w:rPr>
                <w:sz w:val="20"/>
                <w:szCs w:val="20"/>
                <w:color w:val="auto"/>
              </w:rPr>
            </w:pPr>
            <w:r>
              <w:rPr>
                <w:rFonts w:ascii="Arial" w:cs="Arial" w:eastAsia="Arial" w:hAnsi="Arial"/>
                <w:sz w:val="18"/>
                <w:szCs w:val="18"/>
                <w:color w:val="auto"/>
              </w:rPr>
              <w:t>christycurran@sambrown.com</w:t>
            </w:r>
          </w:p>
        </w:tc>
        <w:tc>
          <w:tcPr>
            <w:tcW w:w="2360" w:type="dxa"/>
            <w:vAlign w:val="bottom"/>
          </w:tcPr>
          <w:p>
            <w:pPr>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448"/>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O.U.S Media</w:t>
            </w:r>
          </w:p>
        </w:tc>
        <w:tc>
          <w:tcPr>
            <w:tcW w:w="3420" w:type="dxa"/>
            <w:vAlign w:val="bottom"/>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r>
      <w:tr>
        <w:trPr>
          <w:trHeight w:val="220"/>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Monsoon Communications</w:t>
            </w:r>
          </w:p>
        </w:tc>
        <w:tc>
          <w:tcPr>
            <w:tcW w:w="2360" w:type="dxa"/>
            <w:vAlign w:val="bottom"/>
          </w:tcPr>
          <w:p>
            <w:pPr>
              <w:spacing w:after="0"/>
              <w:rPr>
                <w:sz w:val="19"/>
                <w:szCs w:val="19"/>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Sarah Kemter</w:t>
            </w:r>
          </w:p>
        </w:tc>
        <w:tc>
          <w:tcPr>
            <w:tcW w:w="2360" w:type="dxa"/>
            <w:vAlign w:val="bottom"/>
          </w:tcPr>
          <w:p>
            <w:pPr>
              <w:spacing w:after="0"/>
              <w:rPr>
                <w:sz w:val="18"/>
                <w:szCs w:val="18"/>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Phone +61 (0)3 9620 3333</w:t>
            </w:r>
          </w:p>
        </w:tc>
        <w:tc>
          <w:tcPr>
            <w:tcW w:w="2360" w:type="dxa"/>
            <w:vAlign w:val="bottom"/>
          </w:tcPr>
          <w:p>
            <w:pPr>
              <w:spacing w:after="0"/>
              <w:rPr>
                <w:sz w:val="18"/>
                <w:szCs w:val="18"/>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Mobile +61 (0)407 162 530</w:t>
            </w:r>
          </w:p>
        </w:tc>
        <w:tc>
          <w:tcPr>
            <w:tcW w:w="2360" w:type="dxa"/>
            <w:vAlign w:val="bottom"/>
          </w:tcPr>
          <w:p>
            <w:pPr>
              <w:spacing w:after="0"/>
              <w:rPr>
                <w:sz w:val="18"/>
                <w:szCs w:val="18"/>
                <w:color w:val="auto"/>
              </w:rPr>
            </w:pPr>
          </w:p>
        </w:tc>
      </w:tr>
      <w:tr>
        <w:trPr>
          <w:trHeight w:val="190"/>
        </w:trPr>
        <w:tc>
          <w:tcPr>
            <w:tcW w:w="5640" w:type="dxa"/>
            <w:vAlign w:val="bottom"/>
            <w:gridSpan w:val="3"/>
          </w:tcPr>
          <w:p>
            <w:pPr>
              <w:spacing w:after="0" w:line="190" w:lineRule="exact"/>
              <w:rPr>
                <w:sz w:val="20"/>
                <w:szCs w:val="20"/>
                <w:color w:val="auto"/>
              </w:rPr>
            </w:pPr>
            <w:r>
              <w:rPr>
                <w:rFonts w:ascii="Arial" w:cs="Arial" w:eastAsia="Arial" w:hAnsi="Arial"/>
                <w:sz w:val="18"/>
                <w:szCs w:val="18"/>
                <w:color w:val="auto"/>
              </w:rPr>
              <w:t>sarahk@monsoon.com.au</w:t>
            </w:r>
          </w:p>
        </w:tc>
        <w:tc>
          <w:tcPr>
            <w:tcW w:w="2360" w:type="dxa"/>
            <w:vAlign w:val="bottom"/>
          </w:tcPr>
          <w:p>
            <w:pPr>
              <w:spacing w:after="0"/>
              <w:rPr>
                <w:sz w:val="16"/>
                <w:szCs w:val="16"/>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8" w:name="page29"/>
    <w:bookmarkEnd w:id="28"/>
    <w:p>
      <w:pPr>
        <w:jc w:val="right"/>
        <w:ind w:right="2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Appendix 3Y</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ind w:right="20"/>
        <w:spacing w:after="0"/>
        <w:rPr>
          <w:sz w:val="20"/>
          <w:szCs w:val="20"/>
          <w:color w:val="auto"/>
        </w:rPr>
      </w:pPr>
      <w:r>
        <w:rPr>
          <w:rFonts w:ascii="Arial" w:cs="Arial" w:eastAsia="Arial" w:hAnsi="Arial"/>
          <w:sz w:val="18"/>
          <w:szCs w:val="18"/>
          <w:i w:val="1"/>
          <w:iCs w:val="1"/>
          <w:color w:val="auto"/>
        </w:rPr>
        <w:t>Rule 3.19A.2</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Appendix 3Y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of Director’s Interest Notice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Introduced 30/09/01 Amended 01/01/11</w:t>
      </w:r>
    </w:p>
    <w:p>
      <w:pPr>
        <w:sectPr>
          <w:pgSz w:w="11900" w:h="16838" w:orient="portrait"/>
          <w:cols w:equalWidth="0" w:num="1">
            <w:col w:w="11040"/>
          </w:cols>
          <w:pgMar w:left="440" w:top="121" w:right="419" w:bottom="1440" w:gutter="0" w:footer="0" w:header="0"/>
        </w:sectPr>
      </w:pP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Name of entity ABN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AVITA Medical Limited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28 058 466 523</w:t>
      </w:r>
    </w:p>
    <w:p>
      <w:pPr>
        <w:spacing w:after="0" w:line="211" w:lineRule="exact"/>
        <w:rPr>
          <w:sz w:val="20"/>
          <w:szCs w:val="20"/>
          <w:color w:val="auto"/>
        </w:rPr>
      </w:pPr>
    </w:p>
    <w:p>
      <w:pPr>
        <w:sectPr>
          <w:pgSz w:w="11900" w:h="16838" w:orient="portrait"/>
          <w:cols w:equalWidth="0" w:num="2">
            <w:col w:w="1140" w:space="660"/>
            <w:col w:w="9240"/>
          </w:cols>
          <w:pgMar w:left="440" w:top="121" w:right="419" w:bottom="1440" w:gutter="0" w:footer="0" w:header="0"/>
          <w:type w:val="continuous"/>
        </w:sectPr>
      </w:pPr>
    </w:p>
    <w:p>
      <w:pPr>
        <w:ind w:right="480"/>
        <w:spacing w:after="0" w:line="277" w:lineRule="auto"/>
        <w:rPr>
          <w:sz w:val="20"/>
          <w:szCs w:val="20"/>
          <w:color w:val="auto"/>
        </w:rPr>
      </w:pPr>
      <w:r>
        <w:rPr>
          <w:rFonts w:ascii="Arial" w:cs="Arial" w:eastAsia="Arial" w:hAnsi="Arial"/>
          <w:sz w:val="18"/>
          <w:szCs w:val="18"/>
          <w:color w:val="auto"/>
        </w:rPr>
        <w:t>We (the entity) give ASX the following information under listing rule 3.19A.2 and as agent for the director for the purposes of section 205G of the Corporations Act.</w:t>
      </w:r>
    </w:p>
    <w:p>
      <w:pPr>
        <w:sectPr>
          <w:pgSz w:w="11900" w:h="16838" w:orient="portrait"/>
          <w:cols w:equalWidth="0" w:num="1">
            <w:col w:w="11040"/>
          </w:cols>
          <w:pgMar w:left="440" w:top="121" w:right="41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Director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last notice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Michael Perry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18 November 2019</w:t>
      </w:r>
    </w:p>
    <w:p>
      <w:pPr>
        <w:spacing w:after="0" w:line="200" w:lineRule="exact"/>
        <w:rPr>
          <w:sz w:val="20"/>
          <w:szCs w:val="20"/>
          <w:color w:val="auto"/>
        </w:rPr>
      </w:pPr>
    </w:p>
    <w:p>
      <w:pPr>
        <w:sectPr>
          <w:pgSz w:w="11900" w:h="16838" w:orient="portrait"/>
          <w:cols w:equalWidth="0" w:num="2">
            <w:col w:w="3480" w:space="720"/>
            <w:col w:w="6840"/>
          </w:cols>
          <w:pgMar w:left="440" w:top="121" w:right="41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Change of director’s relevant interests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case of a trust, this includes interests in the trust made available by the responsible entity of the trust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Note: In the case of a company, interests which come within paragraph (i) of the definition of “notifiable interest of a director” should be disclosed in this part.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Direct or indirect interest</w:t>
            </w:r>
          </w:p>
        </w:tc>
        <w:tc>
          <w:tcPr>
            <w:tcW w:w="5400" w:type="dxa"/>
            <w:vAlign w:val="bottom"/>
          </w:tcPr>
          <w:p>
            <w:pPr>
              <w:ind w:left="100"/>
              <w:spacing w:after="0"/>
              <w:rPr>
                <w:sz w:val="20"/>
                <w:szCs w:val="20"/>
                <w:color w:val="auto"/>
              </w:rPr>
            </w:pPr>
            <w:r>
              <w:rPr>
                <w:rFonts w:ascii="Arial" w:cs="Arial" w:eastAsia="Arial" w:hAnsi="Arial"/>
                <w:sz w:val="18"/>
                <w:szCs w:val="18"/>
                <w:color w:val="auto"/>
              </w:rPr>
              <w:t>Direct</w:t>
            </w:r>
          </w:p>
        </w:tc>
      </w:tr>
      <w:tr>
        <w:trPr>
          <w:trHeight w:val="306"/>
        </w:trPr>
        <w:tc>
          <w:tcPr>
            <w:tcW w:w="5640" w:type="dxa"/>
            <w:vAlign w:val="bottom"/>
          </w:tcPr>
          <w:p>
            <w:pPr>
              <w:spacing w:after="0"/>
              <w:rPr>
                <w:sz w:val="20"/>
                <w:szCs w:val="20"/>
                <w:color w:val="auto"/>
              </w:rPr>
            </w:pPr>
            <w:r>
              <w:rPr>
                <w:rFonts w:ascii="Arial" w:cs="Arial" w:eastAsia="Arial" w:hAnsi="Arial"/>
                <w:sz w:val="18"/>
                <w:szCs w:val="18"/>
                <w:b w:val="1"/>
                <w:bCs w:val="1"/>
                <w:color w:val="auto"/>
              </w:rPr>
              <w:t>Nature of indirect interest</w:t>
            </w:r>
          </w:p>
        </w:tc>
        <w:tc>
          <w:tcPr>
            <w:tcW w:w="5400" w:type="dxa"/>
            <w:vAlign w:val="bottom"/>
          </w:tcPr>
          <w:p>
            <w:pPr>
              <w:spacing w:after="0"/>
              <w:rPr>
                <w:sz w:val="24"/>
                <w:szCs w:val="24"/>
                <w:color w:val="auto"/>
              </w:rPr>
            </w:pPr>
          </w:p>
        </w:tc>
      </w:tr>
      <w:tr>
        <w:trPr>
          <w:trHeight w:val="220"/>
        </w:trPr>
        <w:tc>
          <w:tcPr>
            <w:tcW w:w="5640" w:type="dxa"/>
            <w:vAlign w:val="bottom"/>
          </w:tcPr>
          <w:p>
            <w:pPr>
              <w:spacing w:after="0"/>
              <w:rPr>
                <w:sz w:val="20"/>
                <w:szCs w:val="20"/>
                <w:color w:val="auto"/>
              </w:rPr>
            </w:pPr>
            <w:r>
              <w:rPr>
                <w:rFonts w:ascii="Arial" w:cs="Arial" w:eastAsia="Arial" w:hAnsi="Arial"/>
                <w:sz w:val="18"/>
                <w:szCs w:val="18"/>
                <w:b w:val="1"/>
                <w:bCs w:val="1"/>
                <w:color w:val="auto"/>
              </w:rPr>
              <w:t>(including registered holder)</w:t>
            </w:r>
          </w:p>
        </w:tc>
        <w:tc>
          <w:tcPr>
            <w:tcW w:w="5400" w:type="dxa"/>
            <w:vAlign w:val="bottom"/>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w w:val="92"/>
              </w:rPr>
              <w:t>Note: Provide details of the circumstances giving rise to the relevant interest.</w:t>
            </w:r>
          </w:p>
        </w:tc>
        <w:tc>
          <w:tcPr>
            <w:tcW w:w="5400" w:type="dxa"/>
            <w:vAlign w:val="bottom"/>
          </w:tcPr>
          <w:p>
            <w:pPr>
              <w:spacing w:after="0"/>
              <w:rPr>
                <w:sz w:val="20"/>
                <w:szCs w:val="20"/>
                <w:color w:val="auto"/>
              </w:rPr>
            </w:pPr>
          </w:p>
        </w:tc>
      </w:tr>
      <w:tr>
        <w:trPr>
          <w:trHeight w:val="338"/>
        </w:trPr>
        <w:tc>
          <w:tcPr>
            <w:tcW w:w="5640" w:type="dxa"/>
            <w:vAlign w:val="bottom"/>
          </w:tcPr>
          <w:p>
            <w:pPr>
              <w:spacing w:after="0"/>
              <w:rPr>
                <w:sz w:val="20"/>
                <w:szCs w:val="20"/>
                <w:color w:val="auto"/>
              </w:rPr>
            </w:pPr>
            <w:r>
              <w:rPr>
                <w:rFonts w:ascii="Arial" w:cs="Arial" w:eastAsia="Arial" w:hAnsi="Arial"/>
                <w:sz w:val="18"/>
                <w:szCs w:val="18"/>
                <w:b w:val="1"/>
                <w:bCs w:val="1"/>
                <w:color w:val="auto"/>
              </w:rPr>
              <w:t>Date of change</w:t>
            </w:r>
          </w:p>
        </w:tc>
        <w:tc>
          <w:tcPr>
            <w:tcW w:w="5400" w:type="dxa"/>
            <w:vAlign w:val="bottom"/>
          </w:tcPr>
          <w:p>
            <w:pPr>
              <w:ind w:left="100"/>
              <w:spacing w:after="0"/>
              <w:rPr>
                <w:sz w:val="20"/>
                <w:szCs w:val="20"/>
                <w:color w:val="auto"/>
              </w:rPr>
            </w:pPr>
            <w:r>
              <w:rPr>
                <w:rFonts w:ascii="Arial" w:cs="Arial" w:eastAsia="Arial" w:hAnsi="Arial"/>
                <w:sz w:val="18"/>
                <w:szCs w:val="18"/>
                <w:color w:val="auto"/>
              </w:rPr>
              <w:t>3 December 2019</w:t>
            </w:r>
          </w:p>
        </w:tc>
      </w:tr>
      <w:tr>
        <w:trPr>
          <w:trHeight w:val="310"/>
        </w:trPr>
        <w:tc>
          <w:tcPr>
            <w:tcW w:w="5640" w:type="dxa"/>
            <w:vAlign w:val="bottom"/>
          </w:tcPr>
          <w:p>
            <w:pPr>
              <w:spacing w:after="0"/>
              <w:rPr>
                <w:sz w:val="20"/>
                <w:szCs w:val="20"/>
                <w:color w:val="auto"/>
              </w:rPr>
            </w:pPr>
            <w:r>
              <w:rPr>
                <w:rFonts w:ascii="Arial" w:cs="Arial" w:eastAsia="Arial" w:hAnsi="Arial"/>
                <w:sz w:val="18"/>
                <w:szCs w:val="18"/>
                <w:b w:val="1"/>
                <w:bCs w:val="1"/>
                <w:color w:val="auto"/>
              </w:rPr>
              <w:t>No. of securities held prior to change</w:t>
            </w:r>
          </w:p>
        </w:tc>
        <w:tc>
          <w:tcPr>
            <w:tcW w:w="5400" w:type="dxa"/>
            <w:vAlign w:val="bottom"/>
          </w:tcPr>
          <w:p>
            <w:pPr>
              <w:ind w:left="100"/>
              <w:spacing w:after="0"/>
              <w:rPr>
                <w:sz w:val="20"/>
                <w:szCs w:val="20"/>
                <w:color w:val="auto"/>
              </w:rPr>
            </w:pPr>
            <w:r>
              <w:rPr>
                <w:rFonts w:ascii="Arial" w:cs="Arial" w:eastAsia="Arial" w:hAnsi="Arial"/>
                <w:sz w:val="18"/>
                <w:szCs w:val="18"/>
                <w:color w:val="auto"/>
              </w:rPr>
              <w:t>12,702,764 Ordinary Shares</w:t>
            </w:r>
          </w:p>
        </w:tc>
      </w:tr>
      <w:tr>
        <w:trPr>
          <w:trHeight w:val="216"/>
        </w:trPr>
        <w:tc>
          <w:tcPr>
            <w:tcW w:w="564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13,888,890 Unlisted Restricted Stock Units, LTI Plan 15,000,000</w:t>
            </w:r>
          </w:p>
        </w:tc>
      </w:tr>
      <w:tr>
        <w:trPr>
          <w:trHeight w:val="230"/>
        </w:trPr>
        <w:tc>
          <w:tcPr>
            <w:tcW w:w="5640" w:type="dxa"/>
            <w:vAlign w:val="bottom"/>
          </w:tcPr>
          <w:p>
            <w:pPr>
              <w:spacing w:after="0"/>
              <w:rPr>
                <w:sz w:val="20"/>
                <w:szCs w:val="20"/>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Unlisted Options</w:t>
            </w:r>
          </w:p>
        </w:tc>
      </w:tr>
      <w:tr>
        <w:trPr>
          <w:trHeight w:val="338"/>
        </w:trPr>
        <w:tc>
          <w:tcPr>
            <w:tcW w:w="5640" w:type="dxa"/>
            <w:vAlign w:val="bottom"/>
          </w:tcPr>
          <w:p>
            <w:pPr>
              <w:spacing w:after="0"/>
              <w:rPr>
                <w:sz w:val="20"/>
                <w:szCs w:val="20"/>
                <w:color w:val="auto"/>
              </w:rPr>
            </w:pPr>
            <w:r>
              <w:rPr>
                <w:rFonts w:ascii="Arial" w:cs="Arial" w:eastAsia="Arial" w:hAnsi="Arial"/>
                <w:sz w:val="18"/>
                <w:szCs w:val="18"/>
                <w:b w:val="1"/>
                <w:bCs w:val="1"/>
                <w:color w:val="auto"/>
              </w:rPr>
              <w:t>Class</w:t>
            </w:r>
          </w:p>
        </w:tc>
        <w:tc>
          <w:tcPr>
            <w:tcW w:w="5400" w:type="dxa"/>
            <w:vAlign w:val="bottom"/>
          </w:tcPr>
          <w:p>
            <w:pPr>
              <w:ind w:left="100"/>
              <w:spacing w:after="0"/>
              <w:rPr>
                <w:sz w:val="20"/>
                <w:szCs w:val="20"/>
                <w:color w:val="auto"/>
              </w:rPr>
            </w:pPr>
            <w:r>
              <w:rPr>
                <w:rFonts w:ascii="Arial" w:cs="Arial" w:eastAsia="Arial" w:hAnsi="Arial"/>
                <w:sz w:val="18"/>
                <w:szCs w:val="18"/>
                <w:color w:val="auto"/>
              </w:rPr>
              <w:t>Unlisted Restricted Stock Units, LTI Plan</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Number acquired</w:t>
            </w:r>
          </w:p>
        </w:tc>
        <w:tc>
          <w:tcPr>
            <w:tcW w:w="5400" w:type="dxa"/>
            <w:vAlign w:val="bottom"/>
          </w:tcPr>
          <w:p>
            <w:pPr>
              <w:ind w:left="100"/>
              <w:spacing w:after="0"/>
              <w:rPr>
                <w:sz w:val="20"/>
                <w:szCs w:val="20"/>
                <w:color w:val="auto"/>
              </w:rPr>
            </w:pPr>
            <w:r>
              <w:rPr>
                <w:rFonts w:ascii="Arial" w:cs="Arial" w:eastAsia="Arial" w:hAnsi="Arial"/>
                <w:sz w:val="18"/>
                <w:szCs w:val="18"/>
                <w:color w:val="auto"/>
              </w:rPr>
              <w:t>39,554,252 Unlisted Restricted Stock Units, LTI Plan</w:t>
            </w:r>
          </w:p>
        </w:tc>
      </w:tr>
      <w:tr>
        <w:trPr>
          <w:trHeight w:val="324"/>
        </w:trPr>
        <w:tc>
          <w:tcPr>
            <w:tcW w:w="5640" w:type="dxa"/>
            <w:vAlign w:val="bottom"/>
          </w:tcPr>
          <w:p>
            <w:pPr>
              <w:spacing w:after="0"/>
              <w:rPr>
                <w:sz w:val="20"/>
                <w:szCs w:val="20"/>
                <w:color w:val="auto"/>
              </w:rPr>
            </w:pPr>
            <w:r>
              <w:rPr>
                <w:rFonts w:ascii="Arial" w:cs="Arial" w:eastAsia="Arial" w:hAnsi="Arial"/>
                <w:sz w:val="18"/>
                <w:szCs w:val="18"/>
                <w:b w:val="1"/>
                <w:bCs w:val="1"/>
                <w:color w:val="auto"/>
              </w:rPr>
              <w:t>Number disposed</w:t>
            </w:r>
          </w:p>
        </w:tc>
        <w:tc>
          <w:tcPr>
            <w:tcW w:w="5400" w:type="dxa"/>
            <w:vAlign w:val="bottom"/>
          </w:tcPr>
          <w:p>
            <w:pPr>
              <w:ind w:left="100"/>
              <w:spacing w:after="0"/>
              <w:rPr>
                <w:sz w:val="20"/>
                <w:szCs w:val="20"/>
                <w:color w:val="auto"/>
              </w:rPr>
            </w:pPr>
            <w:r>
              <w:rPr>
                <w:rFonts w:ascii="Arial" w:cs="Arial" w:eastAsia="Arial" w:hAnsi="Arial"/>
                <w:sz w:val="18"/>
                <w:szCs w:val="18"/>
                <w:color w:val="auto"/>
              </w:rPr>
              <w:t>Nil</w:t>
            </w:r>
          </w:p>
        </w:tc>
      </w:tr>
      <w:tr>
        <w:trPr>
          <w:trHeight w:val="310"/>
        </w:trPr>
        <w:tc>
          <w:tcPr>
            <w:tcW w:w="5640" w:type="dxa"/>
            <w:vAlign w:val="bottom"/>
          </w:tcPr>
          <w:p>
            <w:pPr>
              <w:spacing w:after="0"/>
              <w:rPr>
                <w:sz w:val="20"/>
                <w:szCs w:val="20"/>
                <w:color w:val="auto"/>
              </w:rPr>
            </w:pPr>
            <w:r>
              <w:rPr>
                <w:rFonts w:ascii="Arial" w:cs="Arial" w:eastAsia="Arial" w:hAnsi="Arial"/>
                <w:sz w:val="18"/>
                <w:szCs w:val="18"/>
                <w:b w:val="1"/>
                <w:bCs w:val="1"/>
                <w:color w:val="auto"/>
              </w:rPr>
              <w:t>Value/Consideration</w:t>
            </w: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Nil consideration - Issued as part of CEO Long Term Incentive Plan and</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w w:val="95"/>
              </w:rPr>
              <w:t>Note: If consideration is non-cash, provide details and estimated valuation</w:t>
            </w:r>
          </w:p>
        </w:tc>
        <w:tc>
          <w:tcPr>
            <w:tcW w:w="5400" w:type="dxa"/>
            <w:vAlign w:val="bottom"/>
          </w:tcPr>
          <w:p>
            <w:pPr>
              <w:ind w:left="100"/>
              <w:spacing w:after="0"/>
              <w:rPr>
                <w:sz w:val="20"/>
                <w:szCs w:val="20"/>
                <w:color w:val="auto"/>
              </w:rPr>
            </w:pPr>
            <w:r>
              <w:rPr>
                <w:rFonts w:ascii="Arial" w:cs="Arial" w:eastAsia="Arial" w:hAnsi="Arial"/>
                <w:sz w:val="18"/>
                <w:szCs w:val="18"/>
                <w:color w:val="auto"/>
              </w:rPr>
              <w:t>approved by shareholders at 2019 AGM</w:t>
            </w:r>
          </w:p>
        </w:tc>
      </w:tr>
      <w:tr>
        <w:trPr>
          <w:trHeight w:val="311"/>
        </w:trPr>
        <w:tc>
          <w:tcPr>
            <w:tcW w:w="5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r>
        <w:trPr>
          <w:trHeight w:val="250"/>
        </w:trPr>
        <w:tc>
          <w:tcPr>
            <w:tcW w:w="5640" w:type="dxa"/>
            <w:vAlign w:val="bottom"/>
          </w:tcPr>
          <w:p>
            <w:pPr>
              <w:spacing w:after="0"/>
              <w:rPr>
                <w:sz w:val="20"/>
                <w:szCs w:val="20"/>
                <w:color w:val="auto"/>
              </w:rPr>
            </w:pPr>
            <w:r>
              <w:rPr>
                <w:rFonts w:ascii="Arial" w:cs="Arial" w:eastAsia="Arial" w:hAnsi="Arial"/>
                <w:sz w:val="18"/>
                <w:szCs w:val="18"/>
                <w:color w:val="auto"/>
              </w:rPr>
              <w:t>+ See chapter 19 for defined terms.</w:t>
            </w:r>
          </w:p>
        </w:tc>
        <w:tc>
          <w:tcPr>
            <w:tcW w:w="5400" w:type="dxa"/>
            <w:vAlign w:val="bottom"/>
          </w:tcPr>
          <w:p>
            <w:pPr>
              <w:spacing w:after="0"/>
              <w:rPr>
                <w:sz w:val="21"/>
                <w:szCs w:val="21"/>
                <w:color w:val="auto"/>
              </w:rPr>
            </w:pPr>
          </w:p>
        </w:tc>
      </w:tr>
      <w:tr>
        <w:trPr>
          <w:trHeight w:val="365"/>
        </w:trPr>
        <w:tc>
          <w:tcPr>
            <w:tcW w:w="5640" w:type="dxa"/>
            <w:vAlign w:val="bottom"/>
          </w:tcPr>
          <w:p>
            <w:pPr>
              <w:spacing w:after="0"/>
              <w:rPr>
                <w:sz w:val="20"/>
                <w:szCs w:val="20"/>
                <w:color w:val="auto"/>
              </w:rPr>
            </w:pPr>
            <w:r>
              <w:rPr>
                <w:rFonts w:ascii="Arial" w:cs="Arial" w:eastAsia="Arial" w:hAnsi="Arial"/>
                <w:sz w:val="18"/>
                <w:szCs w:val="18"/>
                <w:color w:val="auto"/>
              </w:rPr>
              <w:t>01/01/2011 Appendix 3Y Page 1</w:t>
            </w:r>
          </w:p>
        </w:tc>
        <w:tc>
          <w:tcPr>
            <w:tcW w:w="5400" w:type="dxa"/>
            <w:vAlign w:val="bottom"/>
          </w:tcPr>
          <w:p>
            <w:pPr>
              <w:spacing w:after="0"/>
              <w:rPr>
                <w:sz w:val="24"/>
                <w:szCs w:val="24"/>
                <w:color w:val="auto"/>
              </w:rPr>
            </w:pPr>
          </w:p>
        </w:tc>
      </w:tr>
    </w:tbl>
    <w:p>
      <w:pPr>
        <w:sectPr>
          <w:pgSz w:w="11900" w:h="16838" w:orient="portrait"/>
          <w:cols w:equalWidth="0" w:num="1">
            <w:col w:w="11040"/>
          </w:cols>
          <w:pgMar w:left="440" w:top="121" w:right="4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3Y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Director’s Interest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80" w:type="dxa"/>
            <w:vAlign w:val="bottom"/>
          </w:tcPr>
          <w:p>
            <w:pPr>
              <w:spacing w:after="0"/>
              <w:rPr>
                <w:sz w:val="20"/>
                <w:szCs w:val="20"/>
                <w:color w:val="auto"/>
              </w:rPr>
            </w:pPr>
            <w:r>
              <w:rPr>
                <w:rFonts w:ascii="Arial" w:cs="Arial" w:eastAsia="Arial" w:hAnsi="Arial"/>
                <w:sz w:val="18"/>
                <w:szCs w:val="18"/>
                <w:b w:val="1"/>
                <w:bCs w:val="1"/>
                <w:color w:val="auto"/>
              </w:rPr>
              <w:t>No. of securities held after change</w:t>
            </w:r>
          </w:p>
        </w:tc>
        <w:tc>
          <w:tcPr>
            <w:tcW w:w="2400" w:type="dxa"/>
            <w:vAlign w:val="bottom"/>
          </w:tcPr>
          <w:p>
            <w:pPr>
              <w:ind w:left="1560"/>
              <w:spacing w:after="0"/>
              <w:rPr>
                <w:sz w:val="20"/>
                <w:szCs w:val="20"/>
                <w:color w:val="auto"/>
              </w:rPr>
            </w:pPr>
            <w:r>
              <w:rPr>
                <w:rFonts w:ascii="Arial" w:cs="Arial" w:eastAsia="Arial" w:hAnsi="Arial"/>
                <w:sz w:val="18"/>
                <w:szCs w:val="18"/>
                <w:color w:val="auto"/>
                <w:w w:val="90"/>
              </w:rPr>
              <w:t>12,702,764</w:t>
            </w:r>
          </w:p>
        </w:tc>
        <w:tc>
          <w:tcPr>
            <w:tcW w:w="3860" w:type="dxa"/>
            <w:vAlign w:val="bottom"/>
          </w:tcPr>
          <w:p>
            <w:pPr>
              <w:ind w:left="20"/>
              <w:spacing w:after="0"/>
              <w:rPr>
                <w:sz w:val="20"/>
                <w:szCs w:val="20"/>
                <w:color w:val="auto"/>
              </w:rPr>
            </w:pPr>
            <w:r>
              <w:rPr>
                <w:rFonts w:ascii="Arial" w:cs="Arial" w:eastAsia="Arial" w:hAnsi="Arial"/>
                <w:sz w:val="18"/>
                <w:szCs w:val="18"/>
                <w:color w:val="auto"/>
              </w:rPr>
              <w:t>Ordinary Shares</w:t>
            </w:r>
          </w:p>
        </w:tc>
      </w:tr>
      <w:tr>
        <w:trPr>
          <w:trHeight w:val="216"/>
        </w:trPr>
        <w:tc>
          <w:tcPr>
            <w:tcW w:w="4180" w:type="dxa"/>
            <w:vAlign w:val="bottom"/>
          </w:tcPr>
          <w:p>
            <w:pPr>
              <w:spacing w:after="0"/>
              <w:rPr>
                <w:sz w:val="18"/>
                <w:szCs w:val="18"/>
                <w:color w:val="auto"/>
              </w:rPr>
            </w:pPr>
          </w:p>
        </w:tc>
        <w:tc>
          <w:tcPr>
            <w:tcW w:w="2400" w:type="dxa"/>
            <w:vAlign w:val="bottom"/>
          </w:tcPr>
          <w:p>
            <w:pPr>
              <w:ind w:left="1560"/>
              <w:spacing w:after="0"/>
              <w:rPr>
                <w:sz w:val="20"/>
                <w:szCs w:val="20"/>
                <w:color w:val="auto"/>
              </w:rPr>
            </w:pPr>
            <w:r>
              <w:rPr>
                <w:rFonts w:ascii="Arial" w:cs="Arial" w:eastAsia="Arial" w:hAnsi="Arial"/>
                <w:sz w:val="18"/>
                <w:szCs w:val="18"/>
                <w:color w:val="auto"/>
                <w:w w:val="90"/>
              </w:rPr>
              <w:t>53,443,142</w:t>
            </w:r>
          </w:p>
        </w:tc>
        <w:tc>
          <w:tcPr>
            <w:tcW w:w="3860" w:type="dxa"/>
            <w:vAlign w:val="bottom"/>
          </w:tcPr>
          <w:p>
            <w:pPr>
              <w:ind w:left="20"/>
              <w:spacing w:after="0"/>
              <w:rPr>
                <w:sz w:val="20"/>
                <w:szCs w:val="20"/>
                <w:color w:val="auto"/>
              </w:rPr>
            </w:pPr>
            <w:r>
              <w:rPr>
                <w:rFonts w:ascii="Arial" w:cs="Arial" w:eastAsia="Arial" w:hAnsi="Arial"/>
                <w:sz w:val="18"/>
                <w:szCs w:val="18"/>
                <w:color w:val="auto"/>
                <w:w w:val="91"/>
              </w:rPr>
              <w:t>Unlisted Restricted Stock Units, LTI Plan 15,000,000</w:t>
            </w:r>
          </w:p>
        </w:tc>
      </w:tr>
      <w:tr>
        <w:trPr>
          <w:trHeight w:val="230"/>
        </w:trPr>
        <w:tc>
          <w:tcPr>
            <w:tcW w:w="4180" w:type="dxa"/>
            <w:vAlign w:val="bottom"/>
          </w:tcPr>
          <w:p>
            <w:pPr>
              <w:spacing w:after="0"/>
              <w:rPr>
                <w:sz w:val="20"/>
                <w:szCs w:val="20"/>
                <w:color w:val="auto"/>
              </w:rPr>
            </w:pPr>
          </w:p>
        </w:tc>
        <w:tc>
          <w:tcPr>
            <w:tcW w:w="6260" w:type="dxa"/>
            <w:vAlign w:val="bottom"/>
            <w:gridSpan w:val="2"/>
          </w:tcPr>
          <w:p>
            <w:pPr>
              <w:ind w:left="1560"/>
              <w:spacing w:after="0"/>
              <w:rPr>
                <w:sz w:val="20"/>
                <w:szCs w:val="20"/>
                <w:color w:val="auto"/>
              </w:rPr>
            </w:pPr>
            <w:r>
              <w:rPr>
                <w:rFonts w:ascii="Arial" w:cs="Arial" w:eastAsia="Arial" w:hAnsi="Arial"/>
                <w:sz w:val="18"/>
                <w:szCs w:val="18"/>
                <w:color w:val="auto"/>
              </w:rPr>
              <w:t>Unlisted Options</w:t>
            </w:r>
          </w:p>
        </w:tc>
      </w:tr>
    </w:tbl>
    <w:p>
      <w:pPr>
        <w:spacing w:after="0" w:line="103" w:lineRule="exact"/>
        <w:rPr>
          <w:sz w:val="20"/>
          <w:szCs w:val="20"/>
          <w:color w:val="auto"/>
        </w:rPr>
      </w:pPr>
    </w:p>
    <w:p>
      <w:pPr>
        <w:sectPr>
          <w:pgSz w:w="11900" w:h="16838" w:orient="portrait"/>
          <w:cols w:equalWidth="0" w:num="1">
            <w:col w:w="10980"/>
          </w:cols>
          <w:pgMar w:left="440" w:top="270" w:right="479" w:bottom="1440" w:gutter="0" w:footer="0" w:header="0"/>
        </w:sectPr>
      </w:pPr>
    </w:p>
    <w:p>
      <w:pPr>
        <w:spacing w:after="0"/>
        <w:rPr>
          <w:sz w:val="20"/>
          <w:szCs w:val="20"/>
          <w:color w:val="auto"/>
        </w:rPr>
      </w:pPr>
      <w:r>
        <w:rPr>
          <w:rFonts w:ascii="Arial" w:cs="Arial" w:eastAsia="Arial" w:hAnsi="Arial"/>
          <w:sz w:val="18"/>
          <w:szCs w:val="18"/>
          <w:b w:val="1"/>
          <w:bCs w:val="1"/>
          <w:color w:val="auto"/>
        </w:rPr>
        <w:t>Nature of change</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Example: on-market trade, off-market trade, exercise of options, issue of securities under dividend reinvestment plan, participation in buy-back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Change of director’s interests in contracts</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Issued as part of CEO Long Term Incentive Plan and approved by shareholders at 2019 AGM</w:t>
      </w:r>
    </w:p>
    <w:p>
      <w:pPr>
        <w:spacing w:after="0" w:line="832" w:lineRule="exact"/>
        <w:rPr>
          <w:sz w:val="20"/>
          <w:szCs w:val="20"/>
          <w:color w:val="auto"/>
        </w:rPr>
      </w:pPr>
    </w:p>
    <w:p>
      <w:pPr>
        <w:sectPr>
          <w:pgSz w:w="11900" w:h="16838" w:orient="portrait"/>
          <w:cols w:equalWidth="0" w:num="2">
            <w:col w:w="5240" w:space="500"/>
            <w:col w:w="5240"/>
          </w:cols>
          <w:pgMar w:left="440" w:top="270" w:right="479" w:bottom="1440" w:gutter="0" w:footer="0" w:header="0"/>
          <w:type w:val="continuous"/>
        </w:sectPr>
      </w:pPr>
    </w:p>
    <w:p>
      <w:pPr>
        <w:ind w:right="180"/>
        <w:spacing w:after="0" w:line="277" w:lineRule="auto"/>
        <w:rPr>
          <w:sz w:val="20"/>
          <w:szCs w:val="20"/>
          <w:color w:val="auto"/>
        </w:rPr>
      </w:pPr>
      <w:r>
        <w:rPr>
          <w:rFonts w:ascii="Arial" w:cs="Arial" w:eastAsia="Arial" w:hAnsi="Arial"/>
          <w:sz w:val="18"/>
          <w:szCs w:val="18"/>
          <w:color w:val="auto"/>
        </w:rPr>
        <w:t>Note: In the case of a company, interests which come within paragraph (ii) of the definition of “notifiable interest of a director” should be disclosed in this part.</w:t>
      </w:r>
    </w:p>
    <w:p>
      <w:pPr>
        <w:spacing w:after="0" w:line="193"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Detail of contract</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Nature of interest</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Name of registered holder</w:t>
      </w:r>
      <w:r>
        <w:rPr>
          <w:sz w:val="20"/>
          <w:szCs w:val="20"/>
          <w:color w:val="auto"/>
        </w:rPr>
        <w:tab/>
      </w:r>
      <w:r>
        <w:rPr>
          <w:rFonts w:ascii="Arial" w:cs="Arial" w:eastAsia="Arial" w:hAnsi="Arial"/>
          <w:sz w:val="16"/>
          <w:szCs w:val="16"/>
          <w:color w:val="auto"/>
        </w:rPr>
        <w:t>Not applicable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issued securities)</w:t>
      </w:r>
    </w:p>
    <w:p>
      <w:pPr>
        <w:spacing w:after="0" w:line="9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Date of change</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No. and class of securities to which interest related prior to change</w:t>
      </w:r>
      <w:r>
        <w:rPr>
          <w:sz w:val="20"/>
          <w:szCs w:val="20"/>
          <w:color w:val="auto"/>
        </w:rPr>
        <w:tab/>
      </w:r>
      <w:r>
        <w:rPr>
          <w:rFonts w:ascii="Arial" w:cs="Arial" w:eastAsia="Arial" w:hAnsi="Arial"/>
          <w:sz w:val="16"/>
          <w:szCs w:val="16"/>
          <w:color w:val="auto"/>
        </w:rPr>
        <w:t>Not applicable</w:t>
      </w:r>
    </w:p>
    <w:p>
      <w:pPr>
        <w:spacing w:after="0" w:line="27" w:lineRule="exact"/>
        <w:rPr>
          <w:sz w:val="20"/>
          <w:szCs w:val="20"/>
          <w:color w:val="auto"/>
        </w:rPr>
      </w:pPr>
    </w:p>
    <w:p>
      <w:pPr>
        <w:ind w:right="5460"/>
        <w:spacing w:after="0" w:line="261" w:lineRule="auto"/>
        <w:rPr>
          <w:sz w:val="20"/>
          <w:szCs w:val="20"/>
          <w:color w:val="auto"/>
        </w:rPr>
      </w:pPr>
      <w:r>
        <w:rPr>
          <w:rFonts w:ascii="Arial" w:cs="Arial" w:eastAsia="Arial" w:hAnsi="Arial"/>
          <w:sz w:val="18"/>
          <w:szCs w:val="18"/>
          <w:color w:val="auto"/>
        </w:rPr>
        <w:t>Note: Details are only required for a contract in relation to which the interest has changed</w:t>
      </w:r>
    </w:p>
    <w:p>
      <w:pPr>
        <w:spacing w:after="0" w:line="8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Interest acquired</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Interest disposed</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Value/Consideration</w:t>
      </w:r>
      <w:r>
        <w:rPr>
          <w:sz w:val="20"/>
          <w:szCs w:val="20"/>
          <w:color w:val="auto"/>
        </w:rPr>
        <w:tab/>
      </w:r>
      <w:r>
        <w:rPr>
          <w:rFonts w:ascii="Arial" w:cs="Arial" w:eastAsia="Arial" w:hAnsi="Arial"/>
          <w:sz w:val="18"/>
          <w:szCs w:val="18"/>
          <w:color w:val="auto"/>
        </w:rPr>
        <w:t>Not applicable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If consideration is non-cash, provide details and an estimated valuation</w:t>
      </w:r>
    </w:p>
    <w:p>
      <w:pPr>
        <w:spacing w:after="0" w:line="11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Interest after change</w:t>
      </w:r>
      <w:r>
        <w:rPr>
          <w:sz w:val="20"/>
          <w:szCs w:val="20"/>
          <w:color w:val="auto"/>
        </w:rPr>
        <w:tab/>
      </w:r>
      <w:r>
        <w:rPr>
          <w:rFonts w:ascii="Arial" w:cs="Arial" w:eastAsia="Arial" w:hAnsi="Arial"/>
          <w:sz w:val="16"/>
          <w:szCs w:val="16"/>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3 – </w:t>
      </w:r>
      <w:r>
        <w:rPr>
          <w:rFonts w:ascii="Arial" w:cs="Arial" w:eastAsia="Arial" w:hAnsi="Arial"/>
          <w:sz w:val="18"/>
          <w:szCs w:val="18"/>
          <w:color w:val="auto"/>
        </w:rPr>
        <w:t>+</w:t>
      </w:r>
      <w:r>
        <w:rPr>
          <w:rFonts w:ascii="Arial" w:cs="Arial" w:eastAsia="Arial" w:hAnsi="Arial"/>
          <w:sz w:val="18"/>
          <w:szCs w:val="18"/>
          <w:b w:val="1"/>
          <w:bCs w:val="1"/>
          <w:color w:val="auto"/>
        </w:rPr>
        <w:t>Closed period</w:t>
      </w:r>
    </w:p>
    <w:p>
      <w:pPr>
        <w:spacing w:after="0" w:line="248" w:lineRule="exact"/>
        <w:rPr>
          <w:sz w:val="20"/>
          <w:szCs w:val="20"/>
          <w:color w:val="auto"/>
        </w:rPr>
      </w:pPr>
    </w:p>
    <w:p>
      <w:pPr>
        <w:spacing w:after="0"/>
        <w:tabs>
          <w:tab w:leader="none" w:pos="5720" w:val="left"/>
        </w:tabs>
        <w:rPr>
          <w:sz w:val="20"/>
          <w:szCs w:val="20"/>
          <w:color w:val="auto"/>
        </w:rPr>
      </w:pPr>
      <w:r>
        <w:rPr>
          <w:rFonts w:ascii="Arial" w:cs="Arial" w:eastAsia="Arial" w:hAnsi="Arial"/>
          <w:sz w:val="20"/>
          <w:szCs w:val="20"/>
          <w:b w:val="1"/>
          <w:bCs w:val="1"/>
          <w:color w:val="auto"/>
        </w:rPr>
        <w:t>Were the interests in the securities or contracts detailed above</w:t>
      </w:r>
      <w:r>
        <w:rPr>
          <w:sz w:val="20"/>
          <w:szCs w:val="20"/>
          <w:color w:val="auto"/>
        </w:rPr>
        <w:tab/>
      </w:r>
      <w:r>
        <w:rPr>
          <w:rFonts w:ascii="Arial" w:cs="Arial" w:eastAsia="Arial" w:hAnsi="Arial"/>
          <w:sz w:val="16"/>
          <w:szCs w:val="16"/>
          <w:color w:val="auto"/>
        </w:rPr>
        <w:t>Not applicable</w:t>
      </w:r>
    </w:p>
    <w:p>
      <w:pPr>
        <w:spacing w:after="0" w:line="21" w:lineRule="exact"/>
        <w:rPr>
          <w:sz w:val="20"/>
          <w:szCs w:val="20"/>
          <w:color w:val="auto"/>
        </w:rPr>
      </w:pPr>
    </w:p>
    <w:p>
      <w:pPr>
        <w:ind w:right="5420"/>
        <w:spacing w:after="0" w:line="244" w:lineRule="auto"/>
        <w:rPr>
          <w:sz w:val="20"/>
          <w:szCs w:val="20"/>
          <w:color w:val="auto"/>
        </w:rPr>
      </w:pPr>
      <w:r>
        <w:rPr>
          <w:rFonts w:ascii="Arial" w:cs="Arial" w:eastAsia="Arial" w:hAnsi="Arial"/>
          <w:sz w:val="20"/>
          <w:szCs w:val="20"/>
          <w:b w:val="1"/>
          <w:bCs w:val="1"/>
          <w:color w:val="auto"/>
        </w:rPr>
        <w:t xml:space="preserve">traded during </w:t>
      </w:r>
      <w:r>
        <w:rPr>
          <w:rFonts w:ascii="Arial" w:cs="Arial" w:eastAsia="Arial" w:hAnsi="Arial"/>
          <w:sz w:val="16"/>
          <w:szCs w:val="16"/>
          <w:b w:val="1"/>
          <w:bCs w:val="1"/>
          <w:color w:val="auto"/>
        </w:rPr>
        <w:t>a +</w:t>
      </w:r>
      <w:r>
        <w:rPr>
          <w:rFonts w:ascii="Arial" w:cs="Arial" w:eastAsia="Arial" w:hAnsi="Arial"/>
          <w:sz w:val="20"/>
          <w:szCs w:val="20"/>
          <w:b w:val="1"/>
          <w:bCs w:val="1"/>
          <w:color w:val="auto"/>
        </w:rPr>
        <w:t xml:space="preserve"> closed period where prior written clearance was required?</w:t>
      </w:r>
    </w:p>
    <w:p>
      <w:pPr>
        <w:spacing w:after="0" w:line="78" w:lineRule="exact"/>
        <w:rPr>
          <w:sz w:val="20"/>
          <w:szCs w:val="20"/>
          <w:color w:val="auto"/>
        </w:rPr>
      </w:pPr>
    </w:p>
    <w:p>
      <w:pPr>
        <w:spacing w:after="0"/>
        <w:tabs>
          <w:tab w:leader="none" w:pos="5720" w:val="left"/>
        </w:tabs>
        <w:rPr>
          <w:sz w:val="20"/>
          <w:szCs w:val="20"/>
          <w:color w:val="auto"/>
        </w:rPr>
      </w:pPr>
      <w:r>
        <w:rPr>
          <w:rFonts w:ascii="Arial" w:cs="Arial" w:eastAsia="Arial" w:hAnsi="Arial"/>
          <w:sz w:val="20"/>
          <w:szCs w:val="20"/>
          <w:b w:val="1"/>
          <w:bCs w:val="1"/>
          <w:color w:val="auto"/>
        </w:rPr>
        <w:t>If so, was prior written clearance provided to allow the trade to</w:t>
      </w:r>
      <w:r>
        <w:rPr>
          <w:sz w:val="20"/>
          <w:szCs w:val="20"/>
          <w:color w:val="auto"/>
        </w:rPr>
        <w:tab/>
      </w:r>
      <w:r>
        <w:rPr>
          <w:rFonts w:ascii="Arial" w:cs="Arial" w:eastAsia="Arial" w:hAnsi="Arial"/>
          <w:sz w:val="16"/>
          <w:szCs w:val="16"/>
          <w:color w:val="auto"/>
        </w:rPr>
        <w:t>Not applicable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proceed during this period?</w:t>
      </w:r>
    </w:p>
    <w:p>
      <w:pPr>
        <w:spacing w:after="0" w:line="86" w:lineRule="exact"/>
        <w:rPr>
          <w:sz w:val="20"/>
          <w:szCs w:val="20"/>
          <w:color w:val="auto"/>
        </w:rPr>
      </w:pPr>
    </w:p>
    <w:p>
      <w:pPr>
        <w:spacing w:after="0"/>
        <w:tabs>
          <w:tab w:leader="none" w:pos="5720" w:val="left"/>
        </w:tabs>
        <w:rPr>
          <w:sz w:val="20"/>
          <w:szCs w:val="20"/>
          <w:color w:val="auto"/>
        </w:rPr>
      </w:pPr>
      <w:r>
        <w:rPr>
          <w:rFonts w:ascii="Arial" w:cs="Arial" w:eastAsia="Arial" w:hAnsi="Arial"/>
          <w:sz w:val="20"/>
          <w:szCs w:val="20"/>
          <w:b w:val="1"/>
          <w:bCs w:val="1"/>
          <w:color w:val="auto"/>
        </w:rPr>
        <w:t>If prior written clearance was provided, on what date was this</w:t>
      </w:r>
      <w:r>
        <w:rPr>
          <w:sz w:val="20"/>
          <w:szCs w:val="20"/>
          <w:color w:val="auto"/>
        </w:rPr>
        <w:tab/>
      </w:r>
      <w:r>
        <w:rPr>
          <w:rFonts w:ascii="Arial" w:cs="Arial" w:eastAsia="Arial" w:hAnsi="Arial"/>
          <w:sz w:val="16"/>
          <w:szCs w:val="16"/>
          <w:color w:val="auto"/>
        </w:rPr>
        <w:t>Not applicable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See chapter 19 for defined terms.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Appendix 3Y Page 2</w:t>
            </w:r>
          </w:p>
        </w:tc>
        <w:tc>
          <w:tcPr>
            <w:tcW w:w="5140" w:type="dxa"/>
            <w:vAlign w:val="bottom"/>
          </w:tcPr>
          <w:p>
            <w:pPr>
              <w:jc w:val="right"/>
              <w:spacing w:after="0"/>
              <w:rPr>
                <w:sz w:val="20"/>
                <w:szCs w:val="20"/>
                <w:color w:val="auto"/>
              </w:rPr>
            </w:pPr>
            <w:r>
              <w:rPr>
                <w:rFonts w:ascii="Arial" w:cs="Arial" w:eastAsia="Arial" w:hAnsi="Arial"/>
                <w:sz w:val="18"/>
                <w:szCs w:val="18"/>
                <w:color w:val="auto"/>
              </w:rPr>
              <w:t>01/01/2011</w:t>
            </w:r>
          </w:p>
        </w:tc>
      </w:tr>
    </w:tbl>
    <w:p>
      <w:pPr>
        <w:spacing w:after="0" w:line="1" w:lineRule="exact"/>
        <w:rPr>
          <w:sz w:val="20"/>
          <w:szCs w:val="20"/>
          <w:color w:val="auto"/>
        </w:rPr>
      </w:pPr>
    </w:p>
    <w:sectPr>
      <w:pgSz w:w="11900" w:h="16838" w:orient="portrait"/>
      <w:cols w:equalWidth="0" w:num="1">
        <w:col w:w="10980"/>
      </w:cols>
      <w:pgMar w:left="440" w:top="27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6"/>
      <w:numFmt w:val="bullet"/>
      <w:start w:val="1"/>
    </w:lvl>
  </w:abstractNum>
  <w:abstractNum w:abstractNumId="2">
    <w:nsid w:val="436C6125"/>
    <w:multiLevelType w:val="hybridMultilevel"/>
    <w:lvl w:ilvl="0">
      <w:lvlJc w:val="left"/>
      <w:lvlText w:val="8"/>
      <w:numFmt w:val="bullet"/>
      <w:start w:val="1"/>
    </w:lvl>
  </w:abstractNum>
  <w:abstractNum w:abstractNumId="3">
    <w:nsid w:val="628C895D"/>
    <w:multiLevelType w:val="hybridMultilevel"/>
    <w:lvl w:ilvl="0">
      <w:lvlJc w:val="left"/>
      <w:lvlText w:val="9"/>
      <w:numFmt w:val="bullet"/>
      <w:start w:val="1"/>
    </w:lvl>
  </w:abstractNum>
  <w:abstractNum w:abstractNumId="4">
    <w:nsid w:val="333AB105"/>
    <w:multiLevelType w:val="hybridMultilevel"/>
    <w:lvl w:ilvl="0">
      <w:lvlJc w:val="left"/>
      <w:lvlText w:val="%1"/>
      <w:numFmt w:val="decimal"/>
      <w:start w:val="10"/>
    </w:lvl>
  </w:abstractNum>
  <w:abstractNum w:abstractNumId="5">
    <w:nsid w:val="721DA317"/>
    <w:multiLevelType w:val="hybridMultilevel"/>
    <w:lvl w:ilvl="0">
      <w:lvlJc w:val="left"/>
      <w:lvlText w:val="%1"/>
      <w:numFmt w:val="decimal"/>
      <w:start w:val="1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34"/>
    </w:lvl>
  </w:abstractNum>
  <w:abstractNum w:abstractNumId="8">
    <w:nsid w:val="6763845E"/>
    <w:multiLevelType w:val="hybridMultilevel"/>
    <w:lvl w:ilvl="0">
      <w:lvlJc w:val="left"/>
      <w:lvlText w:val="(%1)"/>
      <w:numFmt w:val="lowerLetter"/>
      <w:start w:val="2"/>
    </w:lvl>
  </w:abstractNum>
  <w:abstractNum w:abstractNumId="9">
    <w:nsid w:val="75A2A8D4"/>
    <w:multiLevelType w:val="hybridMultilevel"/>
    <w:lvl w:ilvl="0">
      <w:lvlJc w:val="left"/>
      <w:lvlText w:val="%1"/>
      <w:numFmt w:val="decimal"/>
      <w:start w:val="35"/>
    </w:lvl>
  </w:abstractNum>
  <w:abstractNum w:abstractNumId="10">
    <w:nsid w:val="8EDBDAB"/>
    <w:multiLevelType w:val="hybridMultilevel"/>
    <w:lvl w:ilvl="0">
      <w:lvlJc w:val="left"/>
      <w:lvlText w:val="%1"/>
      <w:numFmt w:val="decimal"/>
      <w:start w:val="38"/>
    </w:lvl>
  </w:abstractNum>
  <w:abstractNum w:abstractNumId="11">
    <w:nsid w:val="79838CB2"/>
    <w:multiLevelType w:val="hybridMultilevel"/>
    <w:lvl w:ilvl="0">
      <w:lvlJc w:val="left"/>
      <w:lvlText w:val="%1"/>
      <w:numFmt w:val="decimal"/>
      <w:start w:val="40"/>
    </w:lvl>
    <w:lvl w:ilvl="1">
      <w:lvlJc w:val="left"/>
      <w:lvlText w:val="•"/>
      <w:numFmt w:val="bullet"/>
      <w:start w:val="1"/>
    </w:lvl>
  </w:abstractNum>
  <w:abstractNum w:abstractNumId="12">
    <w:nsid w:val="4353D0CD"/>
    <w:multiLevelType w:val="hybridMultilevel"/>
    <w:lvl w:ilvl="0">
      <w:lvlJc w:val="left"/>
      <w:lvlText w:val="%1"/>
      <w:numFmt w:val="decimal"/>
      <w:start w:val="42"/>
    </w:lvl>
  </w:abstractNum>
  <w:abstractNum w:abstractNumId="13">
    <w:nsid w:val="B03E0C6"/>
    <w:multiLevelType w:val="hybridMultilevel"/>
    <w:lvl w:ilvl="0">
      <w:lvlJc w:val="left"/>
      <w:lvlText w:val="1"/>
      <w:numFmt w:val="bullet"/>
      <w:start w:val="1"/>
    </w:lvl>
    <w:lvl w:ilvl="1">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3"/>
      <w:numFmt w:val="bullet"/>
      <w:start w:val="1"/>
    </w:lvl>
  </w:abstractNum>
  <w:abstractNum w:abstractNumId="16">
    <w:nsid w:val="71F32454"/>
    <w:multiLevelType w:val="hybridMultilevel"/>
    <w:lvl w:ilvl="0">
      <w:lvlJc w:val="left"/>
      <w:lvlText w:val="4"/>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bullet"/>
      <w:start w:val="1"/>
    </w:lvl>
  </w:abstractNum>
  <w:abstractNum w:abstractNumId="24">
    <w:nsid w:val="737B8DDC"/>
    <w:multiLevelType w:val="hybridMultilevel"/>
    <w:lvl w:ilvl="0">
      <w:lvlJc w:val="left"/>
      <w:lvlText w:val="2"/>
      <w:numFmt w:val="bullet"/>
      <w:start w:val="1"/>
    </w:lvl>
  </w:abstractNum>
  <w:abstractNum w:abstractNumId="25">
    <w:nsid w:val="6CEAF087"/>
    <w:multiLevelType w:val="hybridMultilevel"/>
    <w:lvl w:ilvl="0">
      <w:lvlJc w:val="left"/>
      <w:lvlText w:val="3"/>
      <w:numFmt w:val="bullet"/>
      <w:start w:val="1"/>
    </w:lvl>
    <w:lvl w:ilvl="1">
      <w:lvlJc w:val="left"/>
      <w:lvlText w:val="(%2)"/>
      <w:numFmt w:val="lowerLetter"/>
      <w:start w:val="1"/>
    </w:lvl>
  </w:abstractNum>
  <w:abstractNum w:abstractNumId="26">
    <w:nsid w:val="22221A70"/>
    <w:multiLevelType w:val="hybridMultilevel"/>
    <w:lvl w:ilvl="0">
      <w:lvlJc w:val="left"/>
      <w:lvlText w:val="(%1)"/>
      <w:numFmt w:val="lowerLetter"/>
      <w:start w:val="1"/>
    </w:lvl>
    <w:lvl w:ilvl="1">
      <w:lvlJc w:val="left"/>
      <w:lvlText w:val="(%2)"/>
      <w:numFmt w:val="lowerRoman"/>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1"/>
    </w:lvl>
    <w:lvl w:ilvl="1">
      <w:lvlJc w:val="left"/>
      <w:lvlText w:val="(%2)"/>
      <w:numFmt w:val="lowerRoman"/>
      <w:start w:val="1"/>
    </w:lvl>
  </w:abstractNum>
  <w:abstractNum w:abstractNumId="29">
    <w:nsid w:val="614FD4A1"/>
    <w:multiLevelType w:val="hybridMultilevel"/>
    <w:lvl w:ilvl="0">
      <w:lvlJc w:val="left"/>
      <w:lvlText w:val="(%1)"/>
      <w:numFmt w:val="lowerRoman"/>
      <w:start w:val="2"/>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4"/>
      <w:numFmt w:val="bullet"/>
      <w:start w:val="1"/>
    </w:lvl>
  </w:abstractNum>
  <w:abstractNum w:abstractNumId="33">
    <w:nsid w:val="5072367"/>
    <w:multiLevelType w:val="hybridMultilevel"/>
    <w:lvl w:ilvl="0">
      <w:lvlJc w:val="left"/>
      <w:lvlText w:val="5"/>
      <w:numFmt w:val="bullet"/>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2"/>
    </w:lvl>
    <w:lvl w:ilvl="1">
      <w:lvlJc w:val="left"/>
      <w:lvlText w:val="(%2)"/>
      <w:numFmt w:val="lowerRoman"/>
      <w:start w:val="1"/>
    </w:lvl>
  </w:abstractNum>
  <w:abstractNum w:abstractNumId="36">
    <w:nsid w:val="7724C67E"/>
    <w:multiLevelType w:val="hybridMultilevel"/>
    <w:lvl w:ilvl="0">
      <w:lvlJc w:val="left"/>
      <w:lvlText w:val="6"/>
      <w:numFmt w:val="bullet"/>
      <w:start w:val="1"/>
    </w:lvl>
  </w:abstractNum>
  <w:abstractNum w:abstractNumId="37">
    <w:nsid w:val="5C482A9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2019-12-06T05:17:18Z</dcterms:created>
  <dcterms:modified xsi:type="dcterms:W3CDTF">2019-12-06T05:17:18Z</dcterms:modified>
</cp:coreProperties>
</file>