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May 13, 2024, AVITA Medical, Inc. issued a press release announcing its financial results for the first quarter ended March 31, 2024. A copy of the press release is furnished as Exhibit 99.1 to this Current Report on Form 8-K.</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27"/>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56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Press release titled “AVITA Medical Reports First Quarter Financial Results"</w:t>
            </w:r>
          </w:p>
        </w:tc>
        <w:tc>
          <w:tcPr>
            <w:tcW w:w="20" w:type="dxa"/>
            <w:vAlign w:val="bottom"/>
            <w:tcBorders>
              <w:bottom w:val="single" w:sz="8" w:color="0000EE"/>
            </w:tcBorders>
          </w:tcPr>
          <w:p>
            <w:pPr>
              <w:spacing w:after="0"/>
              <w:rPr>
                <w:sz w:val="16"/>
                <w:szCs w:val="16"/>
                <w:color w:val="auto"/>
              </w:rPr>
            </w:pPr>
          </w:p>
        </w:tc>
        <w:tc>
          <w:tcPr>
            <w:tcW w:w="4140" w:type="dxa"/>
            <w:vAlign w:val="bottom"/>
          </w:tcPr>
          <w:p>
            <w:pPr>
              <w:spacing w:after="0"/>
              <w:rPr>
                <w:sz w:val="16"/>
                <w:szCs w:val="16"/>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5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Donna Shiroma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22960" cy="985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Reports First Quarter Financial Results</w:t>
      </w:r>
    </w:p>
    <w:p>
      <w:pPr>
        <w:spacing w:after="0" w:line="22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VALENCIA, Calif., May 13, 2024 </w:t>
      </w:r>
      <w:r>
        <w:rPr>
          <w:rFonts w:ascii="Times New Roman" w:cs="Times New Roman" w:eastAsia="Times New Roman" w:hAnsi="Times New Roman"/>
          <w:sz w:val="17"/>
          <w:szCs w:val="17"/>
          <w:color w:val="auto"/>
        </w:rPr>
        <w:t>— AVITA Medical, Inc. (NASDAQ: RCEL, ASX: AVH), a commercial-stage regenerative medicine company focused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first-in-class devices for wound care management and skin restoration, today reported financial results for the first quarter ended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and Recent Business Updates</w:t>
      </w:r>
    </w:p>
    <w:p>
      <w:pPr>
        <w:spacing w:after="0" w:line="22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increased approximately 5.8% to $11.1 million compared to the same period in 2023</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86.4%</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PermeaDerm, a co-branded biosynthetic wound matrix, in the U.S. on March 23, 2024</w:t>
      </w:r>
    </w:p>
    <w:p>
      <w:pPr>
        <w:spacing w:after="0" w:line="23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we have taken the necessary measures to invigorate our burns business and improve our commercial sales process to return to sustained growth," said Jim Corbett, AVITA Medical Chief Executive Officer. “We remain dedicated to establishing RECELL as the standard of care for burn and full-thickness skin defects. Simultaneously, we are actively transforming AVITA Medical into a broad wound care business by expanding our portfolio to address the full spectrum of clinical needs. We are confident that our strategic initiatives to transform our business will enhance accessibility and reach more patients."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Milestones</w:t>
      </w:r>
    </w:p>
    <w:p>
      <w:pPr>
        <w:spacing w:after="0" w:line="229" w:lineRule="exact"/>
        <w:rPr>
          <w:sz w:val="20"/>
          <w:szCs w:val="20"/>
          <w:color w:val="auto"/>
        </w:rPr>
      </w:pPr>
    </w:p>
    <w:p>
      <w:pPr>
        <w:ind w:left="760" w:right="80" w:hanging="378"/>
        <w:spacing w:after="0" w:line="25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GO, a device which provides consistent disaggregation of skin to produce RECELL Spray-On Skin Cells, is currently undergoing a 180-day interactive review by the U.S. Food and Drug Administration under the Breakthrough Devices Program; the 180-day period will end on May 30, 2024</w:t>
      </w:r>
    </w:p>
    <w:p>
      <w:pPr>
        <w:spacing w:after="0" w:line="1"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submit a PMA supplement for RECELL GO mini, which is designed to address smaller wounds. This submission will fall under the Breakthrough Device designation, which has been granted to RECELL for burns, RECELL for full-thickness skin defects, RECELL for repigmentation of stable depigmented vitiligo lesions, and RECELL GO</w:t>
      </w:r>
    </w:p>
    <w:p>
      <w:pPr>
        <w:spacing w:after="0" w:line="1" w:lineRule="exact"/>
        <w:rPr>
          <w:rFonts w:ascii="Times New Roman" w:cs="Times New Roman" w:eastAsia="Times New Roman" w:hAnsi="Times New Roman"/>
          <w:sz w:val="18"/>
          <w:szCs w:val="18"/>
          <w:color w:val="auto"/>
        </w:rPr>
      </w:pPr>
    </w:p>
    <w:p>
      <w:pPr>
        <w:ind w:left="760" w:right="220" w:hanging="378"/>
        <w:spacing w:after="0" w:line="26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submit both our post-market study (TONE) treating patients with stable vitiligo, and separate health economics study for publication by year-end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second quarter 2024 is expected to be in the range of $14.3 to $15.3 million</w:t>
      </w:r>
    </w:p>
    <w:p>
      <w:pPr>
        <w:spacing w:after="0" w:line="27" w:lineRule="exact"/>
        <w:rPr>
          <w:rFonts w:ascii="Times New Roman" w:cs="Times New Roman" w:eastAsia="Times New Roman" w:hAnsi="Times New Roman"/>
          <w:sz w:val="18"/>
          <w:szCs w:val="18"/>
          <w:color w:val="auto"/>
        </w:rPr>
      </w:pPr>
    </w:p>
    <w:p>
      <w:pPr>
        <w:ind w:left="760" w:right="54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full-year 2024 is expected to be in the lower end of our previously provided guidance range of $78.5 to $84.5 million, reflecting growth of approximately 57% at the lower end of the range over the full-year 2023</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achieve previously given guidance of cashflow break even and GAAP profitability no later than the third quarter of 2025</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acknowledge the significant cash utilization this quarter, however we remain confident in our financial stability and our ability to reach cashflow break even as guided," said David O'Toole, Chief Financial Officer of AVITA Medical. "It's important to note that the cash use was driven by several non-recurring items, including expenses incurred related to our distribution agreement with Stedical, totaling approximately $4.0 million for inventory purchases and other costs. Of this amount, approximately $3.1 million represents inventory that we will recover through future product sales, with gross sales in the range of $6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commercial revenue, which excludes Biomedical Advanced Research and Development Authority (BARDA) revenue, increased by approximately 5.8% to $11.1 million in the three-months ended March 31, 2024, compared to $10.5 million in the same period in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86.4% compared to 84.2% in the corresponding period in the prior year.</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operating expenses for the quarter were $26.8 million, compared to $19.4 million in the same period in 2023. The increase in operating expenses is primarily attributable to an increase of $6.1 million in sales and marketing expenses due to employee-related costs, including salaries and benefits, commissions, professional fees, and travel expenses, collectively, as a result of the expansion of our commercial organization to support our growing commercial operations in the second quarter of 2023. G&amp;A expenses increased by $0.7 million as a result of higher salaries and benefits, partially offset by lower stock-based compensation. In addition, the increase in operating expenses included an increase of $0.6 million in R&amp;D costs, which was primarily due to employee compensation costs of the team of Medical Science Liaisons.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income/expense, net increased by $0.8 million of expense, compared to the same period in 2023, as we recognized $0.4 million and $0.9 million in expense for non-cash charges due to the change in fair value of the debt and the warrant liability, respectively. These expenses were offset by an increase of approximately $0.5 million in income related to our investment activities and other income.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loss was $18.7 million, or a loss of $0.73 per basic and diluted share, compared to a net loss of $9.2 million, or a loss of $0.37 per basic and diluted share, in the same period in 2023.</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BARDA income consisted of funding from the Biomedical Advanced Research and Development Authority, under the Assistant Secretary for Preparedness and Response, within the U.S. Department of Health and Human Services, under ongoing USG Contract No. HHSO100201500028C.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AVITA Medical will host a conference call to discuss its financial and business results on Monday, May 13, 2024, at 1:30 p.m. Pacific Time (being Tuesday, May 14, 2024, at 6:30 a.m. Australian Eastern Standard Time). To access the live call via telephone, please register in advance to receive dial-in details and a personal PIN using the link here. A simultaneous webcast of the call will be available via the Company’s website at https://ir.avitamedical.com/events-and-presentations.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3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commercial-stage regenerative medicine company transforming the standard of care in wound care management and skin restoration with innovative devices. At the forefront of our platform is the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approved by the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w:t>
      </w:r>
    </w:p>
    <w:p>
      <w:pPr>
        <w:spacing w:after="0" w:line="1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Statements in 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 w:name="page6"/>
    <w:bookmarkEnd w:id="5"/>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generally may be identified by the use of words such as “anticipate,” “expect,” “intend,” “could,” “may,” “will,” “believe,” “estimate,” “look forward,” “forecast,” “goal,” “target,” “project,” “continue,” “outlook,” “guidance,” “future,” and similar words or expressions, and the use of future dates.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(audited)</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 receivables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Plant and equipment, net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20"/>
                <w:szCs w:val="20"/>
                <w:color w:val="auto"/>
              </w:rPr>
            </w:pPr>
          </w:p>
        </w:tc>
      </w:tr>
      <w:tr>
        <w:trPr>
          <w:trHeight w:val="20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STOCKHOLDERS' EQUITY</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0"/>
                <w:szCs w:val="20"/>
                <w:color w:val="auto"/>
              </w:rPr>
            </w:pPr>
          </w:p>
        </w:tc>
      </w:tr>
      <w:tr>
        <w:trPr>
          <w:trHeight w:val="241"/>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200,000,000 shares authorized, 25,789,051 and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25,682,078, shares issued and outstanding at March 31, 2024 and December 31, 2023,</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(944 )</w:t>
            </w:r>
          </w:p>
        </w:tc>
        <w:tc>
          <w:tcPr>
            <w:tcW w:w="1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353,205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(3,068 )</w:t>
            </w:r>
          </w:p>
        </w:tc>
        <w:tc>
          <w:tcPr>
            <w:tcW w:w="14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(316,627 )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(297,969 )</w:t>
            </w:r>
          </w:p>
        </w:tc>
      </w:tr>
      <w:tr>
        <w:trPr>
          <w:trHeight w:val="23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tcBorders>
              <w:top w:val="single" w:sz="8" w:color="CFF0FC"/>
            </w:tcBorders>
          </w:tcPr>
          <w:p>
            <w:pPr>
              <w:spacing w:after="0"/>
              <w:rPr>
                <w:sz w:val="20"/>
                <w:szCs w:val="20"/>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-5271135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-4337050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-3256915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-2322195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-350520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80" w:type="dxa"/>
            <w:vAlign w:val="bottom"/>
          </w:tcPr>
          <w:p>
            <w:pPr>
              <w:spacing w:after="0"/>
              <w:rPr>
                <w:sz w:val="19"/>
                <w:szCs w:val="19"/>
                <w:color w:val="auto"/>
              </w:rPr>
            </w:pPr>
          </w:p>
        </w:tc>
        <w:tc>
          <w:tcPr>
            <w:tcW w:w="18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43"/>
        </w:trPr>
        <w:tc>
          <w:tcPr>
            <w:tcW w:w="60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FF0FC"/>
          </w:tcPr>
          <w:p>
            <w:pPr>
              <w:spacing w:after="0"/>
              <w:rPr>
                <w:sz w:val="21"/>
                <w:szCs w:val="2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(1,667 )</w:t>
            </w:r>
          </w:p>
        </w:tc>
      </w:tr>
      <w:tr>
        <w:trPr>
          <w:trHeight w:val="237"/>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4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(12,640 )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(6,540 )</w:t>
            </w: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(8,963 )</w:t>
            </w:r>
          </w:p>
        </w:tc>
        <w:tc>
          <w:tcPr>
            <w:tcW w:w="6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(8,295 )</w:t>
            </w: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(4,586 )</w:t>
            </w: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(26,797 )</w:t>
            </w: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(19,421 )</w:t>
            </w:r>
          </w:p>
        </w:tc>
      </w:tr>
      <w:tr>
        <w:trPr>
          <w:trHeight w:val="20"/>
        </w:trPr>
        <w:tc>
          <w:tcPr>
            <w:tcW w:w="60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(17,206 )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(9,911 )</w:t>
            </w: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(1,356 )</w:t>
            </w:r>
          </w:p>
        </w:tc>
        <w:tc>
          <w:tcPr>
            <w:tcW w:w="6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(18,628 )</w:t>
            </w: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(9,190 )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6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6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(18,658 )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(9,220 )</w:t>
            </w:r>
          </w:p>
        </w:tc>
      </w:tr>
      <w:tr>
        <w:trPr>
          <w:trHeight w:val="223"/>
        </w:trPr>
        <w:tc>
          <w:tcPr>
            <w:tcW w:w="6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(0.73 )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25,637,783</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25,202,088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-2536825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-1593850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-642620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-624840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2024-05-13T15:18:09Z</dcterms:created>
  <dcterms:modified xsi:type="dcterms:W3CDTF">2024-05-13T15:18:09Z</dcterms:modified>
</cp:coreProperties>
</file>