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McNamara Robert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20"/>
        <w:spacing w:after="0" w:line="294" w:lineRule="auto"/>
        <w:rPr>
          <w:sz w:val="20"/>
          <w:szCs w:val="20"/>
          <w:color w:val="auto"/>
        </w:rPr>
      </w:pPr>
      <w:r>
        <w:rPr>
          <w:rFonts w:ascii="Times New Roman" w:cs="Times New Roman" w:eastAsia="Times New Roman" w:hAnsi="Times New Roman"/>
          <w:sz w:val="17"/>
          <w:szCs w:val="17"/>
          <w:color w:val="0000FF"/>
        </w:rPr>
        <w:t>C/O AVITA MEDICAL 28159 AVENUE STANFORD</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220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7"/>
        </w:trPr>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VALENCIA</w:t>
            </w:r>
          </w:p>
        </w:tc>
        <w:tc>
          <w:tcPr>
            <w:tcW w:w="9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91355</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AVITA Medical,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RCEL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80" w:type="dxa"/>
            <w:vAlign w:val="bottom"/>
            <w:tcBorders>
              <w:bottom w:val="single" w:sz="8" w:color="0000EE"/>
            </w:tcBorders>
          </w:tcPr>
          <w:p>
            <w:pPr>
              <w:spacing w:after="0"/>
              <w:rPr>
                <w:sz w:val="3"/>
                <w:szCs w:val="3"/>
                <w:color w:val="auto"/>
              </w:rPr>
            </w:pPr>
          </w:p>
        </w:tc>
        <w:tc>
          <w:tcPr>
            <w:tcW w:w="1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680" w:type="dxa"/>
            <w:vAlign w:val="bottom"/>
            <w:tcBorders>
              <w:bottom w:val="single" w:sz="8" w:color="2C2C2C"/>
            </w:tcBorders>
          </w:tcPr>
          <w:p>
            <w:pPr>
              <w:spacing w:after="0"/>
              <w:rPr>
                <w:sz w:val="15"/>
                <w:szCs w:val="15"/>
                <w:color w:val="auto"/>
              </w:rPr>
            </w:pPr>
          </w:p>
        </w:tc>
        <w:tc>
          <w:tcPr>
            <w:tcW w:w="194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02/20/2025</w:t>
            </w:r>
          </w:p>
        </w:tc>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02/20/2025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10.09</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45,749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$9.89 to $10.19. The Reporting Person undertakes to provide to the Issuer, any security holder of the Issuer, or the staff of the Securites and Exchange Commission, upon request, full information regarding the number of shares of Common Stock purchased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Nicole Kelsey, by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02/20/2025</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320" w:type="dxa"/>
            <w:vAlign w:val="bottom"/>
            <w:tcBorders>
              <w:top w:val="single" w:sz="8" w:color="auto"/>
            </w:tcBorders>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87652" TargetMode="External"/><Relationship Id="rId14"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2025-02-20T15:59:26Z</dcterms:created>
  <dcterms:modified xsi:type="dcterms:W3CDTF">2025-02-20T15:59:26Z</dcterms:modified>
</cp:coreProperties>
</file>