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February 18, 2020</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jc w:val="center"/>
        <w:ind w:right="-4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82-______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620"/>
          </w:cols>
          <w:pgMar w:left="440" w:top="368"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6720" w:type="dxa"/>
            <w:vAlign w:val="bottom"/>
            <w:gridSpan w:val="2"/>
          </w:tcPr>
          <w:p>
            <w:pPr>
              <w:jc w:val="center"/>
              <w:ind w:right="4134"/>
              <w:spacing w:after="0"/>
              <w:rPr>
                <w:sz w:val="20"/>
                <w:szCs w:val="20"/>
                <w:color w:val="auto"/>
              </w:rPr>
            </w:pPr>
            <w:r>
              <w:rPr>
                <w:rFonts w:ascii="Arial" w:cs="Arial" w:eastAsia="Arial" w:hAnsi="Arial"/>
                <w:sz w:val="18"/>
                <w:szCs w:val="18"/>
                <w:b w:val="1"/>
                <w:bCs w:val="1"/>
                <w:color w:val="auto"/>
              </w:rPr>
              <w:t>AVITA MEDICAL LIMITED</w:t>
            </w:r>
          </w:p>
        </w:tc>
      </w:tr>
      <w:tr>
        <w:trPr>
          <w:trHeight w:val="432"/>
        </w:trPr>
        <w:tc>
          <w:tcPr>
            <w:tcW w:w="4260" w:type="dxa"/>
            <w:vAlign w:val="bottom"/>
          </w:tcPr>
          <w:p>
            <w:pPr>
              <w:spacing w:after="0"/>
              <w:rPr>
                <w:sz w:val="24"/>
                <w:szCs w:val="24"/>
                <w:color w:val="auto"/>
              </w:rPr>
            </w:pPr>
          </w:p>
        </w:tc>
        <w:tc>
          <w:tcPr>
            <w:tcW w:w="6720" w:type="dxa"/>
            <w:vAlign w:val="bottom"/>
            <w:gridSpan w:val="2"/>
          </w:tcPr>
          <w:p>
            <w:pPr>
              <w:jc w:val="center"/>
              <w:ind w:right="4114"/>
              <w:spacing w:after="0"/>
              <w:rPr>
                <w:sz w:val="20"/>
                <w:szCs w:val="20"/>
                <w:color w:val="auto"/>
              </w:rPr>
            </w:pPr>
            <w:r>
              <w:rPr>
                <w:rFonts w:ascii="Arial" w:cs="Arial" w:eastAsia="Arial" w:hAnsi="Arial"/>
                <w:sz w:val="18"/>
                <w:szCs w:val="18"/>
                <w:b w:val="1"/>
                <w:bCs w:val="1"/>
                <w:color w:val="auto"/>
                <w:w w:val="96"/>
              </w:rPr>
              <w:t>Form 6-K</w:t>
            </w:r>
          </w:p>
        </w:tc>
      </w:tr>
      <w:tr>
        <w:trPr>
          <w:trHeight w:val="432"/>
        </w:trPr>
        <w:tc>
          <w:tcPr>
            <w:tcW w:w="4260" w:type="dxa"/>
            <w:vAlign w:val="bottom"/>
          </w:tcPr>
          <w:p>
            <w:pPr>
              <w:spacing w:after="0"/>
              <w:rPr>
                <w:sz w:val="24"/>
                <w:szCs w:val="24"/>
                <w:color w:val="auto"/>
              </w:rPr>
            </w:pPr>
          </w:p>
        </w:tc>
        <w:tc>
          <w:tcPr>
            <w:tcW w:w="6720" w:type="dxa"/>
            <w:vAlign w:val="bottom"/>
            <w:gridSpan w:val="2"/>
          </w:tcPr>
          <w:p>
            <w:pPr>
              <w:jc w:val="center"/>
              <w:ind w:right="4134"/>
              <w:spacing w:after="0"/>
              <w:rPr>
                <w:sz w:val="20"/>
                <w:szCs w:val="20"/>
                <w:color w:val="auto"/>
              </w:rPr>
            </w:pPr>
            <w:r>
              <w:rPr>
                <w:rFonts w:ascii="Arial" w:cs="Arial" w:eastAsia="Arial" w:hAnsi="Arial"/>
                <w:sz w:val="18"/>
                <w:szCs w:val="18"/>
                <w:color w:val="auto"/>
                <w:w w:val="95"/>
              </w:rPr>
              <w:t>TABLE OF CONTENTS</w:t>
            </w:r>
          </w:p>
        </w:tc>
      </w:tr>
      <w:tr>
        <w:trPr>
          <w:trHeight w:val="392"/>
        </w:trPr>
        <w:tc>
          <w:tcPr>
            <w:tcW w:w="42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Page</w:t>
            </w:r>
          </w:p>
        </w:tc>
      </w:tr>
      <w:tr>
        <w:trPr>
          <w:trHeight w:val="304"/>
        </w:trPr>
        <w:tc>
          <w:tcPr>
            <w:tcW w:w="4260" w:type="dxa"/>
            <w:vAlign w:val="bottom"/>
          </w:tcPr>
          <w:p>
            <w:pPr>
              <w:spacing w:after="0"/>
              <w:rPr>
                <w:sz w:val="20"/>
                <w:szCs w:val="20"/>
                <w:color w:val="auto"/>
              </w:rPr>
            </w:pPr>
            <w:r>
              <w:rPr>
                <w:rFonts w:ascii="Arial" w:cs="Arial" w:eastAsia="Arial" w:hAnsi="Arial"/>
                <w:sz w:val="18"/>
                <w:szCs w:val="18"/>
                <w:color w:val="auto"/>
              </w:rPr>
              <w:t>Explanatory Note</w:t>
            </w:r>
          </w:p>
        </w:tc>
        <w:tc>
          <w:tcPr>
            <w:tcW w:w="5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Page 2</w:t>
            </w:r>
          </w:p>
        </w:tc>
      </w:tr>
      <w:tr>
        <w:trPr>
          <w:trHeight w:val="324"/>
        </w:trPr>
        <w:tc>
          <w:tcPr>
            <w:tcW w:w="4260" w:type="dxa"/>
            <w:vAlign w:val="bottom"/>
          </w:tcPr>
          <w:p>
            <w:pPr>
              <w:spacing w:after="0"/>
              <w:rPr>
                <w:sz w:val="20"/>
                <w:szCs w:val="20"/>
                <w:color w:val="auto"/>
              </w:rPr>
            </w:pPr>
            <w:r>
              <w:rPr>
                <w:rFonts w:ascii="Arial" w:cs="Arial" w:eastAsia="Arial" w:hAnsi="Arial"/>
                <w:sz w:val="18"/>
                <w:szCs w:val="18"/>
                <w:color w:val="auto"/>
              </w:rPr>
              <w:t>Signatures</w:t>
            </w:r>
          </w:p>
        </w:tc>
        <w:tc>
          <w:tcPr>
            <w:tcW w:w="5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Page 3</w:t>
            </w:r>
          </w:p>
        </w:tc>
      </w:tr>
      <w:tr>
        <w:trPr>
          <w:trHeight w:val="324"/>
        </w:trPr>
        <w:tc>
          <w:tcPr>
            <w:tcW w:w="4260" w:type="dxa"/>
            <w:vAlign w:val="bottom"/>
          </w:tcPr>
          <w:p>
            <w:pPr>
              <w:spacing w:after="0"/>
              <w:rPr>
                <w:sz w:val="20"/>
                <w:szCs w:val="20"/>
                <w:color w:val="auto"/>
              </w:rPr>
            </w:pPr>
            <w:r>
              <w:rPr>
                <w:rFonts w:ascii="Arial" w:cs="Arial" w:eastAsia="Arial" w:hAnsi="Arial"/>
                <w:sz w:val="18"/>
                <w:szCs w:val="18"/>
                <w:color w:val="auto"/>
                <w:w w:val="94"/>
              </w:rPr>
              <w:t>Avita Medical Half-Year Financial Report for Fiscal 2020</w:t>
            </w:r>
          </w:p>
        </w:tc>
        <w:tc>
          <w:tcPr>
            <w:tcW w:w="5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Exhibit 99.1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Avita Medical Limited (the “Company”) published its half-year financial report for fiscal year 2020 on Appendix 4D (the “Public Notice”) to the Australian Securities Exchange on February 19, 2020. A copy of the Public Notice is attached as an exhibit to this report on Form 6-K.</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Perry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Michael Perry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132905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90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Half-Year Financial Report for Fiscal 2020</w:t>
      </w:r>
    </w:p>
    <w:p>
      <w:pPr>
        <w:spacing w:after="0" w:line="225"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color w:val="auto"/>
        </w:rPr>
        <w:t xml:space="preserve">Valencia, Calif., USA, and Melbourne, Australia, 19 February 2020 </w:t>
      </w:r>
      <w:r>
        <w:rPr>
          <w:rFonts w:ascii="Arial" w:cs="Arial" w:eastAsia="Arial" w:hAnsi="Arial"/>
          <w:sz w:val="17"/>
          <w:szCs w:val="17"/>
          <w:color w:val="auto"/>
        </w:rPr>
        <w:t>— AVITA Medical Limited (ASX: AVH, NASDAQ: RCEL), a regenerative</w:t>
      </w:r>
      <w:r>
        <w:rPr>
          <w:rFonts w:ascii="Arial" w:cs="Arial" w:eastAsia="Arial" w:hAnsi="Arial"/>
          <w:sz w:val="17"/>
          <w:szCs w:val="17"/>
          <w:b w:val="1"/>
          <w:bCs w:val="1"/>
          <w:color w:val="auto"/>
        </w:rPr>
        <w:t xml:space="preserve"> </w:t>
      </w:r>
      <w:r>
        <w:rPr>
          <w:rFonts w:ascii="Arial" w:cs="Arial" w:eastAsia="Arial" w:hAnsi="Arial"/>
          <w:sz w:val="17"/>
          <w:szCs w:val="17"/>
          <w:color w:val="auto"/>
        </w:rPr>
        <w:t>medicine company with a technology platform positioned to address unmet medical needs in therapeutic skin restoration, announced that it filed today with the Australian Securities Exchange (ASX) its Appendix 4D – Half-Year Report for the six month period ended 31 December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of RECELL</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System for First Six Month Period Ended 31 December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Product sales and other revenues for the six months ended 31 December 2019 were as follows (unaudited):</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jc w:val="center"/>
              <w:ind w:right="280"/>
              <w:spacing w:after="0"/>
              <w:rPr>
                <w:sz w:val="20"/>
                <w:szCs w:val="20"/>
                <w:color w:val="auto"/>
              </w:rPr>
            </w:pPr>
            <w:r>
              <w:rPr>
                <w:rFonts w:ascii="Arial" w:cs="Arial" w:eastAsia="Arial" w:hAnsi="Arial"/>
                <w:sz w:val="14"/>
                <w:szCs w:val="14"/>
                <w:color w:val="auto"/>
                <w:w w:val="93"/>
              </w:rPr>
              <w:t>Six Months Ended</w:t>
            </w:r>
          </w:p>
        </w:tc>
      </w:tr>
      <w:tr>
        <w:trPr>
          <w:trHeight w:val="167"/>
        </w:trPr>
        <w:tc>
          <w:tcPr>
            <w:tcW w:w="444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 of Australian Dollars</w:t>
            </w:r>
            <w:r>
              <w:rPr>
                <w:rFonts w:ascii="Arial" w:cs="Arial" w:eastAsia="Arial" w:hAnsi="Arial"/>
                <w:sz w:val="14"/>
                <w:szCs w:val="14"/>
                <w:color w:val="auto"/>
              </w:rPr>
              <w:t>)</w:t>
            </w: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jc w:val="center"/>
              <w:ind w:right="280"/>
              <w:spacing w:after="0"/>
              <w:rPr>
                <w:sz w:val="20"/>
                <w:szCs w:val="20"/>
                <w:color w:val="auto"/>
              </w:rPr>
            </w:pPr>
            <w:r>
              <w:rPr>
                <w:rFonts w:ascii="Arial" w:cs="Arial" w:eastAsia="Arial" w:hAnsi="Arial"/>
                <w:sz w:val="14"/>
                <w:szCs w:val="14"/>
                <w:color w:val="auto"/>
                <w:w w:val="92"/>
              </w:rPr>
              <w:t>31 December</w:t>
            </w: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w w:val="89"/>
              </w:rPr>
              <w:t>2019</w:t>
            </w:r>
          </w:p>
        </w:tc>
        <w:tc>
          <w:tcPr>
            <w:tcW w:w="1220" w:type="dxa"/>
            <w:vAlign w:val="bottom"/>
            <w:tcBorders>
              <w:top w:val="single" w:sz="8" w:color="auto"/>
            </w:tcBorders>
            <w:gridSpan w:val="2"/>
          </w:tcPr>
          <w:p>
            <w:pPr>
              <w:jc w:val="center"/>
              <w:ind w:left="476"/>
              <w:spacing w:after="0" w:line="142" w:lineRule="exact"/>
              <w:rPr>
                <w:sz w:val="20"/>
                <w:szCs w:val="20"/>
                <w:color w:val="auto"/>
              </w:rPr>
            </w:pPr>
            <w:r>
              <w:rPr>
                <w:rFonts w:ascii="Arial" w:cs="Arial" w:eastAsia="Arial" w:hAnsi="Arial"/>
                <w:sz w:val="14"/>
                <w:szCs w:val="14"/>
                <w:color w:val="auto"/>
                <w:w w:val="96"/>
              </w:rPr>
              <w:t>2018</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product sales</w:t>
            </w:r>
          </w:p>
        </w:tc>
        <w:tc>
          <w:tcPr>
            <w:tcW w:w="1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5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A$1,102</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International product sales</w:t>
            </w:r>
          </w:p>
        </w:tc>
        <w:tc>
          <w:tcPr>
            <w:tcW w:w="1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product sales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(including BARDA)</w:t>
            </w:r>
          </w:p>
        </w:tc>
        <w:tc>
          <w:tcPr>
            <w:tcW w:w="1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5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160" w:type="dxa"/>
            <w:vAlign w:val="bottom"/>
            <w:gridSpan w:val="2"/>
            <w:shd w:val="clear" w:color="auto" w:fill="CCEEFF"/>
          </w:tcPr>
          <w:p>
            <w:pPr>
              <w:ind w:left="1940"/>
              <w:spacing w:after="0"/>
              <w:rPr>
                <w:sz w:val="20"/>
                <w:szCs w:val="20"/>
                <w:color w:val="auto"/>
              </w:rPr>
            </w:pPr>
            <w:r>
              <w:rPr>
                <w:rFonts w:ascii="Arial" w:cs="Arial" w:eastAsia="Arial" w:hAnsi="Arial"/>
                <w:sz w:val="18"/>
                <w:szCs w:val="18"/>
                <w:u w:val="single" w:color="auto"/>
                <w:color w:val="auto"/>
                <w:w w:val="90"/>
              </w:rPr>
              <w:t>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13,530</w:t>
            </w:r>
          </w:p>
        </w:tc>
        <w:tc>
          <w:tcPr>
            <w:tcW w:w="1260" w:type="dxa"/>
            <w:vAlign w:val="bottom"/>
            <w:gridSpan w:val="3"/>
            <w:shd w:val="clear" w:color="auto" w:fill="CCEEFF"/>
          </w:tcPr>
          <w:p>
            <w:pPr>
              <w:jc w:val="center"/>
              <w:ind w:left="436"/>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6,926</w:t>
            </w: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continue to be pleased with early RECELL System utilization as we progress our “go deep” strategy within the in-patient burn setting. We are focused on driving incremental growth within existing accounts, together with broadening our commercial footprint via the addition of 25 burns centers throughout calendar 2020. Early 2020 sales performance has highlighted the commitment of burn specialists to the RECELL System, particularly among our group of super users,” said Dr. Mike Perry, AVITA Medical’s Chief Executive Officer. “With our strong balance sheet, buoyed by our successful financing in November, we are also exploring opportunities to advance our existing clinical programs as well as potentially commencing additional late-stage studies where we believe we have achieved a significant level of de-risking via our substantive body of clinical evidence and peer-reviewed publications. As an example, we will be working with the FDA to explore the possibility of using an adaptive pivotal study design for vitiligo in place of, or adjunctive to, the currently approved IDE in this indication. We plan to provide updates on these opportunities over the next few months.”</w:t>
      </w:r>
    </w:p>
    <w:p>
      <w:pPr>
        <w:spacing w:after="0" w:line="99" w:lineRule="exact"/>
        <w:rPr>
          <w:sz w:val="20"/>
          <w:szCs w:val="20"/>
          <w:color w:val="auto"/>
        </w:rPr>
      </w:pPr>
    </w:p>
    <w:p>
      <w:pPr>
        <w:ind w:right="258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RECELL System Update</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2020 is off to a pleasing start with consistent demand for the RECELL System, especially among our super users, and notwithstanding the 43rd Annual Boswick Burn &amp; Wound Symposium being held in late January and our National Sales Meeting (“NSM”) being held in early February. At our NSM, we spent a significant amount of time consulting with our burns surgeons, including our most experienced users, with a view to improving on best practices for use of the RECELL System. These activities included a specific focus around optimal usage and teaching methodology for the RECELL System, with a particular focus on the use of the RECELL System with smaller burns and as a standalone therapy.</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These efforts, and our broader efforts to promote awareness of the RECELL System, will extend into the forthcoming Annual Meeting of the American Burn Association which will be held in Orlando, Florida, 17-20 March. At this meeting, there will be 8+ presentations highlighting RECELL focused on decreased length of stay, cost savings, use on small burns, and other potential uses.</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Looking ahead, we will also be attending financial conferences to further educate investor and analyst audiences about RECELL and the potential of the platform. To this end, we will be attending the Cowen Annual Healthcare Conference in Boston, Massachusetts, 4 March. Our presentation will be webcast and a link to the audio track and the presentation will be available on our website, at </w:t>
      </w:r>
      <w:r>
        <w:rPr>
          <w:rFonts w:ascii="Arial" w:cs="Arial" w:eastAsia="Arial" w:hAnsi="Arial"/>
          <w:sz w:val="17"/>
          <w:szCs w:val="17"/>
          <w:u w:val="single" w:color="auto"/>
          <w:color w:val="auto"/>
        </w:rPr>
        <w:t>https://avitamedical.com/investors</w:t>
      </w:r>
      <w:r>
        <w:rPr>
          <w:rFonts w:ascii="Arial" w:cs="Arial" w:eastAsia="Arial" w:hAnsi="Arial"/>
          <w:sz w:val="17"/>
          <w:szCs w:val="17"/>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Acceleration / Expansion Update</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goal of expanding utilization of the RECELL System to 25 new burns centers during the 2020 calendar year (CY 2020) is well underway, with two new centers ordering as of the end of January. While the rate of in-patient burn admissions is inherently variable, we are confident that site expansion and our broader RECELL System usage will result in incremental revenue growth across the entirety of CY 2020. Consistent with this goal, we are keenly focused on our “go deep” strategy of (1) broadening our burn utilization from large, full thickness, wounds, or “big burns,” to the much higher incidence of smaller or partial thickness burns which is consistent with usage patterns demonstrated by our most experienced burn specialists; and (2) educating and training other burn surgeons within our customer base.</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nearest term opportunity we are advancing is in trauma and soft tissue injuries where, similar to the burn market, surgeons graft skin to repair defects from accidents (e.g. degloving, lacerations, gun shots, etc.). In 2019 September, we secured an investigational device exemption (IDE) to pursue FDA approval for soft tissue reconstruction (i.e. trauma) and we presently have three sites screening patients with our first patient expected shortly. This study will assess the safety and effectiveness of the RECELL System in a minimum of 65 trauma patients. In addition, we are pursuing incremental reimbursement avenues within the out-patient setting as we believe this will be important to support adoption of the RECELL System.</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Within the broader “burn market,” we are also seeking FDA approval for a pediatric scald indication. We have FDA investigational device exemptions for our two pediatric scalds studies and plan to commence these studies soon, with enrollment slated to start in mid-2020.</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previously disclosed, in late December 2019, we received FDA IDE approval for a feasibility study with 10 vitiligo patients to primarily determine the optimal concentration of the cell suspension prepared using the RECELL System. While we remain committed to the 10-patient, single-site pilot study, we are presently considering adaptive trial designs that could lead to an acceleration of the commencement of a full pivotal study for the RECELL System in vitiligo. Our depth of clinical experience with patients internationally makes us confident that such a strategy would address this unmet need, have a high likelihood of success, and could allow us to get our technology to patients more quickly and efficiently.</w:t>
      </w:r>
    </w:p>
    <w:p>
      <w:pPr>
        <w:spacing w:after="0" w:line="105" w:lineRule="exact"/>
        <w:rPr>
          <w:sz w:val="20"/>
          <w:szCs w:val="20"/>
          <w:color w:val="auto"/>
        </w:rPr>
      </w:pPr>
    </w:p>
    <w:p>
      <w:pPr>
        <w:ind w:right="258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2</w:t>
      </w:r>
    </w:p>
    <w:p>
      <w:pPr>
        <w:sectPr>
          <w:pgSz w:w="11900" w:h="16838" w:orient="portrait"/>
          <w:cols w:equalWidth="0" w:num="1">
            <w:col w:w="11020"/>
          </w:cols>
          <w:pgMar w:left="440" w:top="270" w:right="439" w:bottom="1440" w:gutter="0" w:footer="0" w:header="0"/>
        </w:sectPr>
      </w:pPr>
    </w:p>
    <w:bookmarkStart w:id="5" w:name="page6"/>
    <w:bookmarkEnd w:id="5"/>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also continuing to explore large opportunities for the RECELL System as a delivery platform to help address cellular and genetic disorders. As previously disclosed, we entered into a sponsored research agreement with the Gates Center for Regenerative Medicine at the University of Colorado in November 2019. This relationship is focused on proof-of-concept and development of a spray-on treatment of genetically modified cells for patients with the genetic skin disease epidermolysis bullosa (EB), with potential applicability to other genetic skin disorders. It is early days in this program, but we are hopeful of first in-human studies commencing in the middle or second half of 2021. In parallel, we are well-advanced with discussions to secure a rejuvenation application for the RECELL System and hope to have further details available in the middle of this year.</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Lastly, with our successful capital raising in November 2019, we have additional resources that may allow us to advance into a potential FDA registration study in an area where we have existing strong, and deep, clinical evidence. These opportunities are all presently under re-assessment, and we hope to provide more clarity, including details regarding the potential commencement of an additional registration study, on some of these opportunities over the coming months.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 information on AVITA’s current and future opportunities may be found in our recent operating review contained in the ASX Appendix 4C, dated 31 January 2020, together with the Company’s revised corporate presentation which was lodged with the ASX today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Half-Year Fiscal 2020 Financial Results (Unaudited)</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copy of the Appendix 4D – Half-Year Report for the six months ended 31 December 2019 is attached. A summary of the financial results for the half year are as follows: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5"/>
          </w:tcPr>
          <w:p>
            <w:pPr>
              <w:jc w:val="right"/>
              <w:ind w:right="480"/>
              <w:spacing w:after="0"/>
              <w:rPr>
                <w:sz w:val="20"/>
                <w:szCs w:val="20"/>
                <w:color w:val="auto"/>
              </w:rPr>
            </w:pPr>
            <w:r>
              <w:rPr>
                <w:rFonts w:ascii="Arial" w:cs="Arial" w:eastAsia="Arial" w:hAnsi="Arial"/>
                <w:sz w:val="14"/>
                <w:szCs w:val="14"/>
                <w:color w:val="auto"/>
              </w:rPr>
              <w:t>Six Months Ended</w:t>
            </w:r>
          </w:p>
        </w:tc>
      </w:tr>
      <w:tr>
        <w:trPr>
          <w:trHeight w:val="167"/>
        </w:trPr>
        <w:tc>
          <w:tcPr>
            <w:tcW w:w="632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 of Australian Dollars</w:t>
            </w: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color w:val="auto"/>
              </w:rPr>
              <w:t>31 December</w:t>
            </w: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color w:val="auto"/>
              </w:rPr>
              <w:t>2018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goods</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9,684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(2,326)</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BARDA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3,549</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w:t>
            </w: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(32,185)</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(21,935)</w:t>
            </w: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(20,981)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Total other comprehensive loss</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$ 23,756</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$ 14,205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54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3</w:t>
      </w:r>
    </w:p>
    <w:p>
      <w:pPr>
        <w:sectPr>
          <w:pgSz w:w="11900" w:h="16838" w:orient="portrait"/>
          <w:cols w:equalWidth="0" w:num="1">
            <w:col w:w="10980"/>
          </w:cols>
          <w:pgMar w:left="440" w:top="274" w:right="479" w:bottom="1440" w:gutter="0" w:footer="0" w:header="0"/>
        </w:sectPr>
      </w:pPr>
    </w:p>
    <w:bookmarkStart w:id="6" w:name="page7"/>
    <w:bookmarkEnd w:id="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increase in current-year sales occurred in the U.S. as a result of the commencement of the U.S. national market launch of the RECELL System in January 2019. Gross margin for the half-year ended 31 December 2019 was 76% compared to 69% for the same period in 2018, and the company expects gross margins to improve as sales ramp up within the U.S. market. BARDA income declined as a result of wind-down of certain activities associated with supporting the U.S. FDA approval of the RECELL System as well as the compassionate use and continued access programs. As the result of investments in commercial, manufacturing, and system capabilities to support the continued growth of the RECELL System in the U.S. market and related initiatives, operating costs and net loss for the half-year ended 31 December 2019 increased compared to the same period in the prior year.</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six months ended 31 December 2019, the Company completed an institutional placement in which it issued 203,389,831 shares at a price of A$0.059 per share and received gross proceeds of A$120,000,000. The cash and cash equivalents balance at 31 December 2019 was approximately $124.7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Medical Limited.</w:t>
      </w:r>
    </w:p>
    <w:p>
      <w:pPr>
        <w:spacing w:after="0" w:line="158" w:lineRule="exact"/>
        <w:rPr>
          <w:sz w:val="20"/>
          <w:szCs w:val="20"/>
          <w:color w:val="auto"/>
        </w:rPr>
      </w:pPr>
    </w:p>
    <w:p>
      <w:pPr>
        <w:ind w:right="250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4</w:t>
      </w:r>
    </w:p>
    <w:p>
      <w:pPr>
        <w:sectPr>
          <w:pgSz w:w="11900" w:h="16838" w:orient="portrait"/>
          <w:cols w:equalWidth="0" w:num="1">
            <w:col w:w="10940"/>
          </w:cols>
          <w:pgMar w:left="440" w:top="274" w:right="51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LIMITED</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REGENERATIVE EPIDERMAL SUSPENSION</w:t>
      </w:r>
      <w:r>
        <w:rPr>
          <w:rFonts w:ascii="Arial" w:cs="Arial" w:eastAsia="Arial" w:hAnsi="Arial"/>
          <w:sz w:val="15"/>
          <w:szCs w:val="15"/>
          <w:color w:val="auto"/>
        </w:rPr>
        <w:t>™</w:t>
      </w:r>
      <w:r>
        <w:rPr>
          <w:rFonts w:ascii="Arial" w:cs="Arial" w:eastAsia="Arial" w:hAnsi="Arial"/>
          <w:sz w:val="18"/>
          <w:szCs w:val="18"/>
          <w:color w:val="auto"/>
        </w:rPr>
        <w:t xml:space="preserve"> (RES</w:t>
      </w:r>
      <w:r>
        <w:rPr>
          <w:rFonts w:ascii="Arial" w:cs="Arial" w:eastAsia="Arial" w:hAnsi="Arial"/>
          <w:sz w:val="15"/>
          <w:szCs w:val="15"/>
          <w:color w:val="auto"/>
        </w:rPr>
        <w:t>™</w:t>
      </w:r>
      <w:r>
        <w:rPr>
          <w:rFonts w:ascii="Arial" w:cs="Arial" w:eastAsia="Arial" w:hAnsi="Arial"/>
          <w:sz w:val="18"/>
          <w:szCs w:val="18"/>
          <w:color w:val="auto"/>
        </w:rPr>
        <w:t>),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visit www.avitamedical.com.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107" w:lineRule="exact"/>
        <w:rPr>
          <w:sz w:val="20"/>
          <w:szCs w:val="20"/>
          <w:color w:val="auto"/>
        </w:rPr>
      </w:pPr>
    </w:p>
    <w:p>
      <w:pPr>
        <w:ind w:right="2560"/>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5</w:t>
      </w:r>
    </w:p>
    <w:p>
      <w:pPr>
        <w:sectPr>
          <w:pgSz w:w="11900" w:h="16838" w:orient="portrait"/>
          <w:cols w:equalWidth="0" w:num="1">
            <w:col w:w="11000"/>
          </w:cols>
          <w:pgMar w:left="440" w:top="274"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2360" w:type="dxa"/>
            <w:vAlign w:val="bottom"/>
          </w:tcPr>
          <w:p>
            <w:pPr>
              <w:spacing w:after="0"/>
              <w:rPr>
                <w:sz w:val="20"/>
                <w:szCs w:val="20"/>
                <w:color w:val="auto"/>
              </w:rPr>
            </w:pPr>
          </w:p>
        </w:tc>
      </w:tr>
      <w:tr>
        <w:trPr>
          <w:trHeight w:val="459"/>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2360" w:type="dxa"/>
            <w:vAlign w:val="bottom"/>
          </w:tcPr>
          <w:p>
            <w:pPr>
              <w:spacing w:after="0"/>
              <w:rPr>
                <w:sz w:val="20"/>
                <w:szCs w:val="20"/>
                <w:color w:val="auto"/>
              </w:rPr>
            </w:pPr>
            <w:r>
              <w:rPr>
                <w:rFonts w:ascii="Arial" w:cs="Arial" w:eastAsia="Arial" w:hAnsi="Arial"/>
                <w:sz w:val="18"/>
                <w:szCs w:val="18"/>
                <w:b w:val="1"/>
                <w:bCs w:val="1"/>
                <w:color w:val="auto"/>
              </w:rPr>
              <w:t>Investors:</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2360" w:type="dxa"/>
            <w:vAlign w:val="bottom"/>
          </w:tcPr>
          <w:p>
            <w:pPr>
              <w:spacing w:after="0"/>
              <w:rPr>
                <w:sz w:val="20"/>
                <w:szCs w:val="20"/>
                <w:color w:val="auto"/>
              </w:rPr>
            </w:pPr>
            <w:r>
              <w:rPr>
                <w:rFonts w:ascii="Arial" w:cs="Arial" w:eastAsia="Arial" w:hAnsi="Arial"/>
                <w:sz w:val="18"/>
                <w:szCs w:val="18"/>
                <w:b w:val="1"/>
                <w:bCs w:val="1"/>
                <w:color w:val="auto"/>
              </w:rPr>
              <w:t>Westwicke Partners</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2360" w:type="dxa"/>
            <w:vAlign w:val="bottom"/>
          </w:tcPr>
          <w:p>
            <w:pPr>
              <w:spacing w:after="0"/>
              <w:rPr>
                <w:sz w:val="20"/>
                <w:szCs w:val="20"/>
                <w:color w:val="auto"/>
              </w:rPr>
            </w:pPr>
            <w:r>
              <w:rPr>
                <w:rFonts w:ascii="Arial" w:cs="Arial" w:eastAsia="Arial" w:hAnsi="Arial"/>
                <w:sz w:val="18"/>
                <w:szCs w:val="18"/>
                <w:color w:val="auto"/>
              </w:rPr>
              <w:t>Caroline Corner</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2360" w:type="dxa"/>
            <w:vAlign w:val="bottom"/>
          </w:tcPr>
          <w:p>
            <w:pPr>
              <w:spacing w:after="0"/>
              <w:rPr>
                <w:sz w:val="20"/>
                <w:szCs w:val="20"/>
                <w:color w:val="auto"/>
              </w:rPr>
            </w:pPr>
            <w:r>
              <w:rPr>
                <w:rFonts w:ascii="Arial" w:cs="Arial" w:eastAsia="Arial" w:hAnsi="Arial"/>
                <w:sz w:val="18"/>
                <w:szCs w:val="18"/>
                <w:color w:val="auto"/>
              </w:rPr>
              <w:t>Phone +1 415 202 5678</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christycurran@sambrown.com</w:t>
            </w:r>
          </w:p>
        </w:tc>
        <w:tc>
          <w:tcPr>
            <w:tcW w:w="2360" w:type="dxa"/>
            <w:vAlign w:val="bottom"/>
          </w:tcPr>
          <w:p>
            <w:pPr>
              <w:spacing w:after="0"/>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2180" w:type="dxa"/>
            <w:vAlign w:val="bottom"/>
          </w:tcPr>
          <w:p>
            <w:pPr>
              <w:spacing w:after="0"/>
              <w:rPr>
                <w:sz w:val="20"/>
                <w:szCs w:val="20"/>
                <w:color w:val="auto"/>
              </w:rPr>
            </w:pPr>
            <w:r>
              <w:rPr>
                <w:rFonts w:ascii="Arial" w:cs="Arial" w:eastAsia="Arial" w:hAnsi="Arial"/>
                <w:sz w:val="18"/>
                <w:szCs w:val="18"/>
                <w:b w:val="1"/>
                <w:bCs w:val="1"/>
                <w:color w:val="auto"/>
              </w:rPr>
              <w:t>AVITA Medical Ltd</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2180" w:type="dxa"/>
            <w:vAlign w:val="bottom"/>
          </w:tcPr>
          <w:p>
            <w:pPr>
              <w:spacing w:after="0"/>
              <w:rPr>
                <w:sz w:val="20"/>
                <w:szCs w:val="20"/>
                <w:color w:val="auto"/>
              </w:rPr>
            </w:pPr>
            <w:r>
              <w:rPr>
                <w:rFonts w:ascii="Arial" w:cs="Arial" w:eastAsia="Arial" w:hAnsi="Arial"/>
                <w:sz w:val="18"/>
                <w:szCs w:val="18"/>
                <w:color w:val="auto"/>
              </w:rPr>
              <w:t>David McIntyre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2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2180" w:type="dxa"/>
            <w:vAlign w:val="bottom"/>
          </w:tcPr>
          <w:p>
            <w:pPr>
              <w:spacing w:after="0"/>
              <w:rPr>
                <w:sz w:val="20"/>
                <w:szCs w:val="20"/>
                <w:color w:val="auto"/>
              </w:rPr>
            </w:pPr>
            <w:r>
              <w:rPr>
                <w:rFonts w:ascii="Arial" w:cs="Arial" w:eastAsia="Arial" w:hAnsi="Arial"/>
                <w:sz w:val="18"/>
                <w:szCs w:val="18"/>
                <w:color w:val="auto"/>
              </w:rPr>
              <w:t>Phone +1 661 367 9178</w:t>
            </w:r>
          </w:p>
        </w:tc>
      </w:tr>
      <w:tr>
        <w:trPr>
          <w:trHeight w:val="230"/>
        </w:trPr>
        <w:tc>
          <w:tcPr>
            <w:tcW w:w="18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dmcintyre@avitamedical.com</w:t>
            </w:r>
          </w:p>
        </w:tc>
      </w:tr>
      <w:tr>
        <w:trPr>
          <w:trHeight w:val="291"/>
        </w:trPr>
        <w:tc>
          <w:tcPr>
            <w:tcW w:w="5740" w:type="dxa"/>
            <w:vAlign w:val="bottom"/>
            <w:gridSpan w:val="2"/>
          </w:tcPr>
          <w:p>
            <w:pPr>
              <w:spacing w:after="0"/>
              <w:rPr>
                <w:sz w:val="20"/>
                <w:szCs w:val="20"/>
                <w:color w:val="auto"/>
              </w:rPr>
            </w:pPr>
            <w:r>
              <w:rPr>
                <w:rFonts w:ascii="Arial" w:cs="Arial" w:eastAsia="Arial" w:hAnsi="Arial"/>
                <w:sz w:val="18"/>
                <w:szCs w:val="18"/>
                <w:color w:val="auto"/>
              </w:rPr>
              <w:t>Mobile +61 (0)411 402 737</w:t>
            </w:r>
          </w:p>
        </w:tc>
        <w:tc>
          <w:tcPr>
            <w:tcW w:w="2180" w:type="dxa"/>
            <w:vAlign w:val="bottom"/>
          </w:tcPr>
          <w:p>
            <w:pPr>
              <w:spacing w:after="0"/>
              <w:rPr>
                <w:sz w:val="24"/>
                <w:szCs w:val="24"/>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rudim@monsoon.com.au</w:t>
            </w:r>
          </w:p>
        </w:tc>
        <w:tc>
          <w:tcPr>
            <w:tcW w:w="2180" w:type="dxa"/>
            <w:vAlign w:val="bottom"/>
          </w:tcPr>
          <w:p>
            <w:pPr>
              <w:spacing w:after="0"/>
              <w:rPr>
                <w:sz w:val="19"/>
                <w:szCs w:val="19"/>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579"/>
        <w:spacing w:after="0" w:line="277"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6</w:t>
      </w:r>
    </w:p>
    <w:p>
      <w:pPr>
        <w:sectPr>
          <w:pgSz w:w="11900" w:h="16838" w:orient="portrait"/>
          <w:cols w:equalWidth="0" w:num="1">
            <w:col w:w="10019"/>
          </w:cols>
          <w:pgMar w:left="440" w:top="270"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Half-Year Report</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31 December 2019</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AVITA MEDICAL LIMITED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ABN 28 058 466 523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announcement to the market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Financial Results</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2019</w:t>
            </w:r>
          </w:p>
        </w:tc>
        <w:tc>
          <w:tcPr>
            <w:tcW w:w="1340" w:type="dxa"/>
            <w:vAlign w:val="bottom"/>
          </w:tcPr>
          <w:p>
            <w:pPr>
              <w:jc w:val="right"/>
              <w:ind w:right="34"/>
              <w:spacing w:after="0"/>
              <w:rPr>
                <w:sz w:val="20"/>
                <w:szCs w:val="20"/>
                <w:color w:val="auto"/>
              </w:rPr>
            </w:pPr>
            <w:r>
              <w:rPr>
                <w:rFonts w:ascii="Arial" w:cs="Arial" w:eastAsia="Arial" w:hAnsi="Arial"/>
                <w:sz w:val="14"/>
                <w:szCs w:val="14"/>
                <w:b w:val="1"/>
                <w:bCs w:val="1"/>
                <w:color w:val="auto"/>
              </w:rPr>
              <w:t>December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goods</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Up</w:t>
            </w:r>
          </w:p>
        </w:tc>
        <w:tc>
          <w:tcPr>
            <w:tcW w:w="7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434%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to</w:t>
            </w:r>
          </w:p>
        </w:tc>
        <w:tc>
          <w:tcPr>
            <w:tcW w:w="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A$ 9,684,214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A$ 1,813,195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980" w:type="dxa"/>
            <w:vAlign w:val="bottom"/>
          </w:tcPr>
          <w:p>
            <w:pPr>
              <w:spacing w:after="0"/>
              <w:rPr>
                <w:sz w:val="18"/>
                <w:szCs w:val="18"/>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Down</w:t>
            </w:r>
          </w:p>
        </w:tc>
        <w:tc>
          <w:tcPr>
            <w:tcW w:w="760" w:type="dxa"/>
            <w:vAlign w:val="bottom"/>
          </w:tcPr>
          <w:p>
            <w:pPr>
              <w:jc w:val="right"/>
              <w:ind w:right="175"/>
              <w:spacing w:after="0"/>
              <w:rPr>
                <w:sz w:val="20"/>
                <w:szCs w:val="20"/>
                <w:color w:val="auto"/>
              </w:rPr>
            </w:pPr>
            <w:r>
              <w:rPr>
                <w:rFonts w:ascii="Arial" w:cs="Arial" w:eastAsia="Arial" w:hAnsi="Arial"/>
                <w:sz w:val="18"/>
                <w:szCs w:val="18"/>
                <w:color w:val="auto"/>
              </w:rPr>
              <w:t>25%</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w w:val="92"/>
              </w:rPr>
              <w:t>to</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3,845,573</w:t>
            </w:r>
          </w:p>
        </w:tc>
        <w:tc>
          <w:tcPr>
            <w:tcW w:w="1340" w:type="dxa"/>
            <w:vAlign w:val="bottom"/>
          </w:tcPr>
          <w:p>
            <w:pPr>
              <w:jc w:val="right"/>
              <w:spacing w:after="0"/>
              <w:rPr>
                <w:sz w:val="20"/>
                <w:szCs w:val="20"/>
                <w:color w:val="auto"/>
              </w:rPr>
            </w:pPr>
            <w:r>
              <w:rPr>
                <w:rFonts w:ascii="Arial" w:cs="Arial" w:eastAsia="Arial" w:hAnsi="Arial"/>
                <w:sz w:val="18"/>
                <w:szCs w:val="18"/>
                <w:color w:val="auto"/>
              </w:rPr>
              <w:t>5,112,763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comprehensive loss for the period</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Up</w:t>
            </w:r>
          </w:p>
        </w:tc>
        <w:tc>
          <w:tcPr>
            <w:tcW w:w="7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to</w:t>
            </w:r>
          </w:p>
        </w:tc>
        <w:tc>
          <w:tcPr>
            <w:tcW w:w="13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23,755,659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14,205,247</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04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Dividends</w:t>
            </w:r>
          </w:p>
        </w:tc>
        <w:tc>
          <w:tcPr>
            <w:tcW w:w="236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w w:val="97"/>
              </w:rPr>
              <w:t>Amount per Ordinary</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Franked amount per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security</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interim dividend</w:t>
            </w:r>
          </w:p>
        </w:tc>
        <w:tc>
          <w:tcPr>
            <w:tcW w:w="9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7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center"/>
              <w:ind w:right="314"/>
              <w:spacing w:after="0"/>
              <w:rPr>
                <w:sz w:val="20"/>
                <w:szCs w:val="20"/>
                <w:color w:val="auto"/>
              </w:rPr>
            </w:pPr>
            <w:r>
              <w:rPr>
                <w:rFonts w:ascii="Arial" w:cs="Arial" w:eastAsia="Arial" w:hAnsi="Arial"/>
                <w:sz w:val="18"/>
                <w:szCs w:val="18"/>
                <w:color w:val="auto"/>
              </w:rPr>
              <w:t>Nil</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2019 interim dividend</w:t>
            </w:r>
          </w:p>
        </w:tc>
        <w:tc>
          <w:tcPr>
            <w:tcW w:w="9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rPr>
              <w:t>Nil</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center"/>
              <w:ind w:right="314"/>
              <w:spacing w:after="0"/>
              <w:rPr>
                <w:sz w:val="20"/>
                <w:szCs w:val="20"/>
                <w:color w:val="auto"/>
              </w:rPr>
            </w:pPr>
            <w:r>
              <w:rPr>
                <w:rFonts w:ascii="Arial" w:cs="Arial" w:eastAsia="Arial" w:hAnsi="Arial"/>
                <w:sz w:val="18"/>
                <w:szCs w:val="18"/>
                <w:color w:val="auto"/>
              </w:rPr>
              <w:t>Nil</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Record date for determining entitlements to the</w:t>
            </w: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 interim dividends</w:t>
            </w:r>
          </w:p>
        </w:tc>
        <w:tc>
          <w:tcPr>
            <w:tcW w:w="9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04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Net Tangible Asset Backing</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89"/>
              </w:rPr>
              <w:t>2018</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Net tangible asset backing per ordinary security</w:t>
            </w:r>
          </w:p>
        </w:tc>
        <w:tc>
          <w:tcPr>
            <w:tcW w:w="9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A$ 0.0566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A$ 0.0189</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explanatory notes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The Australian Securities and Investments Commission has stated that it considers the right of use assets arising from the application of IFRS 16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 ‘intangible assets’, requiring to exclude such assets from Net Tangible Asset calculations. The following table shows the calculation for net tangible asset backing per ordinary security.</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Tangible Assets: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assets</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w w:val="90"/>
              </w:rPr>
              <w:t>A$</w:t>
            </w:r>
          </w:p>
        </w:tc>
        <w:tc>
          <w:tcPr>
            <w:tcW w:w="1060" w:type="dxa"/>
            <w:vAlign w:val="bottom"/>
          </w:tcPr>
          <w:p>
            <w:pPr>
              <w:jc w:val="right"/>
              <w:spacing w:after="0"/>
              <w:rPr>
                <w:sz w:val="20"/>
                <w:szCs w:val="20"/>
                <w:color w:val="auto"/>
              </w:rPr>
            </w:pPr>
            <w:r>
              <w:rPr>
                <w:rFonts w:ascii="Arial" w:cs="Arial" w:eastAsia="Arial" w:hAnsi="Arial"/>
                <w:sz w:val="18"/>
                <w:szCs w:val="18"/>
                <w:color w:val="auto"/>
              </w:rPr>
              <w:t>123,870,042</w:t>
            </w:r>
          </w:p>
        </w:tc>
        <w:tc>
          <w:tcPr>
            <w:tcW w:w="380" w:type="dxa"/>
            <w:vAlign w:val="bottom"/>
          </w:tcPr>
          <w:p>
            <w:pPr>
              <w:spacing w:after="0"/>
              <w:rPr>
                <w:sz w:val="18"/>
                <w:szCs w:val="18"/>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w w:val="99"/>
              </w:rPr>
              <w:t>A$</w:t>
            </w:r>
          </w:p>
        </w:tc>
        <w:tc>
          <w:tcPr>
            <w:tcW w:w="1040" w:type="dxa"/>
            <w:vAlign w:val="bottom"/>
          </w:tcPr>
          <w:p>
            <w:pPr>
              <w:jc w:val="right"/>
              <w:spacing w:after="0"/>
              <w:rPr>
                <w:sz w:val="20"/>
                <w:szCs w:val="20"/>
                <w:color w:val="auto"/>
              </w:rPr>
            </w:pPr>
            <w:r>
              <w:rPr>
                <w:rFonts w:ascii="Arial" w:cs="Arial" w:eastAsia="Arial" w:hAnsi="Arial"/>
                <w:sz w:val="18"/>
                <w:szCs w:val="18"/>
                <w:color w:val="auto"/>
              </w:rPr>
              <w:t>31,247,284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 – Right of use assets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(3,449,611)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Patents-in-progress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(507,496)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(93,775)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net tangible assets</w:t>
            </w: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119,912,935</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31,153,509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i w:val="1"/>
                <w:iCs w:val="1"/>
                <w:color w:val="auto"/>
              </w:rPr>
              <w:t>Number of ordinary shares on issue</w:t>
            </w:r>
          </w:p>
        </w:tc>
        <w:tc>
          <w:tcPr>
            <w:tcW w:w="7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2,117,474,277</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1,652,425,340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 backing per ordinary security</w:t>
            </w: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0.0566</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required by listing rule 4.2A is contained in both this Appendix 4D and the attached half-year report. This half-yearly reporting information should be read in conjunction with the most recent annual financial report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97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0" w:lineRule="exact"/>
        <w:rPr>
          <w:sz w:val="20"/>
          <w:szCs w:val="20"/>
          <w:color w:val="auto"/>
        </w:rPr>
      </w:pPr>
    </w:p>
    <w:p>
      <w:pPr>
        <w:ind w:left="10540"/>
        <w:spacing w:after="0"/>
        <w:rPr>
          <w:sz w:val="20"/>
          <w:szCs w:val="20"/>
          <w:color w:val="auto"/>
        </w:rPr>
      </w:pPr>
      <w:r>
        <w:rPr>
          <w:rFonts w:ascii="Arial" w:cs="Arial" w:eastAsia="Arial" w:hAnsi="Arial"/>
          <w:sz w:val="15"/>
          <w:szCs w:val="15"/>
          <w:color w:val="auto"/>
        </w:rPr>
        <w:t>Page 1</w:t>
      </w:r>
    </w:p>
    <w:p>
      <w:pPr>
        <w:sectPr>
          <w:pgSz w:w="11900" w:h="16838" w:orient="portrait"/>
          <w:cols w:equalWidth="0" w:num="1">
            <w:col w:w="11040"/>
          </w:cols>
          <w:pgMar w:left="440" w:top="270" w:right="419" w:bottom="1440" w:gutter="0" w:footer="0" w:header="0"/>
        </w:sectPr>
      </w:pPr>
    </w:p>
    <w:bookmarkStart w:id="10" w:name="page11"/>
    <w:bookmarkEnd w:id="10"/>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AVITA MEDICAL LIMITED</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A.B.N. 28 058 466 523</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HALF-YEAR FINANCIAL REPORT</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31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120650</wp:posOffset>
            </wp:positionV>
            <wp:extent cx="6997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020"/>
          </w:cols>
          <w:pgMar w:left="1440" w:top="270" w:right="439" w:bottom="1440" w:gutter="0" w:footer="0" w:header="0"/>
        </w:sectPr>
      </w:pPr>
    </w:p>
    <w:bookmarkStart w:id="11" w:name="page12"/>
    <w:bookmarkEnd w:id="11"/>
    <w:p>
      <w:pPr>
        <w:ind w:left="6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6"/>
          <w:szCs w:val="16"/>
          <w:b w:val="1"/>
          <w:bCs w:val="1"/>
          <w:color w:val="auto"/>
        </w:rPr>
        <w:t>–</w:t>
      </w:r>
      <w:r>
        <w:rPr>
          <w:rFonts w:ascii="Arial" w:cs="Arial" w:eastAsia="Arial" w:hAnsi="Arial"/>
          <w:sz w:val="16"/>
          <w:szCs w:val="16"/>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6997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ABN 28 058 466 523</w:t>
      </w:r>
    </w:p>
    <w:p>
      <w:pPr>
        <w:spacing w:after="0" w:line="12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This half-year report covers the consolidated entity comprising Avita Medical Limited (“the Parent Company” or “the Company”) and its controlled subsidiaries (collectively, “the Group”). The Parent Company’s functional and presentation currency is Australian dollars (A$). A description of the Group’s operations and principal activities are included in the Review and Results of Operations in the Directors’ Report on page 4. The Directors’ Report does not form part of the financial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Lou Panaccio (Non-Executive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Michael Perry (Executive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Jeremy Curnock-Cook (Non-Executive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Louis Drapeau (Non-Executive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Damien McDonald (Non-Executive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Professor Suzanne Crowe (Non-Executive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Secretary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Mark Licciardo of Mertons Corporate Services Pty Ltd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Mertons Corporate Services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7, 330 Collins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Melbourne VIC 3000, Australia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Place of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28159 Avenue Stanford, Suite 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Valencia, CA 91355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Register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Computershare Investor Services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11, 172 St Georges Terrace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Perth, WA 6000 Australia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K&amp;L Gates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25 South Tower, 525 Collins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Melbourne VIC 3000, Australia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Grant Thornton Audit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17, 383 Kent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 Australia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Bankers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National Australia Bank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1238 Hay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Perth, WA 6000 Australia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w:t>
      </w:r>
    </w:p>
    <w:p>
      <w:pPr>
        <w:spacing w:after="0" w:line="2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Avita Medical Limited’s ordinary shares are listed for quotation on the Australian Securities Exchange (ASX:AVH). In addition, the Company’s American Depositary Shares are listed for quotation on the Nasdaq Capital Market in the US (NASDAQ: 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97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20"/>
          </w:cols>
          <w:pgMar w:left="440" w:top="270" w:right="439" w:bottom="1440" w:gutter="0" w:footer="0" w:header="0"/>
        </w:sectPr>
      </w:pPr>
    </w:p>
    <w:bookmarkStart w:id="12" w:name="page13"/>
    <w:bookmarkEnd w:id="12"/>
    <w:p>
      <w:pPr>
        <w:ind w:left="6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6"/>
          <w:szCs w:val="16"/>
          <w:b w:val="1"/>
          <w:bCs w:val="1"/>
          <w:color w:val="auto"/>
        </w:rPr>
        <w:t>–</w:t>
      </w:r>
      <w:r>
        <w:rPr>
          <w:rFonts w:ascii="Arial" w:cs="Arial" w:eastAsia="Arial" w:hAnsi="Arial"/>
          <w:sz w:val="16"/>
          <w:szCs w:val="16"/>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6997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REPORT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Your Directors submit their report for the half-year ended 31 December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names of the Company’s Directors in office during the half-year and until the date of this report are as below. Directors were in office for the entire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Mr Lou Panaccio (Non-Executive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 Michael Perry (Executive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Jeremy Curnock-Cook (Non-Executive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Louis Drapeau (Non-Executive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Damien McDonald (Non-Executive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Professor Suzanne Crowe (Non-Executive Director)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RESULTS OF OPERATIONS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Avita Medical Limited (“the Company”), together with our subsidiaries Avita Medical Americas, LLC, Avita Medical Europe Limited, Visiomed Group Pty Ltd, C3 Operations Pty Ltd and Infamed Pty Ltd (collectively “the Group”), is a regenerative medicine company with a technology platform designed to address unmet medical needs in patients with burns, chronic wounds, and aesthetics indications. Our patented and proprietary collection and application technology provides innovative treatment solutions derived from the regenerative properties of a patient’s own skin. Our lead product, the RECELL</w:t>
      </w:r>
      <w:r>
        <w:rPr>
          <w:rFonts w:ascii="Arial" w:cs="Arial" w:eastAsia="Arial" w:hAnsi="Arial"/>
          <w:sz w:val="14"/>
          <w:szCs w:val="14"/>
          <w:color w:val="auto"/>
        </w:rPr>
        <w:t>®</w:t>
      </w:r>
      <w:r>
        <w:rPr>
          <w:rFonts w:ascii="Arial" w:cs="Arial" w:eastAsia="Arial" w:hAnsi="Arial"/>
          <w:sz w:val="17"/>
          <w:szCs w:val="17"/>
          <w:color w:val="auto"/>
        </w:rPr>
        <w:t xml:space="preserve"> System, uses a small amount of a patient’s own skin to prepare Spray-On Skin Cells at the point of care in as little as 30 minutes. This autologous suspension of skin cells is then sprayed onto the areas requiring treatment.</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RECELL System, was approved for sale in the U.S. for the treatment of acute thermal burns in patients 18 years and older by the Food and Drug Administration (FDA) in September 2018. We initiated our U.S. national market launch of the RECELL System in January 2019, although the Company did commence commercial shipments in the U.S. during the half-year ended 31 December 2018 in response to pre-launch demand from certain burn centres. During the half-year ended 31 December 2019, the RECELL System was also sold on a limited basis in certain regions of the world in which the products were approved for sale, including Australia, China and Europe.</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Sale of goods of the RECELL System totalled A$9,684,214 for the half-year ended 31 December 2019, an increase of A$7,871,019 or 434% over the A$1,813,195 recognized during the same period in 2018. The increase in current-year sales occurred in the U.S. as a result of the commencement of the U.S. national market launch of the RECELL System in January 2019. U.S. sales during the six months ended 31 December 2019 totalled A$9,274,060 compared to A$1,101,991 in the prior year. Gross margin for the half-year ended 31 December 2019 was 76% compared to 69% for the same period in 2018, and management expects gross margins to improve as sales ramp up within the U.S.</w:t>
      </w:r>
    </w:p>
    <w:p>
      <w:pPr>
        <w:spacing w:after="0" w:line="1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Other revenue totalled A$3,845,573 for the half-year ended 31 December 2019, a decrease of A$1,267,190 or 25% over the A$5,112,763 recognized during same period in 2018. As in prior periods, the majority of other revenue consisted of funding from the Biomedical Advanced Research and Development Authority (BARDA), under the Assistant Secretary for Preparedness and Response, within the U.S. Department of Health and Human Services, under ongoing USG Contract No. HHSO100201500028C. Under the BARDA contract, income of A$3,549,020 was recognized during the half-year ended 31 December 2019 compared to income of A$5,009,137 during the same period in 2018. The decrease was the result of wind-down of certain activities associated with supporting the U.S. FDA approval of the RECELL System as well as the compassionate use and continued access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6997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020"/>
          </w:cols>
          <w:pgMar w:left="440" w:top="270" w:right="439" w:bottom="1440" w:gutter="0" w:footer="0" w:header="0"/>
        </w:sectPr>
      </w:pPr>
    </w:p>
    <w:bookmarkStart w:id="13" w:name="page14"/>
    <w:bookmarkEnd w:id="13"/>
    <w:p>
      <w:pPr>
        <w:ind w:left="6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6"/>
          <w:szCs w:val="16"/>
          <w:b w:val="1"/>
          <w:bCs w:val="1"/>
          <w:color w:val="auto"/>
        </w:rPr>
        <w:t>–</w:t>
      </w:r>
      <w:r>
        <w:rPr>
          <w:rFonts w:ascii="Arial" w:cs="Arial" w:eastAsia="Arial" w:hAnsi="Arial"/>
          <w:sz w:val="16"/>
          <w:szCs w:val="16"/>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6997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REPORT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RESULTS OF OPERATIONS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the result of investments in commercial, manufacturing, research and development and related initiatives, operating costs increased during the half-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year ended 31 December 2019. Sales and marketing expenses totalled A$10,338,441, an increase of A$3,407,200 or 49% over the A$6,931,241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recognized during same period in 2018. The increase was primarily attributed to the recruitment, hiring and training of U.S. sales force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associated product launch, sales and marketing materials and activities. Product development expenses totalled A$7,039,601 a decrease of A$40,441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 over the A$7,080,042 recognized during same period in 2018. Corporate and administrative expenses totalled A$9,298,049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A$2,432,799 or 35% over the A$6,865,250 recognized during same period in 2018. The increase was primarily due to higher legal and staffing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costs for the half-year ended 31 December 2019 totalled A$32,184,528, a A$10,249,494 or 47% increase over the A$21,935,034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recognized during same period in the prior year and were in line with management expectations.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Net comprehensive loss after tax for the half-year ended 31 December 2019 was A$23,755,659, a $9,550,412 or 67% increase compared to</w:t>
      </w:r>
    </w:p>
    <w:p>
      <w:pPr>
        <w:spacing w:after="0" w:line="3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A$14,205,247 incurred in the same period in the prior half-year. The increase in net loss was driven by the higher operating costs described above, partially offset by the higher sale of goods during the six months. As a result of the national launch of the RECELL System in the U.S. in January 2019, and the expansion of research and development, operating costs will increase in future periods. These expenses are expected to be partially offset by increased commercial sales of goods as well as income under the BARDA contract.</w:t>
      </w:r>
    </w:p>
    <w:p>
      <w:pPr>
        <w:spacing w:after="0" w:line="17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the half year ended 31 December 2019, net cash provided by the issuance of shares under institutional placements of shares to Australian and international institutional and sophisticated investors was $111,938,578. Cash and cash equivalents held at 31 December 2019 was $124,658,116.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From the end of the reporting period to the date of this report, no matter or circumstance has arisen which has significantly affected, or may significantly affect, the operations of the Group, the results of those operations or the state of affairs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97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020"/>
          </w:cols>
          <w:pgMar w:left="440" w:top="270" w:right="439" w:bottom="1440" w:gutter="0" w:footer="0" w:header="0"/>
        </w:sectPr>
      </w:pPr>
    </w:p>
    <w:bookmarkStart w:id="14" w:name="page15"/>
    <w:bookmarkEnd w:id="14"/>
    <w:p>
      <w:pPr>
        <w:ind w:left="6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6"/>
          <w:szCs w:val="16"/>
          <w:b w:val="1"/>
          <w:bCs w:val="1"/>
          <w:color w:val="auto"/>
        </w:rPr>
        <w:t>–</w:t>
      </w:r>
      <w:r>
        <w:rPr>
          <w:rFonts w:ascii="Arial" w:cs="Arial" w:eastAsia="Arial" w:hAnsi="Arial"/>
          <w:sz w:val="16"/>
          <w:szCs w:val="16"/>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6997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REPORT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INDEPENDENCE DECLARATION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copy of the auditor’s independence declaration as required under s307C of the </w:t>
      </w:r>
      <w:r>
        <w:rPr>
          <w:rFonts w:ascii="Arial" w:cs="Arial" w:eastAsia="Arial" w:hAnsi="Arial"/>
          <w:sz w:val="18"/>
          <w:szCs w:val="18"/>
          <w:i w:val="1"/>
          <w:iCs w:val="1"/>
          <w:color w:val="auto"/>
        </w:rPr>
        <w:t>Corporations Act</w:t>
      </w:r>
      <w:r>
        <w:rPr>
          <w:rFonts w:ascii="Arial" w:cs="Arial" w:eastAsia="Arial" w:hAnsi="Arial"/>
          <w:sz w:val="18"/>
          <w:szCs w:val="18"/>
          <w:color w:val="auto"/>
        </w:rPr>
        <w:t xml:space="preserve"> 2001 is included on the following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in accordance with a resolution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1372235" cy="651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223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Michael Perry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and 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19 February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Valencia, California,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020"/>
          </w:cols>
          <w:pgMar w:left="440" w:top="270" w:right="4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Level 17, 383 Kent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938020" cy="420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38020" cy="42037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Sydney NSW 2000</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Correspondence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Locked Bag Q800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QVB Post Office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Sydney NSW 1230</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+61 2 8297 2400</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+61 2 9299 4445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u w:val="single" w:color="auto"/>
          <w:color w:val="auto"/>
        </w:rPr>
        <w:t>info.nsw@au.gt.com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W </w:t>
      </w:r>
      <w:r>
        <w:rPr>
          <w:rFonts w:ascii="Arial" w:cs="Arial" w:eastAsia="Arial" w:hAnsi="Arial"/>
          <w:sz w:val="18"/>
          <w:szCs w:val="18"/>
          <w:color w:val="auto"/>
        </w:rPr>
        <w:t>www.grantthornton.com.au</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Independence Declaration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Directors of Avita Medical Limited</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In accordance with the requirements of section 307C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as lead auditor for the review of Avita Medical Limited for the period ended 31 December 2019, I declare that, to the best of my knowledge and belief, there have been:</w:t>
      </w:r>
    </w:p>
    <w:p>
      <w:pPr>
        <w:spacing w:after="0" w:line="197" w:lineRule="exact"/>
        <w:rPr>
          <w:sz w:val="20"/>
          <w:szCs w:val="20"/>
          <w:color w:val="auto"/>
        </w:rPr>
      </w:pPr>
    </w:p>
    <w:p>
      <w:pPr>
        <w:ind w:right="1980" w:firstLine="4"/>
        <w:spacing w:after="0" w:line="418" w:lineRule="auto"/>
        <w:tabs>
          <w:tab w:leader="none" w:pos="432"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no contraventions of the auditor independence requirements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in relation to the review; and b no contraventions of any applicable code of professional conduct in relation to the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94361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36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Grant Thornton Audit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943610" cy="53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36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M R Leivesley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 – Audit &amp; Assurance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Sydney, 19 February 2020</w:t>
      </w:r>
    </w:p>
    <w:p>
      <w:pPr>
        <w:sectPr>
          <w:pgSz w:w="11900" w:h="16838" w:orient="portrait"/>
          <w:cols w:equalWidth="0" w:num="1">
            <w:col w:w="11020"/>
          </w:cols>
          <w:pgMar w:left="440" w:top="274"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Grant Thornton Audit Pty Ltd ACN 130 913 594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subsidiary or related entity of Grant Thornton Australia Ltd ABN 41 127 556 389</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www.grantthornton.com.au</w:t>
      </w:r>
    </w:p>
    <w:p>
      <w:pPr>
        <w:spacing w:after="0" w:line="373" w:lineRule="exact"/>
        <w:rPr>
          <w:sz w:val="20"/>
          <w:szCs w:val="20"/>
          <w:color w:val="auto"/>
        </w:rPr>
      </w:pPr>
    </w:p>
    <w:p>
      <w:pPr>
        <w:sectPr>
          <w:pgSz w:w="11900" w:h="16838" w:orient="portrait"/>
          <w:cols w:equalWidth="0" w:num="2">
            <w:col w:w="7880" w:space="720"/>
            <w:col w:w="2420"/>
          </w:cols>
          <w:pgMar w:left="440" w:top="274" w:right="439" w:bottom="1440" w:gutter="0" w:footer="0" w:header="0"/>
          <w:type w:val="continuous"/>
        </w:sectPr>
      </w:pPr>
    </w:p>
    <w:p>
      <w:pPr>
        <w:ind w:right="2560"/>
        <w:spacing w:after="0" w:line="290" w:lineRule="auto"/>
        <w:rPr>
          <w:sz w:val="20"/>
          <w:szCs w:val="20"/>
          <w:color w:val="auto"/>
        </w:rPr>
      </w:pPr>
      <w:r>
        <w:rPr>
          <w:rFonts w:ascii="Arial" w:cs="Arial" w:eastAsia="Arial" w:hAnsi="Arial"/>
          <w:sz w:val="16"/>
          <w:szCs w:val="16"/>
          <w:color w:val="auto"/>
        </w:rPr>
        <w:t>‘Grant Thornton’ refers to the brand under which the Grant Thornton member firms provide assurance, tax and advisory services to their clients and/or refers to one or more member firms, as the context requires. Grant Thornton Australia Ltd is a member firm of Grant Thornton International Ltd (GTIL). GTIL and the member firms are not a worldwide partnership. GTIL and each member firm is a separate legal entity. Services are delivered by the member firms. GTIL does not provide services to clients. GTIL and its member firms are not agents of, and do not obligate one another and are not liable for one another’s acts or omissions. In the Australian context only, the use of the term ‘Grant Thornton’ may refer to Grant Thornton Australia Limited ABN 41 127 556 389 and its Australian subsidiaries and related entities. GTIL is not an Australian related entity to Grant Thornton Australia Limited.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Liability limited by a scheme approved under Professional Standards Legislation.</w:t>
      </w:r>
    </w:p>
    <w:p>
      <w:pPr>
        <w:sectPr>
          <w:pgSz w:w="11900" w:h="16838" w:orient="portrait"/>
          <w:cols w:equalWidth="0" w:num="1">
            <w:col w:w="11020"/>
          </w:cols>
          <w:pgMar w:left="440" w:top="274" w:right="439" w:bottom="1440" w:gutter="0" w:footer="0" w:header="0"/>
          <w:type w:val="continuous"/>
        </w:sectPr>
      </w:pPr>
    </w:p>
    <w:bookmarkStart w:id="16" w:name="page17"/>
    <w:bookmarkEnd w:id="16"/>
    <w:p>
      <w:pPr>
        <w:ind w:left="6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6"/>
          <w:szCs w:val="16"/>
          <w:b w:val="1"/>
          <w:bCs w:val="1"/>
          <w:color w:val="auto"/>
        </w:rPr>
        <w:t>–</w:t>
      </w:r>
      <w:r>
        <w:rPr>
          <w:rFonts w:ascii="Arial" w:cs="Arial" w:eastAsia="Arial" w:hAnsi="Arial"/>
          <w:sz w:val="16"/>
          <w:szCs w:val="16"/>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p>
      <w:pPr>
        <w:ind w:right="3300"/>
        <w:spacing w:after="0" w:line="282" w:lineRule="auto"/>
        <w:rPr>
          <w:sz w:val="20"/>
          <w:szCs w:val="20"/>
          <w:color w:val="auto"/>
        </w:rPr>
      </w:pPr>
      <w:r>
        <w:rPr>
          <w:rFonts w:ascii="Arial" w:cs="Arial" w:eastAsia="Arial" w:hAnsi="Arial"/>
          <w:sz w:val="18"/>
          <w:szCs w:val="18"/>
          <w:b w:val="1"/>
          <w:bCs w:val="1"/>
          <w:color w:val="auto"/>
        </w:rPr>
        <w:t>CONSOLIDATED STATEMENT OF PROFIT OR LOSS AND OTHER COMPREHENSIVE LOSS FOR THE HALF-YEAR ENDED 31 DECEMBER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40" w:type="dxa"/>
            <w:vAlign w:val="bottom"/>
          </w:tcPr>
          <w:p>
            <w:pPr>
              <w:jc w:val="right"/>
              <w:ind w:right="94"/>
              <w:spacing w:after="0"/>
              <w:rPr>
                <w:sz w:val="20"/>
                <w:szCs w:val="20"/>
                <w:color w:val="auto"/>
              </w:rPr>
            </w:pPr>
            <w:r>
              <w:rPr>
                <w:rFonts w:ascii="Arial" w:cs="Arial" w:eastAsia="Arial" w:hAnsi="Arial"/>
                <w:sz w:val="14"/>
                <w:szCs w:val="14"/>
                <w:b w:val="1"/>
                <w:bCs w:val="1"/>
                <w:color w:val="auto"/>
              </w:rPr>
              <w:t>Note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4"/>
          </w:tcPr>
          <w:p>
            <w:pPr>
              <w:ind w:left="780"/>
              <w:spacing w:after="0"/>
              <w:rPr>
                <w:sz w:val="20"/>
                <w:szCs w:val="20"/>
                <w:color w:val="auto"/>
              </w:rPr>
            </w:pPr>
            <w:r>
              <w:rPr>
                <w:rFonts w:ascii="Arial" w:cs="Arial" w:eastAsia="Arial" w:hAnsi="Arial"/>
                <w:sz w:val="14"/>
                <w:szCs w:val="14"/>
                <w:b w:val="1"/>
                <w:bCs w:val="1"/>
                <w:color w:val="auto"/>
                <w:w w:val="92"/>
              </w:rPr>
              <w:t>Consolidated</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31 Dec 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31 Dec 2019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Sale of goods</w:t>
            </w:r>
          </w:p>
        </w:tc>
        <w:tc>
          <w:tcPr>
            <w:tcW w:w="184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w w:val="99"/>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9,684,214</w:t>
            </w:r>
          </w:p>
        </w:tc>
        <w:tc>
          <w:tcPr>
            <w:tcW w:w="2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w w:val="99"/>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1,813,195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(2,326,046)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(570,315)</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7,358,168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1,242,880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1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income</w:t>
            </w:r>
          </w:p>
        </w:tc>
        <w:tc>
          <w:tcPr>
            <w:tcW w:w="184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3,845,573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5,112,763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Operating costs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(10,338,441)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(7,039,601)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(7,080,042)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administrative expenses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(9,298,049)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Share based payment expense</w:t>
            </w:r>
          </w:p>
        </w:tc>
        <w:tc>
          <w:tcPr>
            <w:tcW w:w="1840" w:type="dxa"/>
            <w:vAlign w:val="bottom"/>
          </w:tcPr>
          <w:p>
            <w:pPr>
              <w:jc w:val="right"/>
              <w:ind w:right="134"/>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(5,326,289)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(1,043,694)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(182,148)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(14,807)</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(32,184,528)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(21,935,034)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(20,980,787)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(15,579,391)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(20,980,787)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(15,579,391)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(2,774,872)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1,374,144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for the period, net of tax</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(2,774,872)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1,374,144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loss for the period</w:t>
            </w: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(23,755,659)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(14,205,247)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 attributable to owners of the parent</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(20,980,787)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(15,579,391)</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attributable to owners of the parent</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(23,755,659)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(14,205,247)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Basic and diluted loss per share from continuing operations</w:t>
            </w:r>
          </w:p>
        </w:tc>
        <w:tc>
          <w:tcPr>
            <w:tcW w:w="1840" w:type="dxa"/>
            <w:vAlign w:val="bottom"/>
          </w:tcPr>
          <w:p>
            <w:pPr>
              <w:spacing w:after="0"/>
              <w:rPr>
                <w:sz w:val="20"/>
                <w:szCs w:val="20"/>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b w:val="1"/>
                <w:bCs w:val="1"/>
                <w:color w:val="auto"/>
                <w:w w:val="95"/>
              </w:rPr>
              <w:t>A$</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(1.62) cents</w:t>
            </w:r>
          </w:p>
        </w:tc>
        <w:tc>
          <w:tcPr>
            <w:tcW w:w="420" w:type="dxa"/>
            <w:vAlign w:val="bottom"/>
            <w:gridSpan w:val="2"/>
          </w:tcPr>
          <w:p>
            <w:pPr>
              <w:ind w:left="180"/>
              <w:spacing w:after="0"/>
              <w:rPr>
                <w:sz w:val="20"/>
                <w:szCs w:val="20"/>
                <w:color w:val="auto"/>
              </w:rPr>
            </w:pPr>
            <w:r>
              <w:rPr>
                <w:rFonts w:ascii="Arial" w:cs="Arial" w:eastAsia="Arial" w:hAnsi="Arial"/>
                <w:sz w:val="18"/>
                <w:szCs w:val="18"/>
                <w:b w:val="1"/>
                <w:bCs w:val="1"/>
                <w:color w:val="auto"/>
                <w:w w:val="95"/>
              </w:rPr>
              <w:t>A$</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6"/>
              </w:rPr>
              <w:t>(1.59) cents</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6997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ind w:left="10540"/>
        <w:spacing w:after="0"/>
        <w:rPr>
          <w:sz w:val="20"/>
          <w:szCs w:val="20"/>
          <w:color w:val="auto"/>
        </w:rPr>
      </w:pPr>
      <w:r>
        <w:rPr>
          <w:rFonts w:ascii="Arial" w:cs="Arial" w:eastAsia="Arial" w:hAnsi="Arial"/>
          <w:sz w:val="15"/>
          <w:szCs w:val="15"/>
          <w:color w:val="auto"/>
        </w:rPr>
        <w:t>Page 8</w:t>
      </w:r>
    </w:p>
    <w:p>
      <w:pPr>
        <w:sectPr>
          <w:pgSz w:w="11900" w:h="16838" w:orient="portrait"/>
          <w:cols w:equalWidth="0" w:num="1">
            <w:col w:w="11040"/>
          </w:cols>
          <w:pgMar w:left="440" w:top="270" w:right="419" w:bottom="1440" w:gutter="0" w:footer="0" w:header="0"/>
        </w:sectPr>
      </w:pPr>
    </w:p>
    <w:bookmarkStart w:id="17" w:name="page18"/>
    <w:bookmarkEnd w:id="17"/>
    <w:p>
      <w:pPr>
        <w:ind w:left="6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6"/>
          <w:szCs w:val="16"/>
          <w:b w:val="1"/>
          <w:bCs w:val="1"/>
          <w:color w:val="auto"/>
        </w:rPr>
        <w:t>–</w:t>
      </w:r>
      <w:r>
        <w:rPr>
          <w:rFonts w:ascii="Arial" w:cs="Arial" w:eastAsia="Arial" w:hAnsi="Arial"/>
          <w:sz w:val="16"/>
          <w:szCs w:val="16"/>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6997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AT 31 DECEMBER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340" w:type="dxa"/>
            <w:vAlign w:val="bottom"/>
          </w:tcPr>
          <w:p>
            <w:pPr>
              <w:jc w:val="center"/>
              <w:ind w:left="1573"/>
              <w:spacing w:after="0"/>
              <w:rPr>
                <w:sz w:val="20"/>
                <w:szCs w:val="20"/>
                <w:color w:val="auto"/>
              </w:rPr>
            </w:pPr>
            <w:r>
              <w:rPr>
                <w:rFonts w:ascii="Arial" w:cs="Arial" w:eastAsia="Arial" w:hAnsi="Arial"/>
                <w:sz w:val="14"/>
                <w:szCs w:val="14"/>
                <w:b w:val="1"/>
                <w:bCs w:val="1"/>
                <w:color w:val="auto"/>
                <w:w w:val="89"/>
              </w:rPr>
              <w:t>Note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ind w:left="820"/>
              <w:spacing w:after="0"/>
              <w:rPr>
                <w:sz w:val="20"/>
                <w:szCs w:val="20"/>
                <w:color w:val="auto"/>
              </w:rPr>
            </w:pPr>
            <w:r>
              <w:rPr>
                <w:rFonts w:ascii="Arial" w:cs="Arial" w:eastAsia="Arial" w:hAnsi="Arial"/>
                <w:sz w:val="14"/>
                <w:szCs w:val="14"/>
                <w:b w:val="1"/>
                <w:bCs w:val="1"/>
                <w:color w:val="auto"/>
                <w:w w:val="96"/>
              </w:rPr>
              <w:t>Consolidated</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30 Jun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31 Dec 2019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124,658,116</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28,983,491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2,971,655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2,980,102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1,344,484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Inventories</w:t>
            </w: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1,269,333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130,243,588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34,578,882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2340" w:type="dxa"/>
            <w:vAlign w:val="bottom"/>
            <w:shd w:val="clear" w:color="auto" w:fill="CCEEFF"/>
          </w:tcPr>
          <w:p>
            <w:pPr>
              <w:jc w:val="center"/>
              <w:ind w:left="1593"/>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1,880,162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Plant and equipment – Right-of-use assets</w:t>
            </w:r>
          </w:p>
        </w:tc>
        <w:tc>
          <w:tcPr>
            <w:tcW w:w="2340" w:type="dxa"/>
            <w:vAlign w:val="bottom"/>
          </w:tcPr>
          <w:p>
            <w:pPr>
              <w:jc w:val="center"/>
              <w:ind w:left="1593"/>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3,449,611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Patents-in-progress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5,837,269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2,159,191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136,080,857</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36,738,073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3,716,048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5,633,562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4,041,709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Lease liabilities</w:t>
            </w:r>
          </w:p>
        </w:tc>
        <w:tc>
          <w:tcPr>
            <w:tcW w:w="2340" w:type="dxa"/>
            <w:vAlign w:val="bottom"/>
          </w:tcPr>
          <w:p>
            <w:pPr>
              <w:jc w:val="center"/>
              <w:ind w:left="1593"/>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718,756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8,476,513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6,283,921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Contract liability</w:t>
            </w: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611,795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Finance lease</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Lease liabilities</w:t>
            </w:r>
          </w:p>
        </w:tc>
        <w:tc>
          <w:tcPr>
            <w:tcW w:w="2340" w:type="dxa"/>
            <w:vAlign w:val="bottom"/>
          </w:tcPr>
          <w:p>
            <w:pPr>
              <w:jc w:val="center"/>
              <w:ind w:left="1593"/>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3,117,791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3,734,302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12,210,815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6,948,652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123,870,042</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29,789,421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w:t>
            </w: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equity holders of the parent:</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Contributed equity</w:t>
            </w:r>
          </w:p>
        </w:tc>
        <w:tc>
          <w:tcPr>
            <w:tcW w:w="2340" w:type="dxa"/>
            <w:vAlign w:val="bottom"/>
          </w:tcPr>
          <w:p>
            <w:pPr>
              <w:jc w:val="center"/>
              <w:ind w:left="1593"/>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317,116,290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204,279,078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(205,061,114)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(183,753,106)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Reserves</w:t>
            </w: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11,814,866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9,263,449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123,870,042</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29,789,421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ind w:left="10540"/>
        <w:spacing w:after="0"/>
        <w:rPr>
          <w:sz w:val="20"/>
          <w:szCs w:val="20"/>
          <w:color w:val="auto"/>
        </w:rPr>
      </w:pPr>
      <w:r>
        <w:rPr>
          <w:rFonts w:ascii="Arial" w:cs="Arial" w:eastAsia="Arial" w:hAnsi="Arial"/>
          <w:sz w:val="15"/>
          <w:szCs w:val="15"/>
          <w:color w:val="auto"/>
        </w:rPr>
        <w:t>Page 9</w:t>
      </w:r>
    </w:p>
    <w:p>
      <w:pPr>
        <w:sectPr>
          <w:pgSz w:w="11900" w:h="16838" w:orient="portrait"/>
          <w:cols w:equalWidth="0" w:num="1">
            <w:col w:w="11040"/>
          </w:cols>
          <w:pgMar w:left="440" w:top="270" w:right="419" w:bottom="1440" w:gutter="0" w:footer="0" w:header="0"/>
        </w:sectPr>
      </w:pPr>
    </w:p>
    <w:bookmarkStart w:id="18" w:name="page19"/>
    <w:bookmarkEnd w:id="18"/>
    <w:p>
      <w:pPr>
        <w:ind w:left="6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6"/>
          <w:szCs w:val="16"/>
          <w:b w:val="1"/>
          <w:bCs w:val="1"/>
          <w:color w:val="auto"/>
        </w:rPr>
        <w:t>–</w:t>
      </w:r>
      <w:r>
        <w:rPr>
          <w:rFonts w:ascii="Arial" w:cs="Arial" w:eastAsia="Arial" w:hAnsi="Arial"/>
          <w:sz w:val="16"/>
          <w:szCs w:val="16"/>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6997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tcPr>
          <w:p>
            <w:pPr>
              <w:ind w:left="8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31 Dec 2019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31 Dec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Receipts from customers</w:t>
            </w:r>
          </w:p>
        </w:tc>
        <w:tc>
          <w:tcPr>
            <w:tcW w:w="1300" w:type="dxa"/>
            <w:vAlign w:val="bottom"/>
            <w:gridSpan w:val="5"/>
          </w:tcPr>
          <w:p>
            <w:pPr>
              <w:jc w:val="center"/>
              <w:ind w:right="160"/>
              <w:spacing w:after="0"/>
              <w:rPr>
                <w:sz w:val="20"/>
                <w:szCs w:val="20"/>
                <w:color w:val="auto"/>
              </w:rPr>
            </w:pPr>
            <w:r>
              <w:rPr>
                <w:rFonts w:ascii="Arial" w:cs="Arial" w:eastAsia="Arial" w:hAnsi="Arial"/>
                <w:sz w:val="18"/>
                <w:szCs w:val="18"/>
                <w:color w:val="auto"/>
              </w:rPr>
              <w:t>A$  8,998,727</w:t>
            </w:r>
          </w:p>
        </w:tc>
        <w:tc>
          <w:tcPr>
            <w:tcW w:w="1580" w:type="dxa"/>
            <w:vAlign w:val="bottom"/>
            <w:gridSpan w:val="5"/>
          </w:tcPr>
          <w:p>
            <w:pPr>
              <w:jc w:val="center"/>
              <w:ind w:left="130"/>
              <w:spacing w:after="0"/>
              <w:rPr>
                <w:sz w:val="20"/>
                <w:szCs w:val="20"/>
                <w:color w:val="auto"/>
              </w:rPr>
            </w:pPr>
            <w:r>
              <w:rPr>
                <w:rFonts w:ascii="Arial" w:cs="Arial" w:eastAsia="Arial" w:hAnsi="Arial"/>
                <w:sz w:val="18"/>
                <w:szCs w:val="18"/>
                <w:color w:val="auto"/>
                <w:w w:val="99"/>
              </w:rPr>
              <w:t>A$  1,204,802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BARDA receipts and other income received</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3,927,363</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6,104,306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Payments to suppliers and employees</w:t>
            </w: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(26,595,190)</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(20,305,643)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296,553</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97,253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R&amp;D tax refunds received</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2,440,803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(13,372,547)</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(10,458,479)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Payments for plant and equipment</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(266,637)</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(722,472)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Payments for intellectual property</w:t>
            </w:r>
          </w:p>
        </w:tc>
        <w:tc>
          <w:tcPr>
            <w:tcW w:w="2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(222,588)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(489,225)</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(722,472)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120,000,000</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28,053,762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362,929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Capital raising expenses</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(8,061,422)</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(2,689,423)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20" w:type="dxa"/>
            <w:vAlign w:val="bottom"/>
          </w:tcPr>
          <w:p>
            <w:pPr>
              <w:spacing w:after="0"/>
              <w:rPr>
                <w:sz w:val="20"/>
                <w:szCs w:val="20"/>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112,301,507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25,364,339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98,439,735</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14,183,388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28,983,491</w:t>
            </w:r>
          </w:p>
        </w:tc>
        <w:tc>
          <w:tcPr>
            <w:tcW w:w="1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14,825,532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exchange</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(2,765,110)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1,333,440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u w:val="single" w:color="auto"/>
                <w:color w:val="auto"/>
                <w:w w:val="87"/>
              </w:rPr>
              <w:t>A$</w:t>
            </w:r>
            <w:r>
              <w:rPr>
                <w:rFonts w:ascii="Arial" w:cs="Arial" w:eastAsia="Arial" w:hAnsi="Arial"/>
                <w:sz w:val="18"/>
                <w:szCs w:val="18"/>
                <w:b w:val="1"/>
                <w:bCs w:val="1"/>
                <w:color w:val="auto"/>
                <w:w w:val="87"/>
              </w:rPr>
              <w:t xml:space="preserve"> 124,658,116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$ 30,342,360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460" w:type="dxa"/>
            <w:vAlign w:val="bottom"/>
            <w:gridSpan w:val="7"/>
          </w:tcPr>
          <w:p>
            <w:pPr>
              <w:spacing w:after="0"/>
              <w:rPr>
                <w:sz w:val="20"/>
                <w:szCs w:val="20"/>
                <w:color w:val="auto"/>
              </w:rPr>
            </w:pPr>
            <w:r>
              <w:rPr>
                <w:rFonts w:ascii="Arial" w:cs="Arial" w:eastAsia="Arial" w:hAnsi="Arial"/>
                <w:sz w:val="18"/>
                <w:szCs w:val="18"/>
                <w:color w:val="auto"/>
              </w:rPr>
              <w:t>For the purpose of the half-year Statement of Cash Flows, cash and cash equivalents are comprised of the following:</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7"/>
          </w:tcPr>
          <w:p>
            <w:pPr>
              <w:ind w:left="9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31 Dec 2019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31 Dec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xml:space="preserve"> 124,658,116</w:t>
            </w: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30,342,360</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Total cash and cash equivalents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87"/>
              </w:rPr>
              <w:t>A$</w:t>
            </w:r>
            <w:r>
              <w:rPr>
                <w:rFonts w:ascii="Arial" w:cs="Arial" w:eastAsia="Arial" w:hAnsi="Arial"/>
                <w:sz w:val="18"/>
                <w:szCs w:val="18"/>
                <w:b w:val="1"/>
                <w:bCs w:val="1"/>
                <w:color w:val="auto"/>
                <w:w w:val="87"/>
              </w:rPr>
              <w:t xml:space="preserve"> 124,658,116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30,342,360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6997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Page 10</w:t>
      </w:r>
    </w:p>
    <w:p>
      <w:pPr>
        <w:sectPr>
          <w:pgSz w:w="11900" w:h="16838" w:orient="portrait"/>
          <w:cols w:equalWidth="0" w:num="1">
            <w:col w:w="11040"/>
          </w:cols>
          <w:pgMar w:left="440" w:top="270" w:right="419" w:bottom="1440" w:gutter="0" w:footer="0" w:header="0"/>
        </w:sectPr>
      </w:pPr>
    </w:p>
    <w:bookmarkStart w:id="19" w:name="page20"/>
    <w:bookmarkEnd w:id="19"/>
    <w:p>
      <w:pPr>
        <w:ind w:left="6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Avita Medical Limited </w:t>
      </w:r>
      <w:r>
        <w:rPr>
          <w:rFonts w:ascii="Arial" w:cs="Arial" w:eastAsia="Arial" w:hAnsi="Arial"/>
          <w:sz w:val="16"/>
          <w:szCs w:val="16"/>
          <w:b w:val="1"/>
          <w:bCs w:val="1"/>
          <w:color w:val="auto"/>
        </w:rPr>
        <w:t>–</w:t>
      </w:r>
      <w:r>
        <w:rPr>
          <w:rFonts w:ascii="Arial" w:cs="Arial" w:eastAsia="Arial" w:hAnsi="Arial"/>
          <w:sz w:val="16"/>
          <w:szCs w:val="16"/>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Share-based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Contributed</w:t>
            </w:r>
          </w:p>
        </w:tc>
        <w:tc>
          <w:tcPr>
            <w:tcW w:w="120" w:type="dxa"/>
            <w:vAlign w:val="bottom"/>
          </w:tcPr>
          <w:p>
            <w:pPr>
              <w:spacing w:after="0"/>
              <w:rPr>
                <w:sz w:val="12"/>
                <w:szCs w:val="12"/>
                <w:color w:val="auto"/>
              </w:rPr>
            </w:pPr>
          </w:p>
        </w:tc>
        <w:tc>
          <w:tcPr>
            <w:tcW w:w="12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Note</w:t>
            </w:r>
          </w:p>
        </w:tc>
        <w:tc>
          <w:tcPr>
            <w:tcW w:w="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payment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reserve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1 July 2019</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A$204,279,078</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(183,753,106)</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A$ 7,193,965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A$ 2,069,484</w:t>
            </w:r>
          </w:p>
        </w:tc>
        <w:tc>
          <w:tcPr>
            <w:tcW w:w="2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A$ 29,789,421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Adjustment from adoption of IFRS 16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(327,221)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(327,221)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balance at 1 July 2019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204,279,078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(184,080,327)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7,193,965</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2,069,484</w:t>
            </w:r>
          </w:p>
        </w:tc>
        <w:tc>
          <w:tcPr>
            <w:tcW w:w="1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29,462,200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(20,980,787)</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(20,980,787)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(2,774,872)</w:t>
            </w:r>
          </w:p>
        </w:tc>
        <w:tc>
          <w:tcPr>
            <w:tcW w:w="14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(2,774,872)</w:t>
            </w: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(20,980,787)</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(2,774,872)</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(23,755,659)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4"/>
              </w:rPr>
              <w:t>Transactions with owners in their capacity as owners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Share based payments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5,326,289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5,326,289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120,402,440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120,402,440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(7,565,228)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(7,565,228)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31 December 2019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xml:space="preserve"> 317,116,290</w:t>
            </w:r>
          </w:p>
        </w:tc>
        <w:tc>
          <w:tcPr>
            <w:tcW w:w="200" w:type="dxa"/>
            <w:vAlign w:val="bottom"/>
            <w:tcBorders>
              <w:righ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(205,061,114)</w:t>
            </w:r>
          </w:p>
        </w:tc>
        <w:tc>
          <w:tcPr>
            <w:tcW w:w="116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12,520,254</w:t>
            </w:r>
          </w:p>
        </w:tc>
        <w:tc>
          <w:tcPr>
            <w:tcW w:w="25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97"/>
              </w:rPr>
              <w:t>A</w:t>
            </w:r>
            <w:r>
              <w:rPr>
                <w:rFonts w:ascii="Arial" w:cs="Arial" w:eastAsia="Arial" w:hAnsi="Arial"/>
                <w:sz w:val="18"/>
                <w:szCs w:val="18"/>
                <w:b w:val="1"/>
                <w:bCs w:val="1"/>
                <w:color w:val="auto"/>
                <w:w w:val="97"/>
              </w:rPr>
              <w:t xml:space="preserve">$  (705,388)  </w:t>
            </w:r>
            <w:r>
              <w:rPr>
                <w:rFonts w:ascii="Arial" w:cs="Arial" w:eastAsia="Arial" w:hAnsi="Arial"/>
                <w:sz w:val="18"/>
                <w:szCs w:val="18"/>
                <w:b w:val="1"/>
                <w:bCs w:val="1"/>
                <w:u w:val="single" w:color="auto"/>
                <w:color w:val="auto"/>
                <w:w w:val="97"/>
              </w:rPr>
              <w:t>A$</w:t>
            </w:r>
            <w:r>
              <w:rPr>
                <w:rFonts w:ascii="Arial" w:cs="Arial" w:eastAsia="Arial" w:hAnsi="Arial"/>
                <w:sz w:val="18"/>
                <w:szCs w:val="18"/>
                <w:b w:val="1"/>
                <w:bCs w:val="1"/>
                <w:color w:val="auto"/>
                <w:w w:val="97"/>
              </w:rPr>
              <w:t>123,870,042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Share-based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Contributed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payment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equity</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reserve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1 July 2018</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0"/>
              </w:rPr>
              <w:t>A$162,801,028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(148,592,879)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1"/>
              </w:rPr>
              <w:t>A$4,505,148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A$  286,262</w:t>
            </w:r>
          </w:p>
        </w:tc>
        <w:tc>
          <w:tcPr>
            <w:tcW w:w="2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A$ 18,999,559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Loss for the period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(15,579,391)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(15,579,391)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1,374,144</w:t>
            </w:r>
          </w:p>
        </w:tc>
        <w:tc>
          <w:tcPr>
            <w:tcW w:w="1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1,374,144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(15,579,391)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1,374,144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(14,205,247)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4"/>
              </w:rPr>
              <w:t>Transactions with owners in their capacity as owners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Share based payments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1,043,694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1,043,694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5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28,098,701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5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(2,689,423)</w:t>
            </w:r>
          </w:p>
        </w:tc>
        <w:tc>
          <w:tcPr>
            <w:tcW w:w="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(2,689,423)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31 December 2018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center"/>
              <w:ind w:left="93"/>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188,210,306</w:t>
            </w:r>
          </w:p>
        </w:tc>
        <w:tc>
          <w:tcPr>
            <w:tcW w:w="1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xml:space="preserve"> (164,172,270)</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5,548,842</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1,660,406</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$ 31,247,284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ind w:left="10460"/>
        <w:spacing w:after="0"/>
        <w:rPr>
          <w:sz w:val="20"/>
          <w:szCs w:val="20"/>
          <w:color w:val="auto"/>
        </w:rPr>
      </w:pPr>
      <w:r>
        <w:rPr>
          <w:rFonts w:ascii="Arial" w:cs="Arial" w:eastAsia="Arial" w:hAnsi="Arial"/>
          <w:sz w:val="15"/>
          <w:szCs w:val="15"/>
          <w:color w:val="auto"/>
        </w:rPr>
        <w:t>Page 11</w:t>
      </w:r>
    </w:p>
    <w:p>
      <w:pPr>
        <w:sectPr>
          <w:pgSz w:w="11900" w:h="16838" w:orient="portrait"/>
          <w:cols w:equalWidth="0" w:num="1">
            <w:col w:w="11040"/>
          </w:cols>
          <w:pgMar w:left="440" w:top="270" w:right="4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w:t>
      </w:r>
    </w:p>
    <w:p>
      <w:pPr>
        <w:spacing w:after="0" w:line="131"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 xml:space="preserve">This general purpose condensed financial report for the half-year ended 31 December 2019 has been prepared in accordance with IAS 34 </w:t>
      </w:r>
      <w:r>
        <w:rPr>
          <w:rFonts w:ascii="Arial" w:cs="Arial" w:eastAsia="Arial" w:hAnsi="Arial"/>
          <w:sz w:val="18"/>
          <w:szCs w:val="18"/>
          <w:i w:val="1"/>
          <w:iCs w:val="1"/>
          <w:color w:val="auto"/>
        </w:rPr>
        <w:t>Interim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Corporations Act 2001. </w:t>
      </w:r>
      <w:r>
        <w:rPr>
          <w:rFonts w:ascii="Arial" w:cs="Arial" w:eastAsia="Arial" w:hAnsi="Arial"/>
          <w:sz w:val="18"/>
          <w:szCs w:val="18"/>
          <w:color w:val="auto"/>
        </w:rPr>
        <w:t>The Group is a for-profit entity for financial reporting purposes under Australian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The Parent Company’s functional and presentation currency is Australian dollars (A$).</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half-year financial report does not include all notes of the type normally included within the annual financial report and therefore cannot be expected to provide as full an understanding of the financial performance, financial position and financing and investing activities of the consolidated entity as the full financial report.</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 xml:space="preserve">It is recommended that this half-year financial report be read in conjunction with the Annual Report for the year ended 30 June 2019 and considered together with all public announcements made by Avita Medical Limited in accordance with the continuous disclosure obligations of the </w:t>
      </w:r>
      <w:r>
        <w:rPr>
          <w:rFonts w:ascii="Arial" w:cs="Arial" w:eastAsia="Arial" w:hAnsi="Arial"/>
          <w:sz w:val="18"/>
          <w:szCs w:val="18"/>
          <w:i w:val="1"/>
          <w:iCs w:val="1"/>
          <w:color w:val="auto"/>
        </w:rPr>
        <w:t>ASX listing</w:t>
      </w:r>
      <w:r>
        <w:rPr>
          <w:rFonts w:ascii="Arial" w:cs="Arial" w:eastAsia="Arial" w:hAnsi="Arial"/>
          <w:sz w:val="18"/>
          <w:szCs w:val="18"/>
          <w:color w:val="auto"/>
        </w:rPr>
        <w:t xml:space="preserve"> </w:t>
      </w:r>
      <w:r>
        <w:rPr>
          <w:rFonts w:ascii="Arial" w:cs="Arial" w:eastAsia="Arial" w:hAnsi="Arial"/>
          <w:sz w:val="18"/>
          <w:szCs w:val="18"/>
          <w:i w:val="1"/>
          <w:iCs w:val="1"/>
          <w:color w:val="auto"/>
        </w:rPr>
        <w:t>rules.</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This half-year financial report has been prepared on the going concern basis. The accounting policies have been applied consistently throughout the Group for the purposes of preparation of these interim financial statements. Certain items on the Consolidated Financial Statements and notes for the prior periods have been reclassified to conform to the current period presentation.</w:t>
      </w:r>
    </w:p>
    <w:p>
      <w:pPr>
        <w:spacing w:after="0" w:line="326"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New standards adopted as at 1 July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Group has adopted the new accounting pronouncements which have become effective this year, and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replaces IAS 17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along with three Interpretations (IFRIC 4 </w:t>
      </w:r>
      <w:r>
        <w:rPr>
          <w:rFonts w:ascii="Arial" w:cs="Arial" w:eastAsia="Arial" w:hAnsi="Arial"/>
          <w:sz w:val="17"/>
          <w:szCs w:val="17"/>
          <w:i w:val="1"/>
          <w:iCs w:val="1"/>
          <w:color w:val="auto"/>
        </w:rPr>
        <w:t>Determining whether an Arrangement contains a Lease,</w:t>
      </w:r>
      <w:r>
        <w:rPr>
          <w:rFonts w:ascii="Arial" w:cs="Arial" w:eastAsia="Arial" w:hAnsi="Arial"/>
          <w:sz w:val="17"/>
          <w:szCs w:val="17"/>
          <w:color w:val="auto"/>
        </w:rPr>
        <w:t xml:space="preserve"> SIC 15 </w:t>
      </w:r>
      <w:r>
        <w:rPr>
          <w:rFonts w:ascii="Arial" w:cs="Arial" w:eastAsia="Arial" w:hAnsi="Arial"/>
          <w:sz w:val="17"/>
          <w:szCs w:val="17"/>
          <w:i w:val="1"/>
          <w:iCs w:val="1"/>
          <w:color w:val="auto"/>
        </w:rPr>
        <w:t xml:space="preserve">Operating Leases-Incentives </w:t>
      </w:r>
      <w:r>
        <w:rPr>
          <w:rFonts w:ascii="Arial" w:cs="Arial" w:eastAsia="Arial" w:hAnsi="Arial"/>
          <w:sz w:val="17"/>
          <w:szCs w:val="17"/>
          <w:color w:val="auto"/>
        </w:rPr>
        <w:t>and SIC 27</w:t>
      </w:r>
      <w:r>
        <w:rPr>
          <w:rFonts w:ascii="Arial" w:cs="Arial" w:eastAsia="Arial" w:hAnsi="Arial"/>
          <w:sz w:val="17"/>
          <w:szCs w:val="17"/>
          <w:i w:val="1"/>
          <w:iCs w:val="1"/>
          <w:color w:val="auto"/>
        </w:rPr>
        <w:t xml:space="preserve"> Evaluating the Substance of Transactions Involving the Legal Form of a Lease)</w:t>
      </w:r>
      <w:r>
        <w:rPr>
          <w:rFonts w:ascii="Arial" w:cs="Arial" w:eastAsia="Arial" w:hAnsi="Arial"/>
          <w:sz w:val="17"/>
          <w:szCs w:val="17"/>
          <w:color w:val="auto"/>
        </w:rPr>
        <w:t>. IFRS 16 has been applied</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modified retrospective approach, with the cumulative effect of adopting IFRS 16 being recognised in equity as an adjustment to the opening balance of retained earnings for the current period. Prior periods have not been restated.</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contracts in place at the date of initial application of IFRS 16, the Group has elected to apply the definition of a lease from IAS 17 and IFRIC 4 and has not applied IFRS 16 to arrangements that were previously not identified as lease under IAS 17 and IFRIC 4.</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Group has elected not to include initial direct costs in the measurement of the right-of-use asset for operating leases in existence at the date of initial application of IFRS 16, being 1 July 2019. At this date, the Group has also elected to measure the right-of-use assets at an amount equal to the lease liability adjusted for any prepaid or accrued lease payments that existed at the date of transition.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transition, for leases previously accounted for as operating leases with a remaining lease term of less than 12 months and for leases of low-value assets the Group has applied the optional exemptions to not recognise right-of-use assets but to account for the lease expense on a straight line basis over the remaining lease term.</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those leases previously classified as finance leases, the right-of-use asset and lease liability are measured at the date of initial application at the same amounts as under IAS 17 immediately before the date of initial application.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transition to IFRS 16 the weighted average incremental borrowing rate applied to lease liabilities recognised under IFRS 16 was 6.3% (which is the prime rate plus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020"/>
          </w:cols>
          <w:pgMar w:left="440" w:top="270" w:right="4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New standards adopted as at 1 July 2019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total operating lease commitments at 30 June 2019 to the lease liabilities recognised at 1 July 2019:</w:t>
      </w:r>
    </w:p>
    <w:p>
      <w:pPr>
        <w:spacing w:after="0" w:line="26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 disclosed as at 30 June 2019</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8"/>
                <w:szCs w:val="18"/>
                <w:u w:val="single" w:color="auto"/>
                <w:color w:val="auto"/>
                <w:w w:val="99"/>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1,585,366</w:t>
            </w:r>
          </w:p>
        </w:tc>
        <w:tc>
          <w:tcPr>
            <w:tcW w:w="60" w:type="dxa"/>
            <w:vAlign w:val="bottom"/>
            <w:shd w:val="clear" w:color="auto" w:fill="CCEEFF"/>
          </w:tcPr>
          <w:p>
            <w:pPr>
              <w:spacing w:after="0"/>
              <w:rPr>
                <w:sz w:val="18"/>
                <w:szCs w:val="18"/>
                <w:color w:val="auto"/>
              </w:rPr>
            </w:pPr>
          </w:p>
        </w:tc>
      </w:tr>
      <w:tr>
        <w:trPr>
          <w:trHeight w:val="209"/>
        </w:trPr>
        <w:tc>
          <w:tcPr>
            <w:tcW w:w="6020" w:type="dxa"/>
            <w:vAlign w:val="bottom"/>
            <w:gridSpan w:val="2"/>
          </w:tcPr>
          <w:p>
            <w:pPr>
              <w:spacing w:after="0"/>
              <w:rPr>
                <w:sz w:val="20"/>
                <w:szCs w:val="20"/>
                <w:color w:val="auto"/>
              </w:rPr>
            </w:pPr>
            <w:r>
              <w:rPr>
                <w:rFonts w:ascii="Arial" w:cs="Arial" w:eastAsia="Arial" w:hAnsi="Arial"/>
                <w:sz w:val="18"/>
                <w:szCs w:val="18"/>
                <w:color w:val="auto"/>
                <w:w w:val="96"/>
              </w:rPr>
              <w:t>Discounted using the lessee’s weighted average incremental borrowing rate at</w:t>
            </w: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the date of initial application</w:t>
            </w:r>
          </w:p>
        </w:tc>
        <w:tc>
          <w:tcPr>
            <w:tcW w:w="680" w:type="dxa"/>
            <w:vAlign w:val="bottom"/>
            <w:gridSpan w:val="2"/>
          </w:tcPr>
          <w:p>
            <w:pPr>
              <w:ind w:left="440"/>
              <w:spacing w:after="0"/>
              <w:rPr>
                <w:sz w:val="20"/>
                <w:szCs w:val="20"/>
                <w:color w:val="auto"/>
              </w:rPr>
            </w:pPr>
            <w:r>
              <w:rPr>
                <w:rFonts w:ascii="Arial" w:cs="Arial" w:eastAsia="Arial" w:hAnsi="Arial"/>
                <w:sz w:val="18"/>
                <w:szCs w:val="18"/>
                <w:color w:val="auto"/>
                <w:w w:val="99"/>
              </w:rPr>
              <w:t>A$</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1,362,065</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adjustments as a result of a different treatment of extension and</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termination of options</w:t>
            </w:r>
          </w:p>
        </w:tc>
        <w:tc>
          <w:tcPr>
            <w:tcW w:w="4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2,877,034</w:t>
            </w:r>
          </w:p>
        </w:tc>
        <w:tc>
          <w:tcPr>
            <w:tcW w:w="60" w:type="dxa"/>
            <w:vAlign w:val="bottom"/>
            <w:shd w:val="clear" w:color="auto" w:fill="CCEEFF"/>
          </w:tcPr>
          <w:p>
            <w:pPr>
              <w:spacing w:after="0"/>
              <w:rPr>
                <w:sz w:val="20"/>
                <w:szCs w:val="20"/>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Lease liabilities recognised as at 1 July 2019</w:t>
            </w: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4,239,099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Of which are: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Current lease liabilities</w:t>
            </w:r>
          </w:p>
        </w:tc>
        <w:tc>
          <w:tcPr>
            <w:tcW w:w="680" w:type="dxa"/>
            <w:vAlign w:val="bottom"/>
            <w:gridSpan w:val="2"/>
          </w:tcPr>
          <w:p>
            <w:pPr>
              <w:ind w:left="440"/>
              <w:spacing w:after="0"/>
              <w:rPr>
                <w:sz w:val="20"/>
                <w:szCs w:val="20"/>
                <w:color w:val="auto"/>
              </w:rPr>
            </w:pPr>
            <w:r>
              <w:rPr>
                <w:rFonts w:ascii="Arial" w:cs="Arial" w:eastAsia="Arial" w:hAnsi="Arial"/>
                <w:sz w:val="18"/>
                <w:szCs w:val="18"/>
                <w:color w:val="auto"/>
                <w:w w:val="99"/>
              </w:rPr>
              <w:t>A$</w:t>
            </w:r>
          </w:p>
        </w:tc>
        <w:tc>
          <w:tcPr>
            <w:tcW w:w="720" w:type="dxa"/>
            <w:vAlign w:val="bottom"/>
          </w:tcPr>
          <w:p>
            <w:pPr>
              <w:jc w:val="right"/>
              <w:spacing w:after="0"/>
              <w:rPr>
                <w:sz w:val="20"/>
                <w:szCs w:val="20"/>
                <w:color w:val="auto"/>
              </w:rPr>
            </w:pPr>
            <w:r>
              <w:rPr>
                <w:rFonts w:ascii="Arial" w:cs="Arial" w:eastAsia="Arial" w:hAnsi="Arial"/>
                <w:sz w:val="18"/>
                <w:szCs w:val="18"/>
                <w:color w:val="auto"/>
              </w:rPr>
              <w:t>691,119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lease liabilities</w:t>
            </w: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3,547,980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4,239,099</w:t>
            </w:r>
          </w:p>
        </w:tc>
        <w:tc>
          <w:tcPr>
            <w:tcW w:w="60" w:type="dxa"/>
            <w:vAlign w:val="bottom"/>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IFRIC 23 Uncertainty over Income Tax Treatment</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IASB Interpretation 23 (Interpretation 23) Uncertainty over Income Tax Treatment Interpretation 23 clarified the application of the recognition and measurement criteria in IAS 112 Income Taxes where there is uncertainty over income tax treatments and requires an assessment of each uncertain tax position as to whether it is probable that a taxation authority will accept the position. Where it is not probable, the effect of the uncertainty is reflected in determining the relevant taxable profit or loss, tax bases, unused tax losses and unused tax credits or tax rates. The amount is determined as either the single most likely amount or the sum of the probability weighted amounts in a range of possible outcomes, whichever better predicts the resolution of the uncertainty. Judgements are reassessed as and when new facts and circumstances are presented.</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Interpretation 23 is effective for the Company’s annual financial reporting period beginning on 1 July 2019. The Company’s existing recognition and measurement accounting policies, together with accounting related judgements, were in alignment with those required by Interpretation 23 and hence no transition adjustment to retained earnings was required. The adoption this standard did not have any impact in the disclosure, or the amounts recognized in the company’s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pronouncements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accounting pronouncements which have become effective from 1 July 2019 and have therefore been adopted do not have a significant impact on the Group’s financial results or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97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020"/>
          </w:cols>
          <w:pgMar w:left="440" w:top="270"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Interim Financial Statements have been prepared in accordance with the accounting policies adopted in the Group’s most recent Annual Report for the year ended 30 June 2019, except for the effects of applying IFRS 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described in Note 1b, the Group has applied IFRS 16 using the modified retrospective approach and therefore comparative information has not been restated. This means comparative information is still reported under IAS 17 and IFRIC 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policy applicable from 1 July 2019</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For any new contracts entered into on or after 1 January 2019, the Group considers whether a contract is, or contains a lease. A lease is defined as “a contract, or part of a contract, that conveys the right to use an asset (the underlying asset) for a period of time in exchange for consideration”. To apply this definition the Group assesses whether the contract meets three key evaluations which are whether:</w:t>
      </w:r>
    </w:p>
    <w:p>
      <w:pPr>
        <w:spacing w:after="0" w:line="71" w:lineRule="exact"/>
        <w:rPr>
          <w:sz w:val="20"/>
          <w:szCs w:val="20"/>
          <w:color w:val="auto"/>
        </w:rPr>
      </w:pPr>
    </w:p>
    <w:p>
      <w:pPr>
        <w:ind w:left="440" w:right="220" w:hanging="436"/>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contract contains an identified asset, which is either explicitly identified in the contract or implicitly specified by being identified at the time the asset is made available to the Group</w:t>
      </w:r>
    </w:p>
    <w:p>
      <w:pPr>
        <w:spacing w:after="0" w:line="75" w:lineRule="exact"/>
        <w:rPr>
          <w:rFonts w:ascii="Arial" w:cs="Arial" w:eastAsia="Arial" w:hAnsi="Arial"/>
          <w:sz w:val="18"/>
          <w:szCs w:val="18"/>
          <w:color w:val="auto"/>
        </w:rPr>
      </w:pPr>
    </w:p>
    <w:p>
      <w:pPr>
        <w:ind w:left="440" w:right="840" w:hanging="436"/>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Group has the right to obtain substantially all of the economic benefits from use of the identified asset throughout the period of use, considering its rights within the defined scope of the contract</w:t>
      </w:r>
    </w:p>
    <w:p>
      <w:pPr>
        <w:spacing w:after="0" w:line="75" w:lineRule="exact"/>
        <w:rPr>
          <w:rFonts w:ascii="Arial" w:cs="Arial" w:eastAsia="Arial" w:hAnsi="Arial"/>
          <w:sz w:val="18"/>
          <w:szCs w:val="18"/>
          <w:color w:val="auto"/>
        </w:rPr>
      </w:pPr>
    </w:p>
    <w:p>
      <w:pPr>
        <w:ind w:left="440" w:right="360" w:hanging="436"/>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Group has the right to direct the use of the identified asset throughout the period of use. The Group assess whether it has the right to direct ‘how and for what purpose’ the asset is used throughout the period of use.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recognition of leases as a lessee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lease commencement date, the Group recognises a right-of-use asset and a lease liability on the balance sheet. The right-of-use asset is measured at cost, which is made up of the initial measurement of the lease liability, any initial direct costs incurred by the Group, an estimate of any costs to dismantle and remove the asset at the end of the lease, and any lease payments made in advance of the lease commencement date (net of any incentives received).</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Group depreciates the right-of-use assets on a straight-line basis from the lease commencement date to the earlier of the end of the useful life of the right-of-use asset or the end of the lease term. The Group also assesses the right-of-use asset for impairment when such indicators exist.</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the commencement date, the Group measures the lease liability at the present value of the lease payments unpaid at that date, discounted using the interest rate implicit in the lease if that rate is readily available or the Group’s incremental borrowing rate.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Lease payments included in the measurement of the lease liability are made up of fixed payments (including in substance fixed), variable payments based on an index or rate, amounts expected to be payable under a residual value guarantee and payments arising from options reasonably certain to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6997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020"/>
          </w:cols>
          <w:pgMar w:left="440" w:top="270"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35"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color w:val="auto"/>
        </w:rPr>
        <w:t>Subsequent to initial measurement, the liability will be reduced for payments made and increased for interest. It is remeasured to reflect any reassessment or modification, or if there are changes in in-substance fixed payments. When the lease liability is remeasured, the corresponding adjustment is reflected in the right-of-use asset, or profit and loss if the right-of-use asset is already reduced to zero.</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Group has elected to account for short-term leases and leases of low-value assets using the practical expedients. Instead of recognising a right-of-use asset and lease liability, the payments in relation to these are recognised as an expense in profit or loss on a straight-line basis over the lease term.</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the statement of financial position, right-of-use assets have been included in property, plant and equipment and lease liabilities have been included in trade and other payables.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policy applicable before 1 July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Finance leases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Management applies judgment in considering the substance of a lease agreement and whether it transfers substantially all the risks and rewards incidental to ownership of the leased asset. Key factors considered include the length of the lease term in relation to the economic life of the asset, the present value of the minimum lease payments in relation to the asset’s fair value, and whether the Group obtains ownership of the asset at the end of the lease term.</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leases of land and buildings, the minimum lease payments are first allocated to each component based on the relative fair values of the respective lease interests. Each component is then evaluated separately for possible treatment as a finance lease, taking into consideration the fact that land normally has an indefinite economic life.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See the accounting policy note in the year-end financial statements for the depreciation methods and useful lives for assets held under finance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interest element of lease payments is charged to profit or loss, as finance costs over the period of the lease.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All other leases are treated as operating leases. Where the Group is a lessee, payments on operating lease agreements are recognised as an expense on a straight-line basis over the lease term. Associated costs, such as maintenance and insurance, are expensed as incurred.</w:t>
      </w:r>
    </w:p>
    <w:p>
      <w:pPr>
        <w:spacing w:after="0" w:line="291"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When preparing the Half-year Report, management undertakes a number of judgements, estimates and assumptions about recognition and measurement of assets, liabilities, income and expenses. The actual results may differ from the judgements, estimates and assumptions made by management, and will seldom equal the estimated results.</w:t>
      </w:r>
    </w:p>
    <w:p>
      <w:pPr>
        <w:spacing w:after="0" w:line="18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judgements, estimates and assumptions applied in the Half-Year Report, including the key sources of estimation uncertainty, were the same as those applied in the Group’s Annual Report for the year ended 30 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020"/>
          </w:cols>
          <w:pgMar w:left="440" w:top="270"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440" w:hanging="436"/>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These financial statements have been prepared on the basis of going concern, which contemplates the continuity of normal business activities and the realization of assets and settlement of liabilities in the ordinary course of business. During the half-year ended 31 December 2019, the Group has generated a loss for the period of A$20,980,787 (2018: A$15,579,391) and the Group has used cash in operations of A$13,372,547 (2018: A$10,458,479).</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13 November 2019, the Group completed an institutional placement in which it issued 203,389,831 shares at a price of A$0.059 per share and received gross proceeds of A$120,000,000.</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Group benefits from cash inflows from the U.S. Biomedical Advanced Research and Development Authority (BARDA) contracts, the first of which was awarded to the Group in September 2015. These payments from BARDA offset costs from various activities undertaken to support the FDA regulatory approval process for RECELL in the U.S., preparation for the planned commercial launch of RECELL in the U.S., and RECELL clinical programs in the U.S. With the U.S. FDA approval of RECELL for the treatment of acute thermal burns in September 2018, and the subsequent U.S. market launch of the product in January 2019, sales of goods are expected to be an increasing source of revenue in the future. Another potential source of revenue is the BARDA contract line item covering the initial purchase, delivery and storage of the RECELL System in the amount of US$7,594,620 (approximately A$10,300,000).</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Group expects to be utilizing cash reserves until U.S. and international sales of its products in existing and expansion markets eventually reach the level to fund ongoing operations. The Group has historically funded its research and development activities, and more recently its substantial investment in sales and marketing activities, through raising capital by issuing securities in the Company, and it is expected that similar funding will be obtained to provide working capital if and when required. If the Group is unable to raise capital in the future, the Group may need to curtail expenditures by scaling back certain research and development or other programs.</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a result of the above, the directors are satisfied that there is sufficient working capital to support the committed research and development programs and other activities over the next 12 months and the Group has the ability to realize its assets and pay its liabilities and commitments in the normal course of business. Accordingly, the directors have prepared the half-year report on a going concern basis.</w:t>
      </w:r>
    </w:p>
    <w:p>
      <w:pPr>
        <w:spacing w:after="0" w:line="310" w:lineRule="exact"/>
        <w:rPr>
          <w:sz w:val="20"/>
          <w:szCs w:val="20"/>
          <w:color w:val="auto"/>
        </w:rPr>
      </w:pPr>
    </w:p>
    <w:p>
      <w:pPr>
        <w:ind w:left="440" w:hanging="436"/>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40" w:type="dxa"/>
            <w:vAlign w:val="bottom"/>
            <w:gridSpan w:val="4"/>
          </w:tcPr>
          <w:p>
            <w:pPr>
              <w:ind w:left="6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31 Dec 2019</w:t>
            </w:r>
          </w:p>
        </w:tc>
        <w:tc>
          <w:tcPr>
            <w:tcW w:w="5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31 Dec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Sale of goods – Goods transferred at a point in time</w:t>
            </w:r>
          </w:p>
        </w:tc>
        <w:tc>
          <w:tcPr>
            <w:tcW w:w="2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9,684,214</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1,813,195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9,684,214</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1,813,195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w:t>
            </w:r>
          </w:p>
        </w:tc>
        <w:tc>
          <w:tcPr>
            <w:tcW w:w="10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A$3,549,020</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A$5,009,137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Bank interest income</w:t>
            </w:r>
          </w:p>
        </w:tc>
        <w:tc>
          <w:tcPr>
            <w:tcW w:w="10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296,553</w:t>
            </w:r>
          </w:p>
        </w:tc>
        <w:tc>
          <w:tcPr>
            <w:tcW w:w="5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3,845,573</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$ 5,112,763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40" w:hanging="436"/>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PAID OR PROVIDED FOR ON ORDINARY SHARES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never made a profit and thus no amounts have been paid, declared or recommended by way of dividend since the commencement of operations, including up to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97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020"/>
          </w:cols>
          <w:pgMar w:left="440" w:top="270"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Group’s chief operating decision maker has been identified as the Chief Executive Officer.</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Chief Executive Officer reviews the financial and operating performance of the business primarily from a geographic perspective. On this basis, management have identified three reportable segments being the Asia Pacific, Europe and Americas including Canada. The Chief Executive Officer monitors the performance of all these segments separately. The Group does not operate in any other geographic segment.</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Chief Executive Officer assesses the performance of the operating segments based on a measure of gross margin and net profit before tax. During the six-month period to 31 December 2019, there have been no changes from prior periods in the measurement methods used to determine operating segments and reported segment profit or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items of income and expense and associated assets are not allocated to operating segments as they are not considered part of the core operations of any segment:</w:t>
      </w:r>
    </w:p>
    <w:p>
      <w:pPr>
        <w:spacing w:after="0" w:line="76" w:lineRule="exact"/>
        <w:rPr>
          <w:sz w:val="20"/>
          <w:szCs w:val="20"/>
          <w:color w:val="auto"/>
        </w:rPr>
      </w:pPr>
    </w:p>
    <w:p>
      <w:pPr>
        <w:ind w:left="980" w:hanging="43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revenue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charges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segment information provided to the Chief Executive Officer for the reportable segments for the half-year ended 31 December 2019 is as follows:</w:t>
      </w:r>
    </w:p>
    <w:p>
      <w:pPr>
        <w:spacing w:after="0" w:line="25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w w:val="98"/>
              </w:rPr>
              <w:t>Continuing Operations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rPr>
              <w:t>Asia Pacific</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i w:val="1"/>
                <w:iCs w:val="1"/>
                <w:color w:val="auto"/>
                <w:w w:val="86"/>
              </w:rPr>
              <w:t>Europe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i w:val="1"/>
                <w:iCs w:val="1"/>
                <w:color w:val="auto"/>
                <w:w w:val="95"/>
              </w:rPr>
              <w:t>Americas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Half-year ended 31 December 2019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159,064</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9,274,060</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8"/>
              </w:rPr>
              <w:t>Total revenue per statement of profit or loss and</w:t>
            </w: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251,090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159,064</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9,274,060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9,684,214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BARDA and other income</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3,845,144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Segment net loss before tax</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A</w:t>
            </w:r>
            <w:r>
              <w:rPr>
                <w:rFonts w:ascii="Arial" w:cs="Arial" w:eastAsia="Arial" w:hAnsi="Arial"/>
                <w:sz w:val="18"/>
                <w:szCs w:val="18"/>
                <w:color w:val="auto"/>
                <w:w w:val="8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(573,602</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3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A$</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(142,869</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(12,608,918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A$</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(13,325,389)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Reconciliation of segment net result before tax to</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before income tax</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Corporate charges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(7,655,398)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(20,980,787)</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Segment assets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1,197,532</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234,577</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90"/>
              </w:rPr>
              <w:t>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133,824,008</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135,256,117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Unallocated assets</w:t>
            </w: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824,740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per statement of financial position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136,080,857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Segment liabilities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99,275</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11,835,834</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Unallocated liabilities</w:t>
            </w: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Total liabilities per statement of financial position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12,210,815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6997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020"/>
          </w:cols>
          <w:pgMar w:left="440" w:top="270"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4.</w:t>
            </w:r>
          </w:p>
        </w:tc>
        <w:tc>
          <w:tcPr>
            <w:tcW w:w="434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OPERATING SEGMENTS (CONTINUED)</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Continuing Operations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91"/>
              </w:rPr>
              <w:t>Asia Pacific</w:t>
            </w:r>
          </w:p>
        </w:tc>
        <w:tc>
          <w:tcPr>
            <w:tcW w:w="3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i w:val="1"/>
                <w:iCs w:val="1"/>
                <w:color w:val="auto"/>
                <w:w w:val="91"/>
              </w:rPr>
              <w:t>Europe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w w:val="91"/>
              </w:rPr>
              <w:t>Americas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Half-year ended 31 December 2018</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44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u w:val="single" w:color="auto"/>
                <w:color w:val="auto"/>
                <w:w w:val="95"/>
              </w:rPr>
              <w:t>A</w:t>
            </w:r>
            <w:r>
              <w:rPr>
                <w:rFonts w:ascii="Arial" w:cs="Arial" w:eastAsia="Arial" w:hAnsi="Arial"/>
                <w:sz w:val="18"/>
                <w:szCs w:val="18"/>
                <w:color w:val="auto"/>
                <w:w w:val="95"/>
              </w:rPr>
              <w:t>$ 457,571</w:t>
            </w:r>
          </w:p>
        </w:tc>
        <w:tc>
          <w:tcPr>
            <w:tcW w:w="16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5"/>
              </w:rPr>
              <w:t>A</w:t>
            </w:r>
            <w:r>
              <w:rPr>
                <w:rFonts w:ascii="Arial" w:cs="Arial" w:eastAsia="Arial" w:hAnsi="Arial"/>
                <w:sz w:val="18"/>
                <w:szCs w:val="18"/>
                <w:color w:val="auto"/>
                <w:w w:val="95"/>
              </w:rPr>
              <w:t>$ 253,633</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1,101,991</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340" w:type="dxa"/>
            <w:vAlign w:val="bottom"/>
            <w:gridSpan w:val="2"/>
          </w:tcPr>
          <w:p>
            <w:pPr>
              <w:ind w:left="160"/>
              <w:spacing w:after="0" w:line="205" w:lineRule="exact"/>
              <w:rPr>
                <w:sz w:val="20"/>
                <w:szCs w:val="20"/>
                <w:color w:val="auto"/>
              </w:rPr>
            </w:pPr>
            <w:r>
              <w:rPr>
                <w:rFonts w:ascii="Arial" w:cs="Arial" w:eastAsia="Arial" w:hAnsi="Arial"/>
                <w:sz w:val="18"/>
                <w:szCs w:val="18"/>
                <w:b w:val="1"/>
                <w:bCs w:val="1"/>
                <w:color w:val="auto"/>
              </w:rPr>
              <w:t>Total revenue per statement of profit or loss and</w:t>
            </w:r>
          </w:p>
        </w:tc>
        <w:tc>
          <w:tcPr>
            <w:tcW w:w="3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b w:val="1"/>
                <w:bCs w:val="1"/>
                <w:color w:val="auto"/>
              </w:rPr>
              <w:t>other comprehensive income</w:t>
            </w:r>
          </w:p>
        </w:tc>
        <w:tc>
          <w:tcPr>
            <w:tcW w:w="3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457,571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253,633</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1,101,991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BARDA and other income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5,102,942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Segment net loss before tax</w:t>
            </w: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(626,901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(593,225</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(11,948,943</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A$</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(13,169,069)</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Reconciliation of segment net result before tax to</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before income tax</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Corporate charges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(2,410,322)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(15,579,391)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Segment assets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44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u w:val="single" w:color="auto"/>
                <w:color w:val="auto"/>
                <w:w w:val="95"/>
              </w:rPr>
              <w:t>A</w:t>
            </w:r>
            <w:r>
              <w:rPr>
                <w:rFonts w:ascii="Arial" w:cs="Arial" w:eastAsia="Arial" w:hAnsi="Arial"/>
                <w:sz w:val="18"/>
                <w:szCs w:val="18"/>
                <w:color w:val="auto"/>
                <w:w w:val="95"/>
              </w:rPr>
              <w:t>$ 568,571</w:t>
            </w:r>
          </w:p>
        </w:tc>
        <w:tc>
          <w:tcPr>
            <w:tcW w:w="16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5"/>
              </w:rPr>
              <w:t>A</w:t>
            </w:r>
            <w:r>
              <w:rPr>
                <w:rFonts w:ascii="Arial" w:cs="Arial" w:eastAsia="Arial" w:hAnsi="Arial"/>
                <w:sz w:val="18"/>
                <w:szCs w:val="18"/>
                <w:color w:val="auto"/>
                <w:w w:val="95"/>
              </w:rPr>
              <w:t>$ 401,546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31,802,314</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32,772,431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Unallocated assets</w:t>
            </w:r>
          </w:p>
        </w:tc>
        <w:tc>
          <w:tcPr>
            <w:tcW w:w="3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3,574,951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per statement of financial position</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36,347,382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Segment liabilities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144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u w:val="single" w:color="auto"/>
                <w:color w:val="auto"/>
                <w:w w:val="95"/>
              </w:rPr>
              <w:t>A</w:t>
            </w:r>
            <w:r>
              <w:rPr>
                <w:rFonts w:ascii="Arial" w:cs="Arial" w:eastAsia="Arial" w:hAnsi="Arial"/>
                <w:sz w:val="18"/>
                <w:szCs w:val="18"/>
                <w:color w:val="auto"/>
                <w:w w:val="95"/>
              </w:rPr>
              <w:t>$ 169,516</w:t>
            </w:r>
          </w:p>
        </w:tc>
        <w:tc>
          <w:tcPr>
            <w:tcW w:w="16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5"/>
              </w:rPr>
              <w:t>A</w:t>
            </w:r>
            <w:r>
              <w:rPr>
                <w:rFonts w:ascii="Arial" w:cs="Arial" w:eastAsia="Arial" w:hAnsi="Arial"/>
                <w:sz w:val="18"/>
                <w:szCs w:val="18"/>
                <w:color w:val="auto"/>
                <w:w w:val="95"/>
              </w:rPr>
              <w:t>$ 151,248</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4,591,266</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Unallocated liabilities</w:t>
            </w:r>
          </w:p>
        </w:tc>
        <w:tc>
          <w:tcPr>
            <w:tcW w:w="3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Total liabilities per statement of financial position</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5,100,098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difference between the basis of segmentation and the measurement of segment result compared to the 30 June 2019 annual report.</w:t>
      </w:r>
    </w:p>
    <w:p>
      <w:pPr>
        <w:spacing w:after="0" w:line="393" w:lineRule="exact"/>
        <w:rPr>
          <w:sz w:val="20"/>
          <w:szCs w:val="20"/>
          <w:color w:val="auto"/>
        </w:rPr>
      </w:pPr>
    </w:p>
    <w:p>
      <w:pPr>
        <w:ind w:left="440" w:hanging="436"/>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changes to the commitments and contingencies disclosed in the most recent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6997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020"/>
          </w:cols>
          <w:pgMar w:left="440" w:top="270"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movements in plant and equipment: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Buildings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IT equipment</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and software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equipment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carrying amount</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Balance at 1 July 2019</w:t>
            </w:r>
          </w:p>
        </w:tc>
        <w:tc>
          <w:tcPr>
            <w:tcW w:w="960" w:type="dxa"/>
            <w:vAlign w:val="bottom"/>
            <w:gridSpan w:val="2"/>
          </w:tcPr>
          <w:p>
            <w:pPr>
              <w:ind w:left="720"/>
              <w:spacing w:after="0"/>
              <w:rPr>
                <w:sz w:val="20"/>
                <w:szCs w:val="20"/>
                <w:color w:val="auto"/>
              </w:rPr>
            </w:pPr>
            <w:r>
              <w:rPr>
                <w:rFonts w:ascii="Arial" w:cs="Arial" w:eastAsia="Arial" w:hAnsi="Arial"/>
                <w:sz w:val="18"/>
                <w:szCs w:val="18"/>
                <w:color w:val="auto"/>
                <w:w w:val="99"/>
              </w:rPr>
              <w:t>A$</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220,835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ind w:left="100"/>
              <w:spacing w:after="0"/>
              <w:rPr>
                <w:sz w:val="20"/>
                <w:szCs w:val="20"/>
                <w:color w:val="auto"/>
              </w:rPr>
            </w:pPr>
            <w:r>
              <w:rPr>
                <w:rFonts w:ascii="Arial" w:cs="Arial" w:eastAsia="Arial" w:hAnsi="Arial"/>
                <w:sz w:val="18"/>
                <w:szCs w:val="18"/>
                <w:color w:val="auto"/>
              </w:rPr>
              <w:t>A$ 958,363</w:t>
            </w:r>
          </w:p>
        </w:tc>
        <w:tc>
          <w:tcPr>
            <w:tcW w:w="220" w:type="dxa"/>
            <w:vAlign w:val="bottom"/>
          </w:tcPr>
          <w:p>
            <w:pPr>
              <w:spacing w:after="0"/>
              <w:rPr>
                <w:sz w:val="18"/>
                <w:szCs w:val="18"/>
                <w:color w:val="auto"/>
              </w:rPr>
            </w:pPr>
          </w:p>
        </w:tc>
        <w:tc>
          <w:tcPr>
            <w:tcW w:w="1300" w:type="dxa"/>
            <w:vAlign w:val="bottom"/>
            <w:gridSpan w:val="7"/>
          </w:tcPr>
          <w:p>
            <w:pPr>
              <w:ind w:left="20"/>
              <w:spacing w:after="0"/>
              <w:rPr>
                <w:sz w:val="20"/>
                <w:szCs w:val="20"/>
                <w:color w:val="auto"/>
              </w:rPr>
            </w:pPr>
            <w:r>
              <w:rPr>
                <w:rFonts w:ascii="Arial" w:cs="Arial" w:eastAsia="Arial" w:hAnsi="Arial"/>
                <w:sz w:val="18"/>
                <w:szCs w:val="18"/>
                <w:color w:val="auto"/>
              </w:rPr>
              <w:t>A$1,608,563</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A$ 2,787,761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on transition to IFRS 16</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5,207,064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5,207,064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270,059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exchange difference</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(88,655)</w:t>
            </w: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(16,262)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(97,560)</w:t>
            </w:r>
          </w:p>
        </w:tc>
        <w:tc>
          <w:tcPr>
            <w:tcW w:w="0" w:type="dxa"/>
            <w:vAlign w:val="bottom"/>
          </w:tcPr>
          <w:p>
            <w:pPr>
              <w:spacing w:after="0"/>
              <w:rPr>
                <w:sz w:val="1"/>
                <w:szCs w:val="1"/>
                <w:color w:val="auto"/>
              </w:rPr>
            </w:pPr>
          </w:p>
        </w:tc>
      </w:tr>
      <w:tr>
        <w:trPr>
          <w:trHeight w:val="230"/>
        </w:trPr>
        <w:tc>
          <w:tcPr>
            <w:tcW w:w="4340" w:type="dxa"/>
            <w:vAlign w:val="bottom"/>
            <w:gridSpan w:val="3"/>
          </w:tcPr>
          <w:p>
            <w:pPr>
              <w:ind w:left="440"/>
              <w:spacing w:after="0"/>
              <w:rPr>
                <w:sz w:val="20"/>
                <w:szCs w:val="20"/>
                <w:color w:val="auto"/>
              </w:rPr>
            </w:pPr>
            <w:r>
              <w:rPr>
                <w:rFonts w:ascii="Arial" w:cs="Arial" w:eastAsia="Arial" w:hAnsi="Arial"/>
                <w:sz w:val="18"/>
                <w:szCs w:val="18"/>
                <w:b w:val="1"/>
                <w:bCs w:val="1"/>
                <w:color w:val="auto"/>
              </w:rPr>
              <w:t>Balance at 31 December 2019</w:t>
            </w:r>
          </w:p>
        </w:tc>
        <w:tc>
          <w:tcPr>
            <w:tcW w:w="740" w:type="dxa"/>
            <w:vAlign w:val="bottom"/>
          </w:tcPr>
          <w:p>
            <w:pPr>
              <w:spacing w:after="0"/>
              <w:rPr>
                <w:sz w:val="20"/>
                <w:szCs w:val="20"/>
                <w:color w:val="auto"/>
              </w:rPr>
            </w:pPr>
          </w:p>
        </w:tc>
        <w:tc>
          <w:tcPr>
            <w:tcW w:w="10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$ 5,339,244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$ 942,101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u w:val="single" w:color="auto"/>
                <w:color w:val="auto"/>
                <w:w w:val="85"/>
              </w:rPr>
              <w:t>A$</w:t>
            </w:r>
            <w:r>
              <w:rPr>
                <w:rFonts w:ascii="Arial" w:cs="Arial" w:eastAsia="Arial" w:hAnsi="Arial"/>
                <w:sz w:val="18"/>
                <w:szCs w:val="18"/>
                <w:b w:val="1"/>
                <w:bCs w:val="1"/>
                <w:color w:val="auto"/>
                <w:w w:val="85"/>
              </w:rPr>
              <w:t>1,885,979</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$ 8,167,324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Balance at 1 July 2019</w:t>
            </w:r>
          </w:p>
        </w:tc>
        <w:tc>
          <w:tcPr>
            <w:tcW w:w="960" w:type="dxa"/>
            <w:vAlign w:val="bottom"/>
            <w:gridSpan w:val="2"/>
          </w:tcPr>
          <w:p>
            <w:pPr>
              <w:ind w:left="720"/>
              <w:spacing w:after="0"/>
              <w:rPr>
                <w:sz w:val="20"/>
                <w:szCs w:val="20"/>
                <w:color w:val="auto"/>
              </w:rPr>
            </w:pPr>
            <w:r>
              <w:rPr>
                <w:rFonts w:ascii="Arial" w:cs="Arial" w:eastAsia="Arial" w:hAnsi="Arial"/>
                <w:sz w:val="18"/>
                <w:szCs w:val="18"/>
                <w:color w:val="auto"/>
                <w:w w:val="99"/>
              </w:rPr>
              <w:t>A$</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(89,241)</w:t>
            </w:r>
          </w:p>
        </w:tc>
        <w:tc>
          <w:tcPr>
            <w:tcW w:w="180" w:type="dxa"/>
            <w:vAlign w:val="bottom"/>
          </w:tcPr>
          <w:p>
            <w:pPr>
              <w:spacing w:after="0"/>
              <w:rPr>
                <w:sz w:val="18"/>
                <w:szCs w:val="18"/>
                <w:color w:val="auto"/>
              </w:rPr>
            </w:pPr>
          </w:p>
        </w:tc>
        <w:tc>
          <w:tcPr>
            <w:tcW w:w="1240" w:type="dxa"/>
            <w:vAlign w:val="bottom"/>
            <w:gridSpan w:val="4"/>
          </w:tcPr>
          <w:p>
            <w:pPr>
              <w:ind w:left="100"/>
              <w:spacing w:after="0"/>
              <w:rPr>
                <w:sz w:val="20"/>
                <w:szCs w:val="20"/>
                <w:color w:val="auto"/>
              </w:rPr>
            </w:pPr>
            <w:r>
              <w:rPr>
                <w:rFonts w:ascii="Arial" w:cs="Arial" w:eastAsia="Arial" w:hAnsi="Arial"/>
                <w:sz w:val="18"/>
                <w:szCs w:val="18"/>
                <w:color w:val="auto"/>
              </w:rPr>
              <w:t>A$(405,059)</w:t>
            </w:r>
          </w:p>
        </w:tc>
        <w:tc>
          <w:tcPr>
            <w:tcW w:w="22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A$</w:t>
            </w:r>
          </w:p>
        </w:tc>
        <w:tc>
          <w:tcPr>
            <w:tcW w:w="980" w:type="dxa"/>
            <w:vAlign w:val="bottom"/>
            <w:gridSpan w:val="4"/>
          </w:tcPr>
          <w:p>
            <w:pPr>
              <w:jc w:val="right"/>
              <w:ind w:right="115"/>
              <w:spacing w:after="0"/>
              <w:rPr>
                <w:sz w:val="20"/>
                <w:szCs w:val="20"/>
                <w:color w:val="auto"/>
              </w:rPr>
            </w:pPr>
            <w:r>
              <w:rPr>
                <w:rFonts w:ascii="Arial" w:cs="Arial" w:eastAsia="Arial" w:hAnsi="Arial"/>
                <w:sz w:val="18"/>
                <w:szCs w:val="18"/>
                <w:color w:val="auto"/>
                <w:w w:val="98"/>
              </w:rPr>
              <w:t>(454,946)</w:t>
            </w:r>
          </w:p>
        </w:tc>
        <w:tc>
          <w:tcPr>
            <w:tcW w:w="6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(949,246)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on transition to IFRS 16</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(1,757,453)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(1,757,453)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Net exchange difference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92,263</w:t>
            </w:r>
          </w:p>
        </w:tc>
        <w:tc>
          <w:tcPr>
            <w:tcW w:w="240" w:type="dxa"/>
            <w:vAlign w:val="bottom"/>
          </w:tcPr>
          <w:p>
            <w:pPr>
              <w:spacing w:after="0"/>
              <w:rPr>
                <w:sz w:val="18"/>
                <w:szCs w:val="18"/>
                <w:color w:val="auto"/>
              </w:rPr>
            </w:pPr>
          </w:p>
        </w:tc>
        <w:tc>
          <w:tcPr>
            <w:tcW w:w="1160" w:type="dxa"/>
            <w:vAlign w:val="bottom"/>
            <w:gridSpan w:val="4"/>
          </w:tcPr>
          <w:p>
            <w:pPr>
              <w:ind w:left="880"/>
              <w:spacing w:after="0"/>
              <w:rPr>
                <w:sz w:val="20"/>
                <w:szCs w:val="20"/>
                <w:color w:val="auto"/>
              </w:rPr>
            </w:pPr>
            <w:r>
              <w:rPr>
                <w:rFonts w:ascii="Arial" w:cs="Arial" w:eastAsia="Arial" w:hAnsi="Arial"/>
                <w:sz w:val="18"/>
                <w:szCs w:val="18"/>
                <w:color w:val="auto"/>
                <w:w w:val="86"/>
              </w:rPr>
              <w:t>635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1,238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charge for the half-year</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(36,916)</w:t>
            </w: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(92,030)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15"/>
              <w:spacing w:after="0"/>
              <w:rPr>
                <w:sz w:val="20"/>
                <w:szCs w:val="20"/>
                <w:color w:val="auto"/>
              </w:rPr>
            </w:pPr>
            <w:r>
              <w:rPr>
                <w:rFonts w:ascii="Arial" w:cs="Arial" w:eastAsia="Arial" w:hAnsi="Arial"/>
                <w:sz w:val="18"/>
                <w:szCs w:val="18"/>
                <w:color w:val="auto"/>
              </w:rPr>
              <w:t>(96,042)</w:t>
            </w: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(224,988)</w:t>
            </w:r>
          </w:p>
        </w:tc>
        <w:tc>
          <w:tcPr>
            <w:tcW w:w="0" w:type="dxa"/>
            <w:vAlign w:val="bottom"/>
          </w:tcPr>
          <w:p>
            <w:pPr>
              <w:spacing w:after="0"/>
              <w:rPr>
                <w:sz w:val="1"/>
                <w:szCs w:val="1"/>
                <w:color w:val="auto"/>
              </w:rPr>
            </w:pPr>
          </w:p>
        </w:tc>
      </w:tr>
      <w:tr>
        <w:trPr>
          <w:trHeight w:val="230"/>
        </w:trPr>
        <w:tc>
          <w:tcPr>
            <w:tcW w:w="4340" w:type="dxa"/>
            <w:vAlign w:val="bottom"/>
            <w:gridSpan w:val="3"/>
          </w:tcPr>
          <w:p>
            <w:pPr>
              <w:ind w:left="440"/>
              <w:spacing w:after="0"/>
              <w:rPr>
                <w:sz w:val="20"/>
                <w:szCs w:val="20"/>
                <w:color w:val="auto"/>
              </w:rPr>
            </w:pPr>
            <w:r>
              <w:rPr>
                <w:rFonts w:ascii="Arial" w:cs="Arial" w:eastAsia="Arial" w:hAnsi="Arial"/>
                <w:sz w:val="18"/>
                <w:szCs w:val="18"/>
                <w:b w:val="1"/>
                <w:bCs w:val="1"/>
                <w:color w:val="auto"/>
              </w:rPr>
              <w:t>Balance at 31 December 2019</w:t>
            </w:r>
          </w:p>
        </w:tc>
        <w:tc>
          <w:tcPr>
            <w:tcW w:w="740" w:type="dxa"/>
            <w:vAlign w:val="bottom"/>
          </w:tcPr>
          <w:p>
            <w:pPr>
              <w:spacing w:after="0"/>
              <w:rPr>
                <w:sz w:val="20"/>
                <w:szCs w:val="20"/>
                <w:color w:val="auto"/>
              </w:rPr>
            </w:pPr>
          </w:p>
        </w:tc>
        <w:tc>
          <w:tcPr>
            <w:tcW w:w="10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(1,791,347</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(496,454</w:t>
            </w:r>
          </w:p>
        </w:tc>
        <w:tc>
          <w:tcPr>
            <w:tcW w:w="260" w:type="dxa"/>
            <w:vAlign w:val="bottom"/>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(549,750</w:t>
            </w:r>
          </w:p>
        </w:tc>
        <w:tc>
          <w:tcPr>
            <w:tcW w:w="280" w:type="dxa"/>
            <w:vAlign w:val="bottom"/>
          </w:tcPr>
          <w:p>
            <w:pPr>
              <w:jc w:val="right"/>
              <w:ind w:right="115"/>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(2,837,551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 at 31 December 2019</w:t>
            </w:r>
          </w:p>
        </w:tc>
        <w:tc>
          <w:tcPr>
            <w:tcW w:w="1980" w:type="dxa"/>
            <w:vAlign w:val="bottom"/>
            <w:gridSpan w:val="5"/>
            <w:shd w:val="clear" w:color="auto" w:fill="CCEEFF"/>
          </w:tcPr>
          <w:p>
            <w:pPr>
              <w:ind w:left="7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$ 3,547,897</w:t>
            </w:r>
          </w:p>
        </w:tc>
        <w:tc>
          <w:tcPr>
            <w:tcW w:w="1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ind w:left="10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$ 445,647</w:t>
            </w:r>
          </w:p>
        </w:tc>
        <w:tc>
          <w:tcPr>
            <w:tcW w:w="22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1,336,229</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$ 5,329,773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Buildings</w:t>
            </w:r>
          </w:p>
        </w:tc>
        <w:tc>
          <w:tcPr>
            <w:tcW w:w="24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IT equipment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rPr>
              <w:t>and software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6"/>
          </w:tcPr>
          <w:p>
            <w:pPr>
              <w:ind w:left="120"/>
              <w:spacing w:after="0"/>
              <w:rPr>
                <w:sz w:val="20"/>
                <w:szCs w:val="20"/>
                <w:color w:val="auto"/>
              </w:rPr>
            </w:pPr>
            <w:r>
              <w:rPr>
                <w:rFonts w:ascii="Arial" w:cs="Arial" w:eastAsia="Arial" w:hAnsi="Arial"/>
                <w:sz w:val="14"/>
                <w:szCs w:val="14"/>
                <w:b w:val="1"/>
                <w:bCs w:val="1"/>
                <w:color w:val="auto"/>
              </w:rPr>
              <w:t>equipment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carrying amount</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Balance at 1 July 2018</w:t>
            </w:r>
          </w:p>
        </w:tc>
        <w:tc>
          <w:tcPr>
            <w:tcW w:w="1980" w:type="dxa"/>
            <w:vAlign w:val="bottom"/>
            <w:gridSpan w:val="5"/>
          </w:tcPr>
          <w:p>
            <w:pPr>
              <w:ind w:left="720"/>
              <w:spacing w:after="0"/>
              <w:rPr>
                <w:sz w:val="20"/>
                <w:szCs w:val="20"/>
                <w:color w:val="auto"/>
              </w:rPr>
            </w:pPr>
            <w:r>
              <w:rPr>
                <w:rFonts w:ascii="Arial" w:cs="Arial" w:eastAsia="Arial" w:hAnsi="Arial"/>
                <w:sz w:val="18"/>
                <w:szCs w:val="18"/>
                <w:color w:val="auto"/>
              </w:rPr>
              <w:t>A$143,436</w:t>
            </w:r>
          </w:p>
        </w:tc>
        <w:tc>
          <w:tcPr>
            <w:tcW w:w="1420" w:type="dxa"/>
            <w:vAlign w:val="bottom"/>
            <w:gridSpan w:val="5"/>
          </w:tcPr>
          <w:p>
            <w:pPr>
              <w:ind w:left="160"/>
              <w:spacing w:after="0"/>
              <w:rPr>
                <w:sz w:val="20"/>
                <w:szCs w:val="20"/>
                <w:color w:val="auto"/>
              </w:rPr>
            </w:pPr>
            <w:r>
              <w:rPr>
                <w:rFonts w:ascii="Arial" w:cs="Arial" w:eastAsia="Arial" w:hAnsi="Arial"/>
                <w:sz w:val="18"/>
                <w:szCs w:val="18"/>
                <w:color w:val="auto"/>
              </w:rPr>
              <w:t>A$ 635,228</w:t>
            </w:r>
          </w:p>
        </w:tc>
        <w:tc>
          <w:tcPr>
            <w:tcW w:w="480" w:type="dxa"/>
            <w:vAlign w:val="bottom"/>
            <w:gridSpan w:val="3"/>
          </w:tcPr>
          <w:p>
            <w:pPr>
              <w:ind w:left="220"/>
              <w:spacing w:after="0"/>
              <w:rPr>
                <w:sz w:val="20"/>
                <w:szCs w:val="20"/>
                <w:color w:val="auto"/>
              </w:rPr>
            </w:pPr>
            <w:r>
              <w:rPr>
                <w:rFonts w:ascii="Arial" w:cs="Arial" w:eastAsia="Arial" w:hAnsi="Arial"/>
                <w:sz w:val="18"/>
                <w:szCs w:val="18"/>
                <w:color w:val="auto"/>
              </w:rPr>
              <w:t>A$</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669,478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A$1,448,142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238,270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837,983</w:t>
            </w:r>
          </w:p>
        </w:tc>
        <w:tc>
          <w:tcPr>
            <w:tcW w:w="2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1,126,122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Net exchange difference</w:t>
            </w: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84,865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101,102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30 June 2019</w:t>
            </w:r>
          </w:p>
        </w:tc>
        <w:tc>
          <w:tcPr>
            <w:tcW w:w="1980" w:type="dxa"/>
            <w:vAlign w:val="bottom"/>
            <w:gridSpan w:val="5"/>
            <w:shd w:val="clear" w:color="auto" w:fill="CCEEFF"/>
          </w:tcPr>
          <w:p>
            <w:pPr>
              <w:ind w:left="7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220,835</w:t>
            </w:r>
          </w:p>
        </w:tc>
        <w:tc>
          <w:tcPr>
            <w:tcW w:w="142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$ 958,363</w:t>
            </w:r>
          </w:p>
        </w:tc>
        <w:tc>
          <w:tcPr>
            <w:tcW w:w="1520" w:type="dxa"/>
            <w:vAlign w:val="bottom"/>
            <w:gridSpan w:val="8"/>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1,608,563</w:t>
            </w:r>
          </w:p>
        </w:tc>
        <w:tc>
          <w:tcPr>
            <w:tcW w:w="26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2,787,761</w:t>
            </w:r>
          </w:p>
        </w:tc>
        <w:tc>
          <w:tcPr>
            <w:tcW w:w="0" w:type="dxa"/>
            <w:vAlign w:val="bottom"/>
          </w:tcPr>
          <w:p>
            <w:pPr>
              <w:spacing w:after="0"/>
              <w:rPr>
                <w:sz w:val="1"/>
                <w:szCs w:val="1"/>
                <w:color w:val="auto"/>
              </w:rPr>
            </w:pPr>
          </w:p>
        </w:tc>
      </w:tr>
      <w:tr>
        <w:trPr>
          <w:trHeight w:val="223"/>
        </w:trPr>
        <w:tc>
          <w:tcPr>
            <w:tcW w:w="4340" w:type="dxa"/>
            <w:vAlign w:val="bottom"/>
            <w:gridSpan w:val="3"/>
          </w:tcPr>
          <w:p>
            <w:pPr>
              <w:ind w:left="440"/>
              <w:spacing w:after="0"/>
              <w:rPr>
                <w:sz w:val="20"/>
                <w:szCs w:val="20"/>
                <w:color w:val="auto"/>
              </w:rPr>
            </w:pPr>
            <w:r>
              <w:rPr>
                <w:rFonts w:ascii="Arial" w:cs="Arial" w:eastAsia="Arial" w:hAnsi="Arial"/>
                <w:sz w:val="18"/>
                <w:szCs w:val="18"/>
                <w:b w:val="1"/>
                <w:bCs w:val="1"/>
                <w:color w:val="auto"/>
              </w:rPr>
              <w:t>Depreciation</w:t>
            </w:r>
          </w:p>
        </w:tc>
        <w:tc>
          <w:tcPr>
            <w:tcW w:w="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1 July 2018</w:t>
            </w:r>
          </w:p>
        </w:tc>
        <w:tc>
          <w:tcPr>
            <w:tcW w:w="198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A$ (46,580)</w:t>
            </w:r>
          </w:p>
        </w:tc>
        <w:tc>
          <w:tcPr>
            <w:tcW w:w="14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A$(287,990)</w:t>
            </w:r>
          </w:p>
        </w:tc>
        <w:tc>
          <w:tcPr>
            <w:tcW w:w="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980" w:type="dxa"/>
            <w:vAlign w:val="bottom"/>
            <w:gridSpan w:val="4"/>
            <w:shd w:val="clear" w:color="auto" w:fill="CCEEFF"/>
          </w:tcPr>
          <w:p>
            <w:pPr>
              <w:jc w:val="right"/>
              <w:ind w:right="135"/>
              <w:spacing w:after="0"/>
              <w:rPr>
                <w:sz w:val="20"/>
                <w:szCs w:val="20"/>
                <w:color w:val="auto"/>
              </w:rPr>
            </w:pPr>
            <w:r>
              <w:rPr>
                <w:rFonts w:ascii="Arial" w:cs="Arial" w:eastAsia="Arial" w:hAnsi="Arial"/>
                <w:sz w:val="18"/>
                <w:szCs w:val="18"/>
                <w:color w:val="auto"/>
                <w:w w:val="95"/>
              </w:rPr>
              <w:t>(370,990)</w:t>
            </w: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(705,560)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Net exchange difference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(11,411)</w:t>
            </w:r>
          </w:p>
        </w:tc>
        <w:tc>
          <w:tcPr>
            <w:tcW w:w="24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(46,937)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4"/>
          </w:tcPr>
          <w:p>
            <w:pPr>
              <w:jc w:val="right"/>
              <w:ind w:right="135"/>
              <w:spacing w:after="0"/>
              <w:rPr>
                <w:sz w:val="20"/>
                <w:szCs w:val="20"/>
                <w:color w:val="auto"/>
              </w:rPr>
            </w:pPr>
            <w:r>
              <w:rPr>
                <w:rFonts w:ascii="Arial" w:cs="Arial" w:eastAsia="Arial" w:hAnsi="Arial"/>
                <w:sz w:val="18"/>
                <w:szCs w:val="18"/>
                <w:color w:val="auto"/>
              </w:rPr>
              <w:t>(62,404)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(120,752)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charge for the fiscal year</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(31,250)</w:t>
            </w: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(70,132)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35"/>
              <w:spacing w:after="0"/>
              <w:rPr>
                <w:sz w:val="20"/>
                <w:szCs w:val="20"/>
                <w:color w:val="auto"/>
              </w:rPr>
            </w:pPr>
            <w:r>
              <w:rPr>
                <w:rFonts w:ascii="Arial" w:cs="Arial" w:eastAsia="Arial" w:hAnsi="Arial"/>
                <w:sz w:val="18"/>
                <w:szCs w:val="18"/>
                <w:color w:val="auto"/>
              </w:rPr>
              <w:t>(21,552)</w:t>
            </w: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(122,934)</w:t>
            </w:r>
          </w:p>
        </w:tc>
        <w:tc>
          <w:tcPr>
            <w:tcW w:w="0" w:type="dxa"/>
            <w:vAlign w:val="bottom"/>
          </w:tcPr>
          <w:p>
            <w:pPr>
              <w:spacing w:after="0"/>
              <w:rPr>
                <w:sz w:val="1"/>
                <w:szCs w:val="1"/>
                <w:color w:val="auto"/>
              </w:rPr>
            </w:pPr>
          </w:p>
        </w:tc>
      </w:tr>
      <w:tr>
        <w:trPr>
          <w:trHeight w:val="230"/>
        </w:trPr>
        <w:tc>
          <w:tcPr>
            <w:tcW w:w="4340" w:type="dxa"/>
            <w:vAlign w:val="bottom"/>
            <w:gridSpan w:val="3"/>
          </w:tcPr>
          <w:p>
            <w:pPr>
              <w:ind w:left="440"/>
              <w:spacing w:after="0"/>
              <w:rPr>
                <w:sz w:val="20"/>
                <w:szCs w:val="20"/>
                <w:color w:val="auto"/>
              </w:rPr>
            </w:pPr>
            <w:r>
              <w:rPr>
                <w:rFonts w:ascii="Arial" w:cs="Arial" w:eastAsia="Arial" w:hAnsi="Arial"/>
                <w:sz w:val="18"/>
                <w:szCs w:val="18"/>
                <w:b w:val="1"/>
                <w:bCs w:val="1"/>
                <w:color w:val="auto"/>
              </w:rPr>
              <w:t>Balance at 30 June 2019</w:t>
            </w:r>
          </w:p>
        </w:tc>
        <w:tc>
          <w:tcPr>
            <w:tcW w:w="74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 (89,241</w:t>
            </w:r>
          </w:p>
        </w:tc>
        <w:tc>
          <w:tcPr>
            <w:tcW w:w="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(405,059</w:t>
            </w:r>
          </w:p>
        </w:tc>
        <w:tc>
          <w:tcPr>
            <w:tcW w:w="360" w:type="dxa"/>
            <w:vAlign w:val="bottom"/>
            <w:gridSpan w:val="2"/>
          </w:tcPr>
          <w:p>
            <w:pPr>
              <w:jc w:val="right"/>
              <w:ind w:right="24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(454,946</w:t>
            </w:r>
          </w:p>
        </w:tc>
        <w:tc>
          <w:tcPr>
            <w:tcW w:w="280" w:type="dxa"/>
            <w:vAlign w:val="bottom"/>
          </w:tcPr>
          <w:p>
            <w:pPr>
              <w:jc w:val="right"/>
              <w:ind w:right="135"/>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(949,246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 at 30 June 2019</w:t>
            </w:r>
          </w:p>
        </w:tc>
        <w:tc>
          <w:tcPr>
            <w:tcW w:w="1980" w:type="dxa"/>
            <w:vAlign w:val="bottom"/>
            <w:gridSpan w:val="5"/>
            <w:shd w:val="clear" w:color="auto" w:fill="CCEEFF"/>
          </w:tcPr>
          <w:p>
            <w:pPr>
              <w:ind w:left="7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131,594</w:t>
            </w:r>
          </w:p>
        </w:tc>
        <w:tc>
          <w:tcPr>
            <w:tcW w:w="142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$ 553,304</w:t>
            </w:r>
          </w:p>
        </w:tc>
        <w:tc>
          <w:tcPr>
            <w:tcW w:w="1520" w:type="dxa"/>
            <w:vAlign w:val="bottom"/>
            <w:gridSpan w:val="8"/>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1,153,617</w:t>
            </w:r>
          </w:p>
        </w:tc>
        <w:tc>
          <w:tcPr>
            <w:tcW w:w="26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1,838,515</w:t>
            </w:r>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60" w:type="dxa"/>
            <w:vAlign w:val="bottom"/>
            <w:gridSpan w:val="21"/>
          </w:tcPr>
          <w:p>
            <w:pPr>
              <w:spacing w:after="0"/>
              <w:rPr>
                <w:sz w:val="20"/>
                <w:szCs w:val="20"/>
                <w:color w:val="auto"/>
              </w:rPr>
            </w:pPr>
            <w:r>
              <w:rPr>
                <w:rFonts w:ascii="Arial" w:cs="Arial" w:eastAsia="Arial" w:hAnsi="Arial"/>
                <w:sz w:val="18"/>
                <w:szCs w:val="18"/>
                <w:color w:val="auto"/>
              </w:rPr>
              <w:t>Included in the net carrying amount of plant and equipment are right-of-use assets at 31 December 2019 as follows: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320" w:type="dxa"/>
            <w:vAlign w:val="bottom"/>
            <w:vMerge w:val="restart"/>
          </w:tcPr>
          <w:p>
            <w:pPr>
              <w:spacing w:after="0"/>
              <w:rPr>
                <w:sz w:val="21"/>
                <w:szCs w:val="21"/>
                <w:color w:val="auto"/>
              </w:rPr>
            </w:pPr>
          </w:p>
        </w:tc>
        <w:tc>
          <w:tcPr>
            <w:tcW w:w="2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spacing w:after="0"/>
              <w:rPr>
                <w:sz w:val="20"/>
                <w:szCs w:val="20"/>
                <w:color w:val="auto"/>
              </w:rPr>
            </w:pPr>
            <w:r>
              <w:rPr>
                <w:rFonts w:ascii="Arial" w:cs="Arial" w:eastAsia="Arial" w:hAnsi="Arial"/>
                <w:sz w:val="18"/>
                <w:szCs w:val="18"/>
                <w:u w:val="single" w:color="auto"/>
                <w:color w:val="auto"/>
                <w:w w:val="95"/>
              </w:rPr>
              <w:t>A$</w:t>
            </w:r>
            <w:r>
              <w:rPr>
                <w:rFonts w:ascii="Arial" w:cs="Arial" w:eastAsia="Arial" w:hAnsi="Arial"/>
                <w:sz w:val="18"/>
                <w:szCs w:val="18"/>
                <w:color w:val="auto"/>
                <w:w w:val="95"/>
              </w:rPr>
              <w:t>3,449,611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880" w:type="dxa"/>
            <w:vAlign w:val="bottom"/>
            <w:gridSpan w:val="2"/>
          </w:tcPr>
          <w:p>
            <w:pPr>
              <w:ind w:left="1320"/>
              <w:spacing w:after="0"/>
              <w:rPr>
                <w:sz w:val="20"/>
                <w:szCs w:val="20"/>
                <w:color w:val="auto"/>
              </w:rPr>
            </w:pPr>
            <w:r>
              <w:rPr>
                <w:rFonts w:ascii="Arial" w:cs="Arial" w:eastAsia="Arial" w:hAnsi="Arial"/>
                <w:sz w:val="18"/>
                <w:szCs w:val="18"/>
                <w:b w:val="1"/>
                <w:bCs w:val="1"/>
                <w:color w:val="auto"/>
              </w:rPr>
              <w:t>Total right-of-use assets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87"/>
              </w:rPr>
              <w:t>A$</w:t>
            </w:r>
            <w:r>
              <w:rPr>
                <w:rFonts w:ascii="Arial" w:cs="Arial" w:eastAsia="Arial" w:hAnsi="Arial"/>
                <w:sz w:val="18"/>
                <w:szCs w:val="18"/>
                <w:b w:val="1"/>
                <w:bCs w:val="1"/>
                <w:color w:val="auto"/>
                <w:w w:val="87"/>
              </w:rPr>
              <w:t>3,449,611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020"/>
          </w:cols>
          <w:pgMar w:left="440" w:top="270"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LEASE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Lease liabilities are presented in the statement of financial position within borrowings as follows:</w:t>
      </w:r>
    </w:p>
    <w:p>
      <w:pPr>
        <w:spacing w:after="0" w:line="244"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80" w:type="dxa"/>
            <w:vAlign w:val="bottom"/>
            <w:gridSpan w:val="4"/>
          </w:tcPr>
          <w:p>
            <w:pPr>
              <w:ind w:left="2100"/>
              <w:spacing w:after="0"/>
              <w:rPr>
                <w:sz w:val="20"/>
                <w:szCs w:val="20"/>
                <w:color w:val="auto"/>
              </w:rPr>
            </w:pPr>
            <w:r>
              <w:rPr>
                <w:rFonts w:ascii="Arial" w:cs="Arial" w:eastAsia="Arial" w:hAnsi="Arial"/>
                <w:sz w:val="14"/>
                <w:szCs w:val="14"/>
                <w:b w:val="1"/>
                <w:bCs w:val="1"/>
                <w:color w:val="auto"/>
                <w:w w:val="94"/>
              </w:rPr>
              <w:t>31 December 2019</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(current)</w:t>
            </w:r>
          </w:p>
        </w:tc>
        <w:tc>
          <w:tcPr>
            <w:tcW w:w="24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Lease liabilities (non-current)</w:t>
            </w:r>
          </w:p>
        </w:tc>
        <w:tc>
          <w:tcPr>
            <w:tcW w:w="2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3,117,791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0" w:type="dxa"/>
            <w:vAlign w:val="bottom"/>
            <w:gridSpan w:val="2"/>
            <w:shd w:val="clear" w:color="auto" w:fill="CCEEFF"/>
          </w:tcPr>
          <w:p>
            <w:pPr>
              <w:ind w:left="20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3,836,547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Group has leases for the corporate office and manufacturing facility. The lease liabilities are secured by the related underlying assets. Future minimum lease payments at 31 December 2019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Within one year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00" w:type="dxa"/>
            <w:vAlign w:val="bottom"/>
            <w:gridSpan w:val="7"/>
          </w:tcPr>
          <w:p>
            <w:pPr>
              <w:ind w:left="80"/>
              <w:spacing w:after="0"/>
              <w:rPr>
                <w:sz w:val="20"/>
                <w:szCs w:val="20"/>
                <w:color w:val="auto"/>
              </w:rPr>
            </w:pPr>
            <w:r>
              <w:rPr>
                <w:rFonts w:ascii="Arial" w:cs="Arial" w:eastAsia="Arial" w:hAnsi="Arial"/>
                <w:sz w:val="14"/>
                <w:szCs w:val="14"/>
                <w:b w:val="1"/>
                <w:bCs w:val="1"/>
                <w:color w:val="auto"/>
              </w:rPr>
              <w:t>Minimum lease payments due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1860" w:type="dxa"/>
            <w:vAlign w:val="bottom"/>
            <w:gridSpan w:val="5"/>
          </w:tcPr>
          <w:p>
            <w:pPr>
              <w:ind w:left="280"/>
              <w:spacing w:after="0"/>
              <w:rPr>
                <w:sz w:val="20"/>
                <w:szCs w:val="20"/>
                <w:color w:val="auto"/>
              </w:rPr>
            </w:pPr>
            <w:r>
              <w:rPr>
                <w:rFonts w:ascii="Arial" w:cs="Arial" w:eastAsia="Arial" w:hAnsi="Arial"/>
                <w:sz w:val="14"/>
                <w:szCs w:val="14"/>
                <w:b w:val="1"/>
                <w:bCs w:val="1"/>
                <w:color w:val="auto"/>
              </w:rPr>
              <w:t>One to five years</w:t>
            </w:r>
          </w:p>
        </w:tc>
        <w:tc>
          <w:tcPr>
            <w:tcW w:w="1620" w:type="dxa"/>
            <w:vAlign w:val="bottom"/>
            <w:gridSpan w:val="5"/>
          </w:tcPr>
          <w:p>
            <w:pPr>
              <w:ind w:left="80"/>
              <w:spacing w:after="0"/>
              <w:rPr>
                <w:sz w:val="20"/>
                <w:szCs w:val="20"/>
                <w:color w:val="auto"/>
              </w:rPr>
            </w:pPr>
            <w:r>
              <w:rPr>
                <w:rFonts w:ascii="Arial" w:cs="Arial" w:eastAsia="Arial" w:hAnsi="Arial"/>
                <w:sz w:val="14"/>
                <w:szCs w:val="14"/>
                <w:b w:val="1"/>
                <w:bCs w:val="1"/>
                <w:color w:val="auto"/>
              </w:rPr>
              <w:t>After five years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31 December 2019</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Lease payments</w:t>
            </w: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A$</w:t>
            </w:r>
          </w:p>
        </w:tc>
        <w:tc>
          <w:tcPr>
            <w:tcW w:w="720" w:type="dxa"/>
            <w:vAlign w:val="bottom"/>
          </w:tcPr>
          <w:p>
            <w:pPr>
              <w:jc w:val="right"/>
              <w:spacing w:after="0"/>
              <w:rPr>
                <w:sz w:val="20"/>
                <w:szCs w:val="20"/>
                <w:color w:val="auto"/>
              </w:rPr>
            </w:pPr>
            <w:r>
              <w:rPr>
                <w:rFonts w:ascii="Arial" w:cs="Arial" w:eastAsia="Arial" w:hAnsi="Arial"/>
                <w:sz w:val="18"/>
                <w:szCs w:val="18"/>
                <w:color w:val="auto"/>
              </w:rPr>
              <w:t>976,119</w:t>
            </w:r>
          </w:p>
        </w:tc>
        <w:tc>
          <w:tcPr>
            <w:tcW w:w="32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3,528,375</w:t>
            </w:r>
          </w:p>
        </w:tc>
        <w:tc>
          <w:tcPr>
            <w:tcW w:w="54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5"/>
          </w:tcPr>
          <w:p>
            <w:pPr>
              <w:jc w:val="center"/>
              <w:ind w:right="40"/>
              <w:spacing w:after="0"/>
              <w:rPr>
                <w:sz w:val="20"/>
                <w:szCs w:val="20"/>
                <w:color w:val="auto"/>
              </w:rPr>
            </w:pPr>
            <w:r>
              <w:rPr>
                <w:rFonts w:ascii="Arial" w:cs="Arial" w:eastAsia="Arial" w:hAnsi="Arial"/>
                <w:sz w:val="18"/>
                <w:szCs w:val="18"/>
                <w:color w:val="auto"/>
                <w:w w:val="93"/>
              </w:rPr>
              <w:t>A$4,504,494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charges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(257,363)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99"/>
              <w:spacing w:after="0"/>
              <w:rPr>
                <w:sz w:val="20"/>
                <w:szCs w:val="20"/>
                <w:color w:val="auto"/>
              </w:rPr>
            </w:pPr>
            <w:r>
              <w:rPr>
                <w:rFonts w:ascii="Arial" w:cs="Arial" w:eastAsia="Arial" w:hAnsi="Arial"/>
                <w:sz w:val="18"/>
                <w:szCs w:val="18"/>
                <w:color w:val="auto"/>
              </w:rPr>
              <w:t>(410,584)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(667,947)</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820" w:type="dxa"/>
            <w:vAlign w:val="bottom"/>
            <w:gridSpan w:val="3"/>
          </w:tcPr>
          <w:p>
            <w:pPr>
              <w:ind w:left="160"/>
              <w:spacing w:after="0"/>
              <w:rPr>
                <w:sz w:val="20"/>
                <w:szCs w:val="20"/>
                <w:color w:val="auto"/>
              </w:rPr>
            </w:pPr>
            <w:r>
              <w:rPr>
                <w:rFonts w:ascii="Arial" w:cs="Arial" w:eastAsia="Arial" w:hAnsi="Arial"/>
                <w:sz w:val="18"/>
                <w:szCs w:val="18"/>
                <w:b w:val="1"/>
                <w:bCs w:val="1"/>
                <w:color w:val="auto"/>
              </w:rPr>
              <w:t>Net present values</w:t>
            </w:r>
          </w:p>
        </w:tc>
        <w:tc>
          <w:tcPr>
            <w:tcW w:w="5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718,756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3,117,791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w:t>
            </w:r>
          </w:p>
        </w:tc>
        <w:tc>
          <w:tcPr>
            <w:tcW w:w="1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3,836,547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8.</w:t>
            </w:r>
          </w:p>
        </w:tc>
        <w:tc>
          <w:tcPr>
            <w:tcW w:w="3820" w:type="dxa"/>
            <w:vAlign w:val="bottom"/>
            <w:gridSpan w:val="3"/>
          </w:tcPr>
          <w:p>
            <w:pPr>
              <w:ind w:left="160"/>
              <w:spacing w:after="0"/>
              <w:rPr>
                <w:sz w:val="20"/>
                <w:szCs w:val="20"/>
                <w:color w:val="auto"/>
              </w:rPr>
            </w:pPr>
            <w:r>
              <w:rPr>
                <w:rFonts w:ascii="Arial" w:cs="Arial" w:eastAsia="Arial" w:hAnsi="Arial"/>
                <w:sz w:val="18"/>
                <w:szCs w:val="18"/>
                <w:b w:val="1"/>
                <w:bCs w:val="1"/>
                <w:color w:val="auto"/>
              </w:rPr>
              <w:t>CONTRIBUTED EQUITY</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60" w:type="dxa"/>
            <w:vAlign w:val="bottom"/>
            <w:gridSpan w:val="6"/>
          </w:tcPr>
          <w:p>
            <w:pPr>
              <w:ind w:left="200"/>
              <w:spacing w:after="0"/>
              <w:rPr>
                <w:sz w:val="20"/>
                <w:szCs w:val="20"/>
                <w:color w:val="auto"/>
              </w:rPr>
            </w:pPr>
            <w:r>
              <w:rPr>
                <w:rFonts w:ascii="Arial" w:cs="Arial" w:eastAsia="Arial" w:hAnsi="Arial"/>
                <w:sz w:val="14"/>
                <w:szCs w:val="14"/>
                <w:b w:val="1"/>
                <w:bCs w:val="1"/>
                <w:color w:val="auto"/>
              </w:rPr>
              <w:t>CONSOLIDATED</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31 Dec 2019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center"/>
              <w:ind w:left="54"/>
              <w:spacing w:after="0"/>
              <w:rPr>
                <w:sz w:val="20"/>
                <w:szCs w:val="20"/>
                <w:color w:val="auto"/>
              </w:rPr>
            </w:pPr>
            <w:r>
              <w:rPr>
                <w:rFonts w:ascii="Arial" w:cs="Arial" w:eastAsia="Arial" w:hAnsi="Arial"/>
                <w:sz w:val="14"/>
                <w:szCs w:val="14"/>
                <w:b w:val="1"/>
                <w:bCs w:val="1"/>
                <w:color w:val="auto"/>
                <w:w w:val="93"/>
              </w:rPr>
              <w:t>30 Jun 2019</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Ordinary shares</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Issued and fully paid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5"/>
              </w:rPr>
              <w:t>A</w:t>
            </w:r>
            <w:r>
              <w:rPr>
                <w:rFonts w:ascii="Arial" w:cs="Arial" w:eastAsia="Arial" w:hAnsi="Arial"/>
                <w:sz w:val="18"/>
                <w:szCs w:val="18"/>
                <w:color w:val="auto"/>
                <w:w w:val="95"/>
              </w:rPr>
              <w:t>$  317,116,290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6"/>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204,279,078</w:t>
            </w: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gridSpan w:val="2"/>
          </w:tcPr>
          <w:p>
            <w:pPr>
              <w:ind w:left="860"/>
              <w:spacing w:after="0"/>
              <w:rPr>
                <w:sz w:val="20"/>
                <w:szCs w:val="20"/>
                <w:color w:val="auto"/>
              </w:rPr>
            </w:pPr>
            <w:r>
              <w:rPr>
                <w:rFonts w:ascii="Arial" w:cs="Arial" w:eastAsia="Arial" w:hAnsi="Arial"/>
                <w:sz w:val="14"/>
                <w:szCs w:val="14"/>
                <w:i w:val="1"/>
                <w:iCs w:val="1"/>
                <w:color w:val="auto"/>
              </w:rPr>
              <w:t>Movement in ordinary shares on issue:</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1 July 2019</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1,871,299,575</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204,279,078</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gridSpan w:val="2"/>
          </w:tcPr>
          <w:p>
            <w:pPr>
              <w:ind w:left="860"/>
              <w:spacing w:after="0"/>
              <w:rPr>
                <w:sz w:val="20"/>
                <w:szCs w:val="20"/>
                <w:color w:val="auto"/>
              </w:rPr>
            </w:pPr>
            <w:r>
              <w:rPr>
                <w:rFonts w:ascii="Arial" w:cs="Arial" w:eastAsia="Arial" w:hAnsi="Arial"/>
                <w:sz w:val="18"/>
                <w:szCs w:val="18"/>
                <w:color w:val="auto"/>
              </w:rPr>
              <w:t>Issue of shares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246,174,702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120,402,440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Capital raising costs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(7,565,228)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gridSpan w:val="2"/>
          </w:tcPr>
          <w:p>
            <w:pPr>
              <w:ind w:left="860"/>
              <w:spacing w:after="0"/>
              <w:rPr>
                <w:sz w:val="20"/>
                <w:szCs w:val="20"/>
                <w:color w:val="auto"/>
              </w:rPr>
            </w:pPr>
            <w:r>
              <w:rPr>
                <w:rFonts w:ascii="Arial" w:cs="Arial" w:eastAsia="Arial" w:hAnsi="Arial"/>
                <w:sz w:val="18"/>
                <w:szCs w:val="18"/>
                <w:b w:val="1"/>
                <w:bCs w:val="1"/>
                <w:color w:val="auto"/>
              </w:rPr>
              <w:t>At 31 December 2019</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2,117,474,277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xml:space="preserve"> 317,116,290</w:t>
            </w:r>
          </w:p>
        </w:tc>
        <w:tc>
          <w:tcPr>
            <w:tcW w:w="9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40" w:hanging="436"/>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Recognised share-based payment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expense recognised for employee services received during the half-year is shown in the table below:</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154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 arising from equity-settled share-based payment transactions</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5,326,289</w:t>
            </w:r>
          </w:p>
        </w:tc>
        <w:tc>
          <w:tcPr>
            <w:tcW w:w="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1,043,694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Total expense arising from share-based payment transactions</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5,326,289</w:t>
            </w:r>
          </w:p>
        </w:tc>
        <w:tc>
          <w:tcPr>
            <w:tcW w:w="5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1,043,694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right="4760" w:firstLine="4"/>
        <w:spacing w:after="0" w:line="378" w:lineRule="auto"/>
        <w:tabs>
          <w:tab w:leader="none" w:pos="43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Employee Share Option Plan (“ESOP”) and Investor Equity-settled transactions</w:t>
      </w:r>
    </w:p>
    <w:p>
      <w:pPr>
        <w:ind w:right="220"/>
        <w:spacing w:after="0" w:line="277" w:lineRule="auto"/>
        <w:rPr>
          <w:sz w:val="20"/>
          <w:szCs w:val="20"/>
          <w:color w:val="auto"/>
        </w:rPr>
      </w:pPr>
      <w:r>
        <w:rPr>
          <w:rFonts w:ascii="Arial" w:cs="Arial" w:eastAsia="Arial" w:hAnsi="Arial"/>
          <w:sz w:val="18"/>
          <w:szCs w:val="18"/>
          <w:color w:val="auto"/>
        </w:rPr>
        <w:t>The fair value of the equity-settled share options granted under the ESOP is estimated at the date of grant using a Binomial Model taking into account the terms and conditions upon which the options were granted.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options issued in the period have vesting criteria based on the following performance conditions:</w:t>
      </w:r>
    </w:p>
    <w:p>
      <w:pPr>
        <w:spacing w:after="0" w:line="131" w:lineRule="exact"/>
        <w:rPr>
          <w:sz w:val="20"/>
          <w:szCs w:val="20"/>
          <w:color w:val="auto"/>
        </w:rPr>
      </w:pPr>
    </w:p>
    <w:p>
      <w:pPr>
        <w:ind w:left="980" w:hanging="43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Initial public offering of the Company in the US Stock Exchange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 Sarbanes-Oxley Act Section 404 compliant program</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domiciliation of the Company</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Two new analysts to follow the Company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6997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020"/>
          </w:cols>
          <w:pgMar w:left="440" w:top="270"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440" w:hanging="436"/>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right="2020" w:firstLine="4"/>
        <w:spacing w:after="0" w:line="542" w:lineRule="auto"/>
        <w:tabs>
          <w:tab w:leader="none" w:pos="432"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1 July 2019, 1,000,000 options were granted to employees at an exercise price of A$0.440 expiring on 1 July 2029. The following table lists the inputs to the models used for the options granted to employees each year:</w:t>
      </w: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Tranche 1</w:t>
            </w:r>
          </w:p>
        </w:tc>
        <w:tc>
          <w:tcPr>
            <w:tcW w:w="300" w:type="dxa"/>
            <w:vAlign w:val="bottom"/>
          </w:tcPr>
          <w:p>
            <w:pPr>
              <w:spacing w:after="0"/>
              <w:rPr>
                <w:sz w:val="14"/>
                <w:szCs w:val="14"/>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Tranche 2</w:t>
            </w:r>
          </w:p>
        </w:tc>
        <w:tc>
          <w:tcPr>
            <w:tcW w:w="300" w:type="dxa"/>
            <w:vAlign w:val="bottom"/>
          </w:tcPr>
          <w:p>
            <w:pPr>
              <w:spacing w:after="0"/>
              <w:rPr>
                <w:sz w:val="14"/>
                <w:szCs w:val="14"/>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Tranche 3</w:t>
            </w:r>
          </w:p>
        </w:tc>
        <w:tc>
          <w:tcPr>
            <w:tcW w:w="28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Tranche 4</w:t>
            </w: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1/7/2019</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1/7/2019</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1/7/2019</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1/7/2019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w w:val="90"/>
              </w:rPr>
              <w:t>A$</w:t>
            </w:r>
          </w:p>
        </w:tc>
        <w:tc>
          <w:tcPr>
            <w:tcW w:w="660" w:type="dxa"/>
            <w:vAlign w:val="bottom"/>
          </w:tcPr>
          <w:p>
            <w:pPr>
              <w:jc w:val="right"/>
              <w:spacing w:after="0"/>
              <w:rPr>
                <w:sz w:val="20"/>
                <w:szCs w:val="20"/>
                <w:color w:val="auto"/>
              </w:rPr>
            </w:pPr>
            <w:r>
              <w:rPr>
                <w:rFonts w:ascii="Arial" w:cs="Arial" w:eastAsia="Arial" w:hAnsi="Arial"/>
                <w:sz w:val="18"/>
                <w:szCs w:val="18"/>
                <w:color w:val="auto"/>
              </w:rPr>
              <w:t>0.420</w:t>
            </w:r>
          </w:p>
        </w:tc>
        <w:tc>
          <w:tcPr>
            <w:tcW w:w="42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660" w:type="dxa"/>
            <w:vAlign w:val="bottom"/>
          </w:tcPr>
          <w:p>
            <w:pPr>
              <w:jc w:val="right"/>
              <w:spacing w:after="0"/>
              <w:rPr>
                <w:sz w:val="20"/>
                <w:szCs w:val="20"/>
                <w:color w:val="auto"/>
              </w:rPr>
            </w:pPr>
            <w:r>
              <w:rPr>
                <w:rFonts w:ascii="Arial" w:cs="Arial" w:eastAsia="Arial" w:hAnsi="Arial"/>
                <w:sz w:val="18"/>
                <w:szCs w:val="18"/>
                <w:color w:val="auto"/>
              </w:rPr>
              <w:t>0.420</w:t>
            </w:r>
          </w:p>
        </w:tc>
        <w:tc>
          <w:tcPr>
            <w:tcW w:w="4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640" w:type="dxa"/>
            <w:vAlign w:val="bottom"/>
          </w:tcPr>
          <w:p>
            <w:pPr>
              <w:jc w:val="right"/>
              <w:spacing w:after="0"/>
              <w:rPr>
                <w:sz w:val="20"/>
                <w:szCs w:val="20"/>
                <w:color w:val="auto"/>
              </w:rPr>
            </w:pPr>
            <w:r>
              <w:rPr>
                <w:rFonts w:ascii="Arial" w:cs="Arial" w:eastAsia="Arial" w:hAnsi="Arial"/>
                <w:sz w:val="18"/>
                <w:szCs w:val="18"/>
                <w:color w:val="auto"/>
              </w:rPr>
              <w:t>0.420</w:t>
            </w:r>
          </w:p>
        </w:tc>
        <w:tc>
          <w:tcPr>
            <w:tcW w:w="44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660" w:type="dxa"/>
            <w:vAlign w:val="bottom"/>
          </w:tcPr>
          <w:p>
            <w:pPr>
              <w:jc w:val="right"/>
              <w:spacing w:after="0"/>
              <w:rPr>
                <w:sz w:val="20"/>
                <w:szCs w:val="20"/>
                <w:color w:val="auto"/>
              </w:rPr>
            </w:pPr>
            <w:r>
              <w:rPr>
                <w:rFonts w:ascii="Arial" w:cs="Arial" w:eastAsia="Arial" w:hAnsi="Arial"/>
                <w:sz w:val="18"/>
                <w:szCs w:val="18"/>
                <w:color w:val="auto"/>
              </w:rPr>
              <w:t>0.420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Expected volatility (%)</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Expected vesting period (days)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Fair value at date of grant</w:t>
            </w:r>
          </w:p>
        </w:tc>
        <w:tc>
          <w:tcPr>
            <w:tcW w:w="1240" w:type="dxa"/>
            <w:vAlign w:val="bottom"/>
            <w:gridSpan w:val="2"/>
          </w:tcPr>
          <w:p>
            <w:pPr>
              <w:ind w:left="1020"/>
              <w:spacing w:after="0"/>
              <w:rPr>
                <w:sz w:val="20"/>
                <w:szCs w:val="20"/>
                <w:color w:val="auto"/>
              </w:rPr>
            </w:pPr>
            <w:r>
              <w:rPr>
                <w:rFonts w:ascii="Arial" w:cs="Arial" w:eastAsia="Arial" w:hAnsi="Arial"/>
                <w:sz w:val="18"/>
                <w:szCs w:val="18"/>
                <w:color w:val="auto"/>
                <w:w w:val="90"/>
              </w:rPr>
              <w:t>A$</w:t>
            </w:r>
          </w:p>
        </w:tc>
        <w:tc>
          <w:tcPr>
            <w:tcW w:w="660" w:type="dxa"/>
            <w:vAlign w:val="bottom"/>
          </w:tcPr>
          <w:p>
            <w:pPr>
              <w:jc w:val="right"/>
              <w:spacing w:after="0"/>
              <w:rPr>
                <w:sz w:val="20"/>
                <w:szCs w:val="20"/>
                <w:color w:val="auto"/>
              </w:rPr>
            </w:pPr>
            <w:r>
              <w:rPr>
                <w:rFonts w:ascii="Arial" w:cs="Arial" w:eastAsia="Arial" w:hAnsi="Arial"/>
                <w:sz w:val="18"/>
                <w:szCs w:val="18"/>
                <w:color w:val="auto"/>
              </w:rPr>
              <w:t>0.2518</w:t>
            </w:r>
          </w:p>
        </w:tc>
        <w:tc>
          <w:tcPr>
            <w:tcW w:w="42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660" w:type="dxa"/>
            <w:vAlign w:val="bottom"/>
          </w:tcPr>
          <w:p>
            <w:pPr>
              <w:jc w:val="right"/>
              <w:spacing w:after="0"/>
              <w:rPr>
                <w:sz w:val="20"/>
                <w:szCs w:val="20"/>
                <w:color w:val="auto"/>
              </w:rPr>
            </w:pPr>
            <w:r>
              <w:rPr>
                <w:rFonts w:ascii="Arial" w:cs="Arial" w:eastAsia="Arial" w:hAnsi="Arial"/>
                <w:sz w:val="18"/>
                <w:szCs w:val="18"/>
                <w:color w:val="auto"/>
              </w:rPr>
              <w:t>0.2703</w:t>
            </w:r>
          </w:p>
        </w:tc>
        <w:tc>
          <w:tcPr>
            <w:tcW w:w="4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640" w:type="dxa"/>
            <w:vAlign w:val="bottom"/>
          </w:tcPr>
          <w:p>
            <w:pPr>
              <w:jc w:val="right"/>
              <w:spacing w:after="0"/>
              <w:rPr>
                <w:sz w:val="20"/>
                <w:szCs w:val="20"/>
                <w:color w:val="auto"/>
              </w:rPr>
            </w:pPr>
            <w:r>
              <w:rPr>
                <w:rFonts w:ascii="Arial" w:cs="Arial" w:eastAsia="Arial" w:hAnsi="Arial"/>
                <w:sz w:val="18"/>
                <w:szCs w:val="18"/>
                <w:color w:val="auto"/>
              </w:rPr>
              <w:t>0.2862</w:t>
            </w:r>
          </w:p>
        </w:tc>
        <w:tc>
          <w:tcPr>
            <w:tcW w:w="44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660" w:type="dxa"/>
            <w:vAlign w:val="bottom"/>
          </w:tcPr>
          <w:p>
            <w:pPr>
              <w:jc w:val="right"/>
              <w:spacing w:after="0"/>
              <w:rPr>
                <w:sz w:val="20"/>
                <w:szCs w:val="20"/>
                <w:color w:val="auto"/>
              </w:rPr>
            </w:pPr>
            <w:r>
              <w:rPr>
                <w:rFonts w:ascii="Arial" w:cs="Arial" w:eastAsia="Arial" w:hAnsi="Arial"/>
                <w:sz w:val="18"/>
                <w:szCs w:val="18"/>
                <w:color w:val="auto"/>
              </w:rPr>
              <w:t>0.2994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12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0"/>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0.440</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0.440</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0.440</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0.440</w:t>
            </w: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1460" w:firstLine="4"/>
        <w:spacing w:after="0" w:line="511" w:lineRule="auto"/>
        <w:tabs>
          <w:tab w:leader="none" w:pos="4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1 October 2019, 1,230,000 options were granted to employees at an exercise price of A$0.590 expiring on 1 October 2029. The following table lists the inputs to the models used for the options granted to employees each year:</w:t>
      </w:r>
    </w:p>
    <w:p>
      <w:pPr>
        <w:spacing w:after="0" w:line="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Tranche 1</w:t>
            </w:r>
          </w:p>
        </w:tc>
        <w:tc>
          <w:tcPr>
            <w:tcW w:w="280" w:type="dxa"/>
            <w:vAlign w:val="bottom"/>
          </w:tcPr>
          <w:p>
            <w:pPr>
              <w:spacing w:after="0"/>
              <w:rPr>
                <w:sz w:val="14"/>
                <w:szCs w:val="14"/>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Tranche 2</w:t>
            </w:r>
          </w:p>
        </w:tc>
        <w:tc>
          <w:tcPr>
            <w:tcW w:w="280" w:type="dxa"/>
            <w:vAlign w:val="bottom"/>
          </w:tcPr>
          <w:p>
            <w:pPr>
              <w:spacing w:after="0"/>
              <w:rPr>
                <w:sz w:val="14"/>
                <w:szCs w:val="14"/>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Tranche 3</w:t>
            </w:r>
          </w:p>
        </w:tc>
        <w:tc>
          <w:tcPr>
            <w:tcW w:w="30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Tranche 4</w:t>
            </w: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1/10/2019</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1/10/2019</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1/10/2019</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1/10/2019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020" w:type="dxa"/>
            <w:vAlign w:val="bottom"/>
            <w:gridSpan w:val="2"/>
          </w:tcPr>
          <w:p>
            <w:pPr>
              <w:ind w:left="800"/>
              <w:spacing w:after="0"/>
              <w:rPr>
                <w:sz w:val="20"/>
                <w:szCs w:val="20"/>
                <w:color w:val="auto"/>
              </w:rPr>
            </w:pPr>
            <w:r>
              <w:rPr>
                <w:rFonts w:ascii="Arial" w:cs="Arial" w:eastAsia="Arial" w:hAnsi="Arial"/>
                <w:sz w:val="18"/>
                <w:szCs w:val="18"/>
                <w:color w:val="auto"/>
                <w:w w:val="90"/>
              </w:rPr>
              <w:t>A$</w:t>
            </w:r>
          </w:p>
        </w:tc>
        <w:tc>
          <w:tcPr>
            <w:tcW w:w="760" w:type="dxa"/>
            <w:vAlign w:val="bottom"/>
          </w:tcPr>
          <w:p>
            <w:pPr>
              <w:jc w:val="right"/>
              <w:spacing w:after="0"/>
              <w:rPr>
                <w:sz w:val="20"/>
                <w:szCs w:val="20"/>
                <w:color w:val="auto"/>
              </w:rPr>
            </w:pPr>
            <w:r>
              <w:rPr>
                <w:rFonts w:ascii="Arial" w:cs="Arial" w:eastAsia="Arial" w:hAnsi="Arial"/>
                <w:sz w:val="18"/>
                <w:szCs w:val="18"/>
                <w:color w:val="auto"/>
              </w:rPr>
              <w:t>0.590</w:t>
            </w:r>
          </w:p>
        </w:tc>
        <w:tc>
          <w:tcPr>
            <w:tcW w:w="44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0.590</w:t>
            </w:r>
          </w:p>
        </w:tc>
        <w:tc>
          <w:tcPr>
            <w:tcW w:w="44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0.590</w:t>
            </w:r>
          </w:p>
        </w:tc>
        <w:tc>
          <w:tcPr>
            <w:tcW w:w="44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0.590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Expected volatility (%)</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0.97%</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Expected vesting period (days)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Fair value at date of grant</w:t>
            </w:r>
          </w:p>
        </w:tc>
        <w:tc>
          <w:tcPr>
            <w:tcW w:w="1020" w:type="dxa"/>
            <w:vAlign w:val="bottom"/>
            <w:gridSpan w:val="2"/>
          </w:tcPr>
          <w:p>
            <w:pPr>
              <w:ind w:left="800"/>
              <w:spacing w:after="0"/>
              <w:rPr>
                <w:sz w:val="20"/>
                <w:szCs w:val="20"/>
                <w:color w:val="auto"/>
              </w:rPr>
            </w:pPr>
            <w:r>
              <w:rPr>
                <w:rFonts w:ascii="Arial" w:cs="Arial" w:eastAsia="Arial" w:hAnsi="Arial"/>
                <w:sz w:val="18"/>
                <w:szCs w:val="18"/>
                <w:color w:val="auto"/>
                <w:w w:val="90"/>
              </w:rPr>
              <w:t>A$</w:t>
            </w:r>
          </w:p>
        </w:tc>
        <w:tc>
          <w:tcPr>
            <w:tcW w:w="760" w:type="dxa"/>
            <w:vAlign w:val="bottom"/>
          </w:tcPr>
          <w:p>
            <w:pPr>
              <w:jc w:val="right"/>
              <w:spacing w:after="0"/>
              <w:rPr>
                <w:sz w:val="20"/>
                <w:szCs w:val="20"/>
                <w:color w:val="auto"/>
              </w:rPr>
            </w:pPr>
            <w:r>
              <w:rPr>
                <w:rFonts w:ascii="Arial" w:cs="Arial" w:eastAsia="Arial" w:hAnsi="Arial"/>
                <w:sz w:val="18"/>
                <w:szCs w:val="18"/>
                <w:color w:val="auto"/>
              </w:rPr>
              <w:t>0.3476</w:t>
            </w:r>
          </w:p>
        </w:tc>
        <w:tc>
          <w:tcPr>
            <w:tcW w:w="44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0.3705</w:t>
            </w:r>
          </w:p>
        </w:tc>
        <w:tc>
          <w:tcPr>
            <w:tcW w:w="44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0.3914</w:t>
            </w:r>
          </w:p>
        </w:tc>
        <w:tc>
          <w:tcPr>
            <w:tcW w:w="44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0.4081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0"/>
              </w:rPr>
              <w:t>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0.590</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020"/>
          </w:cols>
          <w:pgMar w:left="440" w:top="270"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440" w:hanging="436"/>
        <w:spacing w:after="0"/>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256" w:lineRule="exact"/>
        <w:rPr>
          <w:sz w:val="20"/>
          <w:szCs w:val="20"/>
          <w:color w:val="auto"/>
        </w:rPr>
      </w:pPr>
    </w:p>
    <w:p>
      <w:pPr>
        <w:ind w:left="440" w:hanging="436"/>
        <w:spacing w:after="0"/>
        <w:tabs>
          <w:tab w:leader="none" w:pos="4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22 November 2019, 13,500,000 options were granted to an employee at an exercise price of A$0.560 expiring on 22 November 2029.</w:t>
      </w:r>
    </w:p>
    <w:p>
      <w:pPr>
        <w:spacing w:after="0" w:line="142" w:lineRule="exact"/>
        <w:rPr>
          <w:rFonts w:ascii="Arial" w:cs="Arial" w:eastAsia="Arial" w:hAnsi="Arial"/>
          <w:sz w:val="17"/>
          <w:szCs w:val="17"/>
          <w:color w:val="auto"/>
        </w:rPr>
      </w:pPr>
    </w:p>
    <w:p>
      <w:pPr>
        <w:ind w:left="980" w:hanging="544"/>
        <w:spacing w:after="0"/>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Tenure – total of 6,750,000 options issued but to vest over the three-year period commencing 22 November 2020;</w:t>
      </w:r>
    </w:p>
    <w:p>
      <w:pPr>
        <w:spacing w:after="0" w:line="130" w:lineRule="exact"/>
        <w:rPr>
          <w:rFonts w:ascii="Arial" w:cs="Arial" w:eastAsia="Arial" w:hAnsi="Arial"/>
          <w:sz w:val="18"/>
          <w:szCs w:val="18"/>
          <w:color w:val="auto"/>
        </w:rPr>
      </w:pPr>
    </w:p>
    <w:p>
      <w:pPr>
        <w:ind w:left="980" w:right="420" w:hanging="544"/>
        <w:spacing w:after="0" w:line="342"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Milestone performance – total of 6,750,000 options issued, but to vest upon the achievement of establishing a Sarbanes-Oxley Act Section 404 compliant program, U.S. domiciliation of the Company and initiation of two new analysts to follow the Company stocks.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inputs to the models used for the options granted to employees each year:</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90"/>
              </w:rPr>
              <w:t>Tranche 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5"/>
          </w:tcPr>
          <w:p>
            <w:pPr>
              <w:spacing w:after="0"/>
              <w:rPr>
                <w:sz w:val="20"/>
                <w:szCs w:val="20"/>
                <w:color w:val="auto"/>
              </w:rPr>
            </w:pPr>
            <w:r>
              <w:rPr>
                <w:rFonts w:ascii="Arial" w:cs="Arial" w:eastAsia="Arial" w:hAnsi="Arial"/>
                <w:sz w:val="14"/>
                <w:szCs w:val="14"/>
                <w:b w:val="1"/>
                <w:bCs w:val="1"/>
                <w:color w:val="auto"/>
              </w:rPr>
              <w:t>Tranche 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5"/>
          </w:tcPr>
          <w:p>
            <w:pPr>
              <w:spacing w:after="0"/>
              <w:rPr>
                <w:sz w:val="20"/>
                <w:szCs w:val="20"/>
                <w:color w:val="auto"/>
              </w:rPr>
            </w:pPr>
            <w:r>
              <w:rPr>
                <w:rFonts w:ascii="Arial" w:cs="Arial" w:eastAsia="Arial" w:hAnsi="Arial"/>
                <w:sz w:val="14"/>
                <w:szCs w:val="14"/>
                <w:b w:val="1"/>
                <w:bCs w:val="1"/>
                <w:color w:val="auto"/>
              </w:rPr>
              <w:t>Tranche 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22/11/2019</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22/11/2019</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22/11/2019</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22/11/2019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w w:val="90"/>
              </w:rPr>
              <w:t>A$</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0.590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w w:val="90"/>
              </w:rPr>
              <w:t>A$</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0.590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90"/>
              </w:rPr>
              <w:t>A$</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0.590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0.590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Expected volatility (%)</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1.16%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3,650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3,650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3,650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Expected vesting period (days)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Fair value at date of grant</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w w:val="90"/>
              </w:rPr>
              <w:t>A$</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0.4083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w w:val="90"/>
              </w:rPr>
              <w:t>A$</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0.3585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90"/>
              </w:rPr>
              <w:t>A$</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0.4264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0.4785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0"/>
              </w:rPr>
              <w:t>A$</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0.560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A$</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0.560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0.560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0.560</w:t>
            </w:r>
          </w:p>
        </w:tc>
        <w:tc>
          <w:tcPr>
            <w:tcW w:w="200" w:type="dxa"/>
            <w:vAlign w:val="bottom"/>
            <w:shd w:val="clear" w:color="auto" w:fill="CCEEFF"/>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0"/>
              </w:rPr>
              <w:t>Tranche 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0"/>
              </w:rPr>
              <w:t>Tranche 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Tranche 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22/11/2019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22/11/2019</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22/11/2019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0"/>
              </w:rPr>
              <w:t>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0.590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Expected volatility (%)</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Expected vesting period (days)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Fair value at date of grant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0.3853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0.4083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0"/>
              </w:rPr>
              <w:t>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0.4264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99"/>
              </w:rPr>
              <w:t>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0.560</w:t>
            </w:r>
          </w:p>
        </w:tc>
        <w:tc>
          <w:tcPr>
            <w:tcW w:w="2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97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020"/>
          </w:cols>
          <w:pgMar w:left="440" w:top="270"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440" w:hanging="436"/>
        <w:spacing w:after="0"/>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(LTI) rights</w:t>
      </w:r>
    </w:p>
    <w:p>
      <w:pPr>
        <w:spacing w:after="0" w:line="135" w:lineRule="exact"/>
        <w:rPr>
          <w:sz w:val="20"/>
          <w:szCs w:val="20"/>
          <w:color w:val="auto"/>
        </w:rPr>
      </w:pPr>
    </w:p>
    <w:p>
      <w:pPr>
        <w:ind w:left="440" w:right="40" w:hanging="436"/>
        <w:spacing w:after="0" w:line="277"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26 November 2019 (and following shareholder approval), 39,554,252 LTIs were issued to the Company’s Chief Executive Officer, Dr Michael Perry based on the following milestones:</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Tenure – total of 14,252,100 LTIs issued but to vest over the three-year period commencing 1 June 2020;</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Milestone performance – total of 25,302,152 LTIs issued, but to vest upon the achievement of the following milestones: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2"/>
          <w:numId w:val="34"/>
        </w:numPr>
        <w:rPr>
          <w:rFonts w:ascii="Arial" w:cs="Arial" w:eastAsia="Arial" w:hAnsi="Arial"/>
          <w:sz w:val="16"/>
          <w:szCs w:val="16"/>
          <w:color w:val="auto"/>
        </w:rPr>
      </w:pPr>
      <w:r>
        <w:rPr>
          <w:rFonts w:ascii="Arial" w:cs="Arial" w:eastAsia="Arial" w:hAnsi="Arial"/>
          <w:sz w:val="16"/>
          <w:szCs w:val="16"/>
          <w:color w:val="auto"/>
        </w:rPr>
        <w:t>First patient first visit for treatment in an FDA approved U.S. soft tissue and trauma trial by the Company prior to 31 March 2020.</w:t>
      </w:r>
    </w:p>
    <w:p>
      <w:pPr>
        <w:spacing w:after="0" w:line="153" w:lineRule="exact"/>
        <w:rPr>
          <w:rFonts w:ascii="Arial" w:cs="Arial" w:eastAsia="Arial" w:hAnsi="Arial"/>
          <w:sz w:val="16"/>
          <w:szCs w:val="16"/>
          <w:color w:val="auto"/>
        </w:rPr>
      </w:pPr>
    </w:p>
    <w:p>
      <w:pPr>
        <w:ind w:left="1420" w:hanging="430"/>
        <w:spacing w:after="0"/>
        <w:tabs>
          <w:tab w:leader="none" w:pos="14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First patient first visit for treatment in an FDA approved U.S. paediatric trial by the Company prior to 30 June 2020.</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2"/>
          <w:numId w:val="34"/>
        </w:numPr>
        <w:rPr>
          <w:rFonts w:ascii="Arial" w:cs="Arial" w:eastAsia="Arial" w:hAnsi="Arial"/>
          <w:sz w:val="17"/>
          <w:szCs w:val="17"/>
          <w:color w:val="auto"/>
        </w:rPr>
      </w:pPr>
      <w:r>
        <w:rPr>
          <w:rFonts w:ascii="Arial" w:cs="Arial" w:eastAsia="Arial" w:hAnsi="Arial"/>
          <w:sz w:val="17"/>
          <w:szCs w:val="17"/>
          <w:color w:val="auto"/>
        </w:rPr>
        <w:t>First patient first visit for treatment in an FDA approved U.S. pilot vitiligo trial by the Company prior to 30 September 2020.</w:t>
      </w:r>
    </w:p>
    <w:p>
      <w:pPr>
        <w:spacing w:after="0" w:line="142" w:lineRule="exact"/>
        <w:rPr>
          <w:rFonts w:ascii="Arial" w:cs="Arial" w:eastAsia="Arial" w:hAnsi="Arial"/>
          <w:sz w:val="17"/>
          <w:szCs w:val="17"/>
          <w:color w:val="auto"/>
        </w:rPr>
      </w:pPr>
    </w:p>
    <w:p>
      <w:pPr>
        <w:ind w:left="1420" w:hanging="430"/>
        <w:spacing w:after="0"/>
        <w:tabs>
          <w:tab w:leader="none" w:pos="14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FDA application submission for approval of the next generation RECELL device prior to 30 June 2021.</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FDA approval of the next generation RECELL device prior to 30 June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inputs to the models used for the options granted to employee each year:</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7"/>
              </w:rPr>
              <w:t>Tranche 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0"/>
              </w:rPr>
              <w:t>Tranche 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0"/>
              </w:rPr>
              <w:t>Tranche 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26/11/2019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26/11/2019</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26/11/2019</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26/11/2019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42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w w:val="90"/>
              </w:rPr>
              <w:t>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90"/>
              </w:rPr>
              <w:t>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0"/>
              </w:rPr>
              <w:t>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0.575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0.575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Exercised price</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0"/>
              </w:rPr>
              <w:t>A$</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A$</w:t>
            </w: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nil</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nil</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Expected life of LTIs (days)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3,650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Expected vesting period (days)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Dividend yield (%)</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37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Tranche 5</w:t>
            </w:r>
          </w:p>
        </w:tc>
        <w:tc>
          <w:tcPr>
            <w:tcW w:w="160" w:type="dxa"/>
            <w:vAlign w:val="bottom"/>
          </w:tcPr>
          <w:p>
            <w:pPr>
              <w:spacing w:after="0"/>
              <w:rPr>
                <w:sz w:val="24"/>
                <w:szCs w:val="24"/>
                <w:color w:val="auto"/>
              </w:rPr>
            </w:pPr>
          </w:p>
        </w:tc>
        <w:tc>
          <w:tcPr>
            <w:tcW w:w="16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Tranche 6</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Tranche 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Tranche 8</w:t>
            </w: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26/11/2019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26/11/2019</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26/11/2019</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26/11/2019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A$</w:t>
            </w:r>
          </w:p>
        </w:tc>
        <w:tc>
          <w:tcPr>
            <w:tcW w:w="520" w:type="dxa"/>
            <w:vAlign w:val="bottom"/>
          </w:tcPr>
          <w:p>
            <w:pPr>
              <w:jc w:val="right"/>
              <w:spacing w:after="0"/>
              <w:rPr>
                <w:sz w:val="20"/>
                <w:szCs w:val="20"/>
                <w:color w:val="auto"/>
              </w:rPr>
            </w:pPr>
            <w:r>
              <w:rPr>
                <w:rFonts w:ascii="Arial" w:cs="Arial" w:eastAsia="Arial" w:hAnsi="Arial"/>
                <w:sz w:val="18"/>
                <w:szCs w:val="18"/>
                <w:color w:val="auto"/>
              </w:rPr>
              <w:t>0.575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A$</w:t>
            </w:r>
          </w:p>
        </w:tc>
        <w:tc>
          <w:tcPr>
            <w:tcW w:w="540" w:type="dxa"/>
            <w:vAlign w:val="bottom"/>
          </w:tcPr>
          <w:p>
            <w:pPr>
              <w:jc w:val="right"/>
              <w:spacing w:after="0"/>
              <w:rPr>
                <w:sz w:val="20"/>
                <w:szCs w:val="20"/>
                <w:color w:val="auto"/>
              </w:rPr>
            </w:pPr>
            <w:r>
              <w:rPr>
                <w:rFonts w:ascii="Arial" w:cs="Arial" w:eastAsia="Arial" w:hAnsi="Arial"/>
                <w:sz w:val="18"/>
                <w:szCs w:val="18"/>
                <w:color w:val="auto"/>
              </w:rPr>
              <w:t>0.575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ind w:left="160"/>
              <w:spacing w:after="0"/>
              <w:rPr>
                <w:sz w:val="20"/>
                <w:szCs w:val="20"/>
                <w:color w:val="auto"/>
              </w:rPr>
            </w:pPr>
            <w:r>
              <w:rPr>
                <w:rFonts w:ascii="Arial" w:cs="Arial" w:eastAsia="Arial" w:hAnsi="Arial"/>
                <w:sz w:val="18"/>
                <w:szCs w:val="18"/>
                <w:color w:val="auto"/>
              </w:rPr>
              <w:t>A$</w:t>
            </w:r>
          </w:p>
        </w:tc>
        <w:tc>
          <w:tcPr>
            <w:tcW w:w="70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gridSpan w:val="3"/>
          </w:tcPr>
          <w:p>
            <w:pPr>
              <w:ind w:left="240"/>
              <w:spacing w:after="0"/>
              <w:rPr>
                <w:sz w:val="20"/>
                <w:szCs w:val="20"/>
                <w:color w:val="auto"/>
              </w:rPr>
            </w:pPr>
            <w:r>
              <w:rPr>
                <w:rFonts w:ascii="Arial" w:cs="Arial" w:eastAsia="Arial" w:hAnsi="Arial"/>
                <w:sz w:val="18"/>
                <w:szCs w:val="18"/>
                <w:color w:val="auto"/>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0.575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Exercised price</w:t>
            </w:r>
          </w:p>
        </w:tc>
        <w:tc>
          <w:tcPr>
            <w:tcW w:w="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w:t>
            </w: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nil</w:t>
            </w:r>
          </w:p>
        </w:tc>
        <w:tc>
          <w:tcPr>
            <w:tcW w:w="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nil</w:t>
            </w: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nil</w:t>
            </w:r>
          </w:p>
        </w:tc>
        <w:tc>
          <w:tcPr>
            <w:tcW w:w="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Expected life of LTIs (days)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3,650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Expected vesting period (days)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Not probable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Not probable</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Dividend yield (%)</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6997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020"/>
          </w:cols>
          <w:pgMar w:left="440" w:top="270"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HALF-YEAR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34" w:lineRule="exact"/>
        <w:rPr>
          <w:sz w:val="20"/>
          <w:szCs w:val="20"/>
          <w:color w:val="auto"/>
        </w:rPr>
      </w:pPr>
    </w:p>
    <w:p>
      <w:pPr>
        <w:ind w:left="440" w:hanging="436"/>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440" w:hanging="436"/>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(LTI) rights (continued)</w:t>
      </w:r>
    </w:p>
    <w:p>
      <w:pPr>
        <w:spacing w:after="0" w:line="162" w:lineRule="exact"/>
        <w:rPr>
          <w:sz w:val="20"/>
          <w:szCs w:val="20"/>
          <w:color w:val="auto"/>
        </w:rPr>
      </w:pPr>
    </w:p>
    <w:p>
      <w:pPr>
        <w:ind w:right="580" w:firstLine="4"/>
        <w:spacing w:after="0" w:line="402" w:lineRule="auto"/>
        <w:tabs>
          <w:tab w:leader="none" w:pos="4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22 November 2019, 4,500,000 LTIs were issued to an employee and will vest pending relocation within two years of the effective date. The following table list the inputs to the model used for the LTIs granted:</w:t>
      </w:r>
    </w:p>
    <w:p>
      <w:pPr>
        <w:spacing w:after="0" w:line="104"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0"/>
              </w:rPr>
              <w:t>22/11/2019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220" w:type="dxa"/>
            <w:vAlign w:val="bottom"/>
          </w:tcPr>
          <w:p>
            <w:pPr>
              <w:ind w:left="200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0.590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Exercised price</w:t>
            </w:r>
          </w:p>
        </w:tc>
        <w:tc>
          <w:tcPr>
            <w:tcW w:w="2220" w:type="dxa"/>
            <w:vAlign w:val="bottom"/>
            <w:shd w:val="clear" w:color="auto" w:fill="CCEEFF"/>
          </w:tcPr>
          <w:p>
            <w:pPr>
              <w:ind w:left="2000"/>
              <w:spacing w:after="0"/>
              <w:rPr>
                <w:sz w:val="20"/>
                <w:szCs w:val="20"/>
                <w:color w:val="auto"/>
              </w:rPr>
            </w:pPr>
            <w:r>
              <w:rPr>
                <w:rFonts w:ascii="Arial" w:cs="Arial" w:eastAsia="Arial" w:hAnsi="Arial"/>
                <w:sz w:val="18"/>
                <w:szCs w:val="18"/>
                <w:color w:val="auto"/>
                <w:w w:val="90"/>
              </w:rPr>
              <w:t>A$</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nil</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life of LTIs (days)</w:t>
            </w:r>
          </w:p>
        </w:tc>
        <w:tc>
          <w:tcPr>
            <w:tcW w:w="22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3,650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vesting period (days)</w:t>
            </w:r>
          </w:p>
        </w:tc>
        <w:tc>
          <w:tcPr>
            <w:tcW w:w="2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730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Dividend yield (%)</w:t>
            </w:r>
          </w:p>
        </w:tc>
        <w:tc>
          <w:tcPr>
            <w:tcW w:w="2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2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2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r>
    </w:tbl>
    <w:p>
      <w:pPr>
        <w:spacing w:after="0" w:line="214" w:lineRule="exact"/>
        <w:rPr>
          <w:sz w:val="20"/>
          <w:szCs w:val="20"/>
          <w:color w:val="auto"/>
        </w:rPr>
      </w:pPr>
    </w:p>
    <w:p>
      <w:pPr>
        <w:ind w:right="4040" w:firstLine="4"/>
        <w:spacing w:after="0" w:line="402" w:lineRule="auto"/>
        <w:tabs>
          <w:tab w:leader="none" w:pos="4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15 November 2019, 400,000 LTIs were issued to employees and will vest immediately. The following table list the inputs to the model used for the LTIs granted:</w:t>
      </w:r>
    </w:p>
    <w:p>
      <w:pPr>
        <w:spacing w:after="0" w:line="104"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15/11/2019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180" w:type="dxa"/>
            <w:vAlign w:val="bottom"/>
          </w:tcPr>
          <w:p>
            <w:pPr>
              <w:ind w:left="1940"/>
              <w:spacing w:after="0"/>
              <w:rPr>
                <w:sz w:val="20"/>
                <w:szCs w:val="20"/>
                <w:color w:val="auto"/>
              </w:rPr>
            </w:pPr>
            <w:r>
              <w:rPr>
                <w:rFonts w:ascii="Arial" w:cs="Arial" w:eastAsia="Arial" w:hAnsi="Arial"/>
                <w:sz w:val="18"/>
                <w:szCs w:val="18"/>
                <w:color w:val="auto"/>
                <w:w w:val="99"/>
              </w:rPr>
              <w:t>A$</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0.590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Exercised price</w:t>
            </w:r>
          </w:p>
        </w:tc>
        <w:tc>
          <w:tcPr>
            <w:tcW w:w="218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99"/>
              </w:rPr>
              <w:t>A$</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nil</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life of LTIs (days)</w:t>
            </w:r>
          </w:p>
        </w:tc>
        <w:tc>
          <w:tcPr>
            <w:tcW w:w="21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3,650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vesting period (days)</w:t>
            </w:r>
          </w:p>
        </w:tc>
        <w:tc>
          <w:tcPr>
            <w:tcW w:w="2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2"/>
              </w:rPr>
              <w:t>Immediately</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Dividend yield (%)</w:t>
            </w:r>
          </w:p>
        </w:tc>
        <w:tc>
          <w:tcPr>
            <w:tcW w:w="2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2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2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r>
    </w:tbl>
    <w:p>
      <w:pPr>
        <w:spacing w:after="0" w:line="332" w:lineRule="exact"/>
        <w:rPr>
          <w:sz w:val="20"/>
          <w:szCs w:val="20"/>
          <w:color w:val="auto"/>
        </w:rPr>
      </w:pPr>
    </w:p>
    <w:p>
      <w:pPr>
        <w:ind w:left="440" w:hanging="436"/>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Other than employment matters and indemnification agreements between our directors and executive officers, related party transactions were limited to director fees, consultancy fees and travel reimbursements paid under normal terms and conditions to Bioscience Managers Pty Ltd of which Mr. Jeremy Curnock-Cook is an officer and Dr. Michael Perry is a Director. Total fees paid to Bioscience Managers Pty Ltd were A$50,926 and A$51,802 for the half-years ended 31 December 2019 and 2018, respectively (and are directors’ fees paid to Mr. Jeremy Curnock-Cook).</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Details of all related party transactions have been disclosed in the annual report for the year ended 30 June 2019. There have been no new significant related party transactions during the interim period.</w:t>
      </w:r>
    </w:p>
    <w:p>
      <w:pPr>
        <w:spacing w:after="0" w:line="315" w:lineRule="exact"/>
        <w:rPr>
          <w:sz w:val="20"/>
          <w:szCs w:val="20"/>
          <w:color w:val="auto"/>
        </w:rPr>
      </w:pPr>
    </w:p>
    <w:p>
      <w:pPr>
        <w:ind w:left="440" w:hanging="436"/>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From the end of the reporting period to the date of this report, no matter or circumstance has arisen which has significantly affected, or may significantly affect, the operations of the Group, the results of those operations or the state of affairs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6997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020"/>
          </w:cols>
          <w:pgMar w:left="440" w:top="270"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Avita Medical Limited </w:t>
      </w:r>
      <w:r>
        <w:rPr>
          <w:rFonts w:ascii="Arial" w:cs="Arial" w:eastAsia="Arial" w:hAnsi="Arial"/>
          <w:sz w:val="18"/>
          <w:szCs w:val="18"/>
          <w:b w:val="1"/>
          <w:bCs w:val="1"/>
          <w:color w:val="auto"/>
        </w:rPr>
        <w:t>–</w:t>
      </w:r>
      <w:r>
        <w:rPr>
          <w:rFonts w:ascii="Arial" w:cs="Arial" w:eastAsia="Arial" w:hAnsi="Arial"/>
          <w:sz w:val="18"/>
          <w:szCs w:val="18"/>
          <w:color w:val="auto"/>
        </w:rPr>
        <w:t xml:space="preserve"> Half-Year Report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DECLARATION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HALF-YEAR ENDED 31 DECEMBER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DECLARATION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 resolution of the Directors of Avita Medical Limited, I state that: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opinion of the Directors:</w:t>
      </w:r>
    </w:p>
    <w:p>
      <w:pPr>
        <w:spacing w:after="0" w:line="131" w:lineRule="exact"/>
        <w:rPr>
          <w:sz w:val="20"/>
          <w:szCs w:val="20"/>
          <w:color w:val="auto"/>
        </w:rPr>
      </w:pPr>
    </w:p>
    <w:p>
      <w:pPr>
        <w:ind w:left="980" w:hanging="54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financial statements and notes of the consolidated entity are in accordance with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including:</w:t>
      </w:r>
    </w:p>
    <w:p>
      <w:pPr>
        <w:spacing w:after="0" w:line="130" w:lineRule="exact"/>
        <w:rPr>
          <w:rFonts w:ascii="Arial" w:cs="Arial" w:eastAsia="Arial" w:hAnsi="Arial"/>
          <w:sz w:val="18"/>
          <w:szCs w:val="18"/>
          <w:color w:val="auto"/>
        </w:rPr>
      </w:pPr>
    </w:p>
    <w:p>
      <w:pPr>
        <w:ind w:left="1420" w:right="20" w:hanging="430"/>
        <w:spacing w:after="0" w:line="277"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Giving a true and fair view of the financial position at 31 December 2019 and the performance for the half-year ended on that date of the consolidated entity; and</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Complying with Accounting Standard IAS 134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and the Corporations Regulations 2001;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there are reasonable grounds to believe that the company will be able to pay its debts as and when they become due and payable.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1389380" cy="660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8938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Michael Perry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and 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19 February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Valencia, California,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020"/>
          </w:cols>
          <w:pgMar w:left="440" w:top="270" w:right="439" w:bottom="1440" w:gutter="0" w:footer="0" w:header="0"/>
        </w:sectPr>
      </w:pPr>
    </w:p>
    <w:bookmarkStart w:id="34" w:name="page35"/>
    <w:bookmarkEnd w:id="34"/>
    <w:p>
      <w:pPr>
        <w:ind w:left="7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946910" cy="43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946910" cy="437515"/>
                    </a:xfrm>
                    <a:prstGeom prst="rect">
                      <a:avLst/>
                    </a:prstGeom>
                    <a:noFill/>
                  </pic:spPr>
                </pic:pic>
              </a:graphicData>
            </a:graphic>
          </wp:anchor>
        </w:drawing>
        <w:t>Level 17, 383 Kent Street</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Sydney NSW 2000</w:t>
      </w:r>
    </w:p>
    <w:p>
      <w:pPr>
        <w:spacing w:after="0" w:line="1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Correspondence to:</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Locked Bag Q800</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QVB Post Office</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Sydney NSW 1230</w:t>
      </w:r>
    </w:p>
    <w:p>
      <w:pPr>
        <w:spacing w:after="0" w:line="1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+61 2 8297 2400</w:t>
      </w:r>
    </w:p>
    <w:p>
      <w:pPr>
        <w:spacing w:after="0" w:line="27"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+61 2 9299 4445</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u w:val="single" w:color="auto"/>
          <w:color w:val="auto"/>
        </w:rPr>
        <w:t>info.nsw@au.gt.com</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 xml:space="preserve">W </w:t>
      </w:r>
      <w:r>
        <w:rPr>
          <w:rFonts w:ascii="Arial" w:cs="Arial" w:eastAsia="Arial" w:hAnsi="Arial"/>
          <w:sz w:val="18"/>
          <w:szCs w:val="18"/>
          <w:color w:val="auto"/>
        </w:rPr>
        <w:t>www.grantthornton.com.au</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Members of Avita Medical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review of the half year financial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1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have reviewed the accompanying half year financial report of Avita Medical Limited (the Company) and its subsidiaries (the Group), which comprises the consolidated condensed statement of financial position as at 31 December 2019, and the consolidated condensed statement of profit or loss and other comprehensive income, consolidated condensed statement of changes in equity and consolidated condensed statement of cash flows for the half year ended on that date, a description of accounting policies, other selected explanatory notes, and the directors’ declaration.</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Based on our review, which is not an audit, nothing has come to our attention that causes us to believe that the half year financial report of Avita Medical Limited does not give a true and fair view of the financial position of the Group as at 31 December 2019, and of its financial performance and its cash flows for the half year ended on that date, in accordance with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including complying with Accounting Standard AASB 134 </w:t>
      </w:r>
      <w:r>
        <w:rPr>
          <w:rFonts w:ascii="Arial" w:cs="Arial" w:eastAsia="Arial" w:hAnsi="Arial"/>
          <w:sz w:val="18"/>
          <w:szCs w:val="18"/>
          <w:i w:val="1"/>
          <w:iCs w:val="1"/>
          <w:color w:val="auto"/>
        </w:rPr>
        <w:t>Interim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responsibility for the half year financial report</w:t>
      </w:r>
    </w:p>
    <w:p>
      <w:pPr>
        <w:spacing w:after="0" w:line="121"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 xml:space="preserve">The Directors of the Company are responsible for the preparation of the half year financial report that gives a true and fair view in accordance with Australian Accounting Standards and the </w:t>
      </w:r>
      <w:r>
        <w:rPr>
          <w:rFonts w:ascii="Arial" w:cs="Arial" w:eastAsia="Arial" w:hAnsi="Arial"/>
          <w:sz w:val="16"/>
          <w:szCs w:val="16"/>
          <w:i w:val="1"/>
          <w:iCs w:val="1"/>
          <w:color w:val="auto"/>
        </w:rPr>
        <w:t>Corporations Act 2001</w:t>
      </w:r>
      <w:r>
        <w:rPr>
          <w:rFonts w:ascii="Arial" w:cs="Arial" w:eastAsia="Arial" w:hAnsi="Arial"/>
          <w:sz w:val="16"/>
          <w:szCs w:val="16"/>
          <w:color w:val="auto"/>
        </w:rPr>
        <w:t xml:space="preserve"> and for such internal control as the Directors determine is necessary to enable the preparation of the half year financial report that gives a true and fair view and is free from material misstatement, whether due to fraud or error.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responsibility is to express a conclusion on the half year financial report based on our review. We conducted our review in accordance with Auditing Standard on Review Engagements ASRE 2410 </w:t>
      </w:r>
      <w:r>
        <w:rPr>
          <w:rFonts w:ascii="Arial" w:cs="Arial" w:eastAsia="Arial" w:hAnsi="Arial"/>
          <w:sz w:val="18"/>
          <w:szCs w:val="18"/>
          <w:i w:val="1"/>
          <w:iCs w:val="1"/>
          <w:color w:val="auto"/>
        </w:rPr>
        <w:t>Review of a Financial Report Performed by the Independent Auditor of the Entity,</w:t>
      </w:r>
      <w:r>
        <w:rPr>
          <w:rFonts w:ascii="Arial" w:cs="Arial" w:eastAsia="Arial" w:hAnsi="Arial"/>
          <w:sz w:val="18"/>
          <w:szCs w:val="18"/>
          <w:color w:val="auto"/>
        </w:rPr>
        <w:t xml:space="preserve"> in order to state whether, on the basis of the procedures described, we have become aware of any matter that makes us believe that the half year financial report is not in accordance with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including giving a true and fair view of the Group’s financial position as at 31 December 2019 and its performance for the half year ended on that date, and complying with Accounting Standard AASB 134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Corporations Regulations 2001. </w:t>
      </w:r>
      <w:r>
        <w:rPr>
          <w:rFonts w:ascii="Arial" w:cs="Arial" w:eastAsia="Arial" w:hAnsi="Arial"/>
          <w:sz w:val="18"/>
          <w:szCs w:val="18"/>
          <w:color w:val="auto"/>
        </w:rPr>
        <w:t>As the auditor of Avita Medical Limited, ASRE 2410 requires that we comply with the ethical requirements relevant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of the annual financial report.</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review of a half year financial report consists of making enquiries, primarily of persons responsible for financial and accounting matters, and applying analytical and other review procedures. A review is substantially less in scope than an audit conducted in accordance with Australian Auditing Standards and consequently does not enable us to obtain assurance that we would become aware of all significant matters that might be identified in an audit. Accordingly, we do not express an audit opinion.</w:t>
      </w:r>
    </w:p>
    <w:p>
      <w:pPr>
        <w:sectPr>
          <w:pgSz w:w="11900" w:h="16838" w:orient="portrait"/>
          <w:cols w:equalWidth="0" w:num="1">
            <w:col w:w="11020"/>
          </w:cols>
          <w:pgMar w:left="440" w:top="1206" w:right="4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Grant Thornton Audit Pty Ltd ACN 130 913 594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subsidiary or related entity of Grant Thornton Australia Ltd ABN 41 127 556 389</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www.grantthornton.com.au</w:t>
      </w:r>
    </w:p>
    <w:p>
      <w:pPr>
        <w:spacing w:after="0" w:line="360" w:lineRule="exact"/>
        <w:rPr>
          <w:sz w:val="20"/>
          <w:szCs w:val="20"/>
          <w:color w:val="auto"/>
        </w:rPr>
      </w:pPr>
    </w:p>
    <w:p>
      <w:pPr>
        <w:sectPr>
          <w:pgSz w:w="11900" w:h="16838" w:orient="portrait"/>
          <w:cols w:equalWidth="0" w:num="2">
            <w:col w:w="6900" w:space="720"/>
            <w:col w:w="3400"/>
          </w:cols>
          <w:pgMar w:left="440" w:top="1206" w:right="439" w:bottom="1440" w:gutter="0" w:footer="0" w:header="0"/>
          <w:type w:val="continuous"/>
        </w:sectPr>
      </w:pPr>
    </w:p>
    <w:p>
      <w:pPr>
        <w:ind w:right="3560"/>
        <w:spacing w:after="0" w:line="289" w:lineRule="auto"/>
        <w:rPr>
          <w:sz w:val="20"/>
          <w:szCs w:val="20"/>
          <w:color w:val="auto"/>
        </w:rPr>
      </w:pPr>
      <w:r>
        <w:rPr>
          <w:rFonts w:ascii="Arial" w:cs="Arial" w:eastAsia="Arial" w:hAnsi="Arial"/>
          <w:sz w:val="16"/>
          <w:szCs w:val="16"/>
          <w:color w:val="auto"/>
        </w:rPr>
        <w:t>‘Grant Thornton’ refers to the brand under which the Grant Thornton member firms provide assurance, tax and advisory services to their clients and/or refers to one or more member firms, as the context requires. Grant Thornton Australia Ltd is a member firm of Grant Thornton International Ltd (GTIL). GTIL and the member firms are not a worldwide partnership. GTIL and each member firm is a separate legal entity. Services are delivered by the member firms. GTIL does not provide services to clients. GTIL and its member firms are not agents of, and do not obligate one another and are not liable for one another’s acts or omissions. In the Australian context only, the use of the term ‘Grant Thornton’ may refer to Grant Thornton Australia Limited ABN 41 127 556 389 and its Australian subsidiaries and related entities. GTIL is not an Australian related entity to Grant Thornton Australia Limited.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Liability limited by a scheme approved under Professional Standards Legislation.</w:t>
      </w:r>
    </w:p>
    <w:p>
      <w:pPr>
        <w:sectPr>
          <w:pgSz w:w="11900" w:h="16838" w:orient="portrait"/>
          <w:cols w:equalWidth="0" w:num="1">
            <w:col w:w="11020"/>
          </w:cols>
          <w:pgMar w:left="440" w:top="1206" w:right="4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946910" cy="43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4691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conducting our review, we have complied with the independence requirements of the </w:t>
      </w:r>
      <w:r>
        <w:rPr>
          <w:rFonts w:ascii="Arial" w:cs="Arial" w:eastAsia="Arial" w:hAnsi="Arial"/>
          <w:sz w:val="18"/>
          <w:szCs w:val="18"/>
          <w:i w:val="1"/>
          <w:iCs w:val="1"/>
          <w:color w:val="auto"/>
        </w:rPr>
        <w:t>Corporations Act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943610" cy="3600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36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Grant Thornton Audit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943610" cy="531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436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 R Leivesley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 – Audit &amp; Assurance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February 2020</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a"/>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2"/>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lowerLetter"/>
      <w:start w:val="2"/>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lowerLetter"/>
      <w:start w:val="3"/>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lowerLetter"/>
      <w:start w:val="3"/>
    </w:lvl>
  </w:abstractNum>
  <w:abstractNum w:abstractNumId="11">
    <w:nsid w:val="189A769B"/>
    <w:multiLevelType w:val="hybridMultilevel"/>
    <w:lvl w:ilvl="0">
      <w:lvlJc w:val="left"/>
      <w:lvlText w:val="%1)"/>
      <w:numFmt w:val="lowerLetter"/>
      <w:start w:val="4"/>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lowerLetter"/>
      <w:start w:val="5"/>
    </w:lvl>
  </w:abstractNum>
  <w:abstractNum w:abstractNumId="14">
    <w:nsid w:val="2CA88611"/>
    <w:multiLevelType w:val="hybridMultilevel"/>
    <w:lvl w:ilvl="0">
      <w:lvlJc w:val="left"/>
      <w:lvlText w:val="%1."/>
      <w:numFmt w:val="decimal"/>
      <w:start w:val="2"/>
    </w:lvl>
  </w:abstractNum>
  <w:abstractNum w:abstractNumId="15">
    <w:nsid w:val="836C40E"/>
    <w:multiLevelType w:val="hybridMultilevel"/>
    <w:lvl w:ilvl="0">
      <w:lvlJc w:val="left"/>
      <w:lvlText w:val="%1."/>
      <w:numFmt w:val="decimal"/>
      <w:start w:val="3"/>
    </w:lvl>
  </w:abstractNum>
  <w:abstractNum w:abstractNumId="16">
    <w:nsid w:val="2901D82"/>
    <w:multiLevelType w:val="hybridMultilevel"/>
    <w:lvl w:ilvl="0">
      <w:lvlJc w:val="left"/>
      <w:lvlText w:val="%1."/>
      <w:numFmt w:val="decimal"/>
      <w:start w:val="4"/>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5"/>
    </w:lvl>
  </w:abstractNum>
  <w:abstractNum w:abstractNumId="19">
    <w:nsid w:val="1E7FF521"/>
    <w:multiLevelType w:val="hybridMultilevel"/>
    <w:lvl w:ilvl="0">
      <w:lvlJc w:val="left"/>
      <w:lvlText w:val="%1."/>
      <w:numFmt w:val="decimal"/>
      <w:start w:val="6"/>
    </w:lvl>
  </w:abstractNum>
  <w:abstractNum w:abstractNumId="20">
    <w:nsid w:val="7C3DBD3D"/>
    <w:multiLevelType w:val="hybridMultilevel"/>
    <w:lvl w:ilvl="0">
      <w:lvlJc w:val="left"/>
      <w:lvlText w:val="%1."/>
      <w:numFmt w:val="decimal"/>
      <w:start w:val="7"/>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2"/>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8"/>
    </w:lvl>
  </w:abstractNum>
  <w:abstractNum w:abstractNumId="25">
    <w:nsid w:val="3006C83E"/>
    <w:multiLevelType w:val="hybridMultilevel"/>
    <w:lvl w:ilvl="0">
      <w:lvlJc w:val="left"/>
      <w:lvlText w:val="(%1)"/>
      <w:numFmt w:val="lowerLetter"/>
      <w:start w:val="2"/>
    </w:lvl>
  </w:abstractNum>
  <w:abstractNum w:abstractNumId="26">
    <w:nsid w:val="614FD4A1"/>
    <w:multiLevelType w:val="hybridMultilevel"/>
    <w:lvl w:ilvl="0">
      <w:lvlJc w:val="left"/>
      <w:lvlText w:val="%1)"/>
      <w:numFmt w:val="lowerRoman"/>
      <w:start w:val="1"/>
    </w:lvl>
  </w:abstractNum>
  <w:abstractNum w:abstractNumId="27">
    <w:nsid w:val="419AC241"/>
    <w:multiLevelType w:val="hybridMultilevel"/>
    <w:lvl w:ilvl="0">
      <w:lvlJc w:val="left"/>
      <w:lvlText w:val="%1)"/>
      <w:numFmt w:val="lowerRoman"/>
      <w:start w:val="2"/>
    </w:lvl>
  </w:abstractNum>
  <w:abstractNum w:abstractNumId="28">
    <w:nsid w:val="5577F8E1"/>
    <w:multiLevelType w:val="hybridMultilevel"/>
    <w:lvl w:ilvl="0">
      <w:lvlJc w:val="left"/>
      <w:lvlText w:val="%1."/>
      <w:numFmt w:val="decimal"/>
      <w:start w:val="8"/>
    </w:lvl>
  </w:abstractNum>
  <w:abstractNum w:abstractNumId="29">
    <w:nsid w:val="440BADFC"/>
    <w:multiLevelType w:val="hybridMultilevel"/>
    <w:lvl w:ilvl="0">
      <w:lvlJc w:val="left"/>
      <w:lvlText w:val="(%1)"/>
      <w:numFmt w:val="lowerLetter"/>
      <w:start w:val="2"/>
    </w:lvl>
  </w:abstractNum>
  <w:abstractNum w:abstractNumId="30">
    <w:nsid w:val="5072367"/>
    <w:multiLevelType w:val="hybridMultilevel"/>
    <w:lvl w:ilvl="0">
      <w:lvlJc w:val="left"/>
      <w:lvlText w:val="%1)"/>
      <w:numFmt w:val="lowerRoman"/>
      <w:start w:val="3"/>
    </w:lvl>
    <w:lvl w:ilvl="1">
      <w:lvlJc w:val="left"/>
      <w:lvlText w:val="%2."/>
      <w:numFmt w:val="decimal"/>
      <w:start w:val="1"/>
    </w:lvl>
  </w:abstractNum>
  <w:abstractNum w:abstractNumId="31">
    <w:nsid w:val="3804823E"/>
    <w:multiLevelType w:val="hybridMultilevel"/>
    <w:lvl w:ilvl="0">
      <w:lvlJc w:val="left"/>
      <w:lvlText w:val="%1."/>
      <w:numFmt w:val="decimal"/>
      <w:start w:val="8"/>
    </w:lvl>
  </w:abstractNum>
  <w:abstractNum w:abstractNumId="32">
    <w:nsid w:val="77465F01"/>
    <w:multiLevelType w:val="hybridMultilevel"/>
    <w:lvl w:ilvl="0">
      <w:lvlJc w:val="left"/>
      <w:lvlText w:val="(%1)"/>
      <w:numFmt w:val="lowerLetter"/>
      <w:start w:val="3"/>
    </w:lvl>
  </w:abstractNum>
  <w:abstractNum w:abstractNumId="33">
    <w:nsid w:val="7724C67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4">
    <w:nsid w:val="5C482A97"/>
    <w:multiLevelType w:val="hybridMultilevel"/>
    <w:lvl w:ilvl="0">
      <w:lvlJc w:val="left"/>
      <w:lvlText w:val="%1."/>
      <w:numFmt w:val="decimal"/>
      <w:start w:val="8"/>
    </w:lvl>
  </w:abstractNum>
  <w:abstractNum w:abstractNumId="35">
    <w:nsid w:val="2463B9EA"/>
    <w:multiLevelType w:val="hybridMultilevel"/>
    <w:lvl w:ilvl="0">
      <w:lvlJc w:val="left"/>
      <w:lvlText w:val="(%1)"/>
      <w:numFmt w:val="lowerLetter"/>
      <w:start w:val="3"/>
    </w:lvl>
  </w:abstractNum>
  <w:abstractNum w:abstractNumId="36">
    <w:nsid w:val="5E884ADC"/>
    <w:multiLevelType w:val="hybridMultilevel"/>
    <w:lvl w:ilvl="0">
      <w:lvlJc w:val="left"/>
      <w:lvlText w:val="%1)"/>
      <w:numFmt w:val="lowerRoman"/>
      <w:start w:val="2"/>
    </w:lvl>
  </w:abstractNum>
  <w:abstractNum w:abstractNumId="37">
    <w:nsid w:val="51EAD36B"/>
    <w:multiLevelType w:val="hybridMultilevel"/>
    <w:lvl w:ilvl="0">
      <w:lvlJc w:val="left"/>
      <w:lvlText w:val="%1)"/>
      <w:numFmt w:val="lowerRoman"/>
      <w:start w:val="3"/>
    </w:lvl>
  </w:abstractNum>
  <w:abstractNum w:abstractNumId="38">
    <w:nsid w:val="2D517796"/>
    <w:multiLevelType w:val="hybridMultilevel"/>
    <w:lvl w:ilvl="0">
      <w:lvlJc w:val="left"/>
      <w:lvlText w:val="%1."/>
      <w:numFmt w:val="decimal"/>
      <w:start w:val="9"/>
    </w:lvl>
  </w:abstractNum>
  <w:abstractNum w:abstractNumId="39">
    <w:nsid w:val="580BD78F"/>
    <w:multiLevelType w:val="hybridMultilevel"/>
    <w:lvl w:ilvl="0">
      <w:lvlJc w:val="left"/>
      <w:lvlText w:val="%1."/>
      <w:numFmt w:val="decimal"/>
      <w:start w:val="10"/>
    </w:lvl>
  </w:abstractNum>
  <w:abstractNum w:abstractNumId="40">
    <w:nsid w:val="153EA43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2020-02-19T16:19:18Z</dcterms:created>
  <dcterms:modified xsi:type="dcterms:W3CDTF">2020-02-19T16:19:18Z</dcterms:modified>
</cp:coreProperties>
</file>