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13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4</w:t>
            </w:r>
          </w:p>
        </w:tc>
        <w:tc>
          <w:tcPr>
            <w:tcW w:w="6200" w:type="dxa"/>
            <w:vAlign w:val="bottom"/>
            <w:gridSpan w:val="21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200" w:type="dxa"/>
            <w:vAlign w:val="bottom"/>
            <w:gridSpan w:val="21"/>
            <w:vMerge w:val="restart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0" w:type="dxa"/>
            <w:vAlign w:val="bottom"/>
            <w:gridSpan w:val="21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5520" w:type="dxa"/>
            <w:vAlign w:val="bottom"/>
            <w:gridSpan w:val="19"/>
            <w:vMerge w:val="restart"/>
          </w:tcPr>
          <w:p>
            <w:pPr>
              <w:jc w:val="center"/>
              <w:ind w:left="5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Instruction 1(b).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52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20" w:type="dxa"/>
            <w:vAlign w:val="bottom"/>
            <w:gridSpan w:val="19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gridSpan w:val="11"/>
          </w:tcPr>
          <w:p>
            <w:pPr>
              <w:jc w:val="center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1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1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1"/>
                </w:rPr>
                <w:t>Quick Andrew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11"/>
          </w:tcPr>
          <w:p>
            <w:pPr>
              <w:spacing w:after="0" w:line="105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AVITA Medical,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RCEL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06/06/2023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6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Chief Technology Officer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ind w:left="20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AVITA MEDICAL, INC.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28159 AVENUE STANFORD, SUITE 220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gridSpan w:val="1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gridSpan w:val="1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1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VALENCIA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91355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</w:rPr>
              <w:t>Rule 10b5-1(c) Transaction Indication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0" w:type="dxa"/>
            <w:vAlign w:val="bottom"/>
            <w:gridSpan w:val="2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to indicate that a transaction was made pursuant to a contract, instruction or written plan that is intended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0" w:type="dxa"/>
            <w:vAlign w:val="bottom"/>
            <w:gridSpan w:val="2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40" w:type="dxa"/>
            <w:vAlign w:val="bottom"/>
            <w:gridSpan w:val="15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satisfy the affirmative defense conditions of Rule 10b5-1(c). See Instruction 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9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14.17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06/06/2023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06/06/2033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60,000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-9525</wp:posOffset>
            </wp:positionH>
            <wp:positionV relativeFrom="paragraph">
              <wp:posOffset>-5760085</wp:posOffset>
            </wp:positionV>
            <wp:extent cx="7045960" cy="59137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913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23" w:right="359" w:bottom="1440" w:gutter="0" w:footer="0" w:header="0"/>
        </w:sectPr>
      </w:pP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Stock Options vest in three equal annual installments beginning on the date 12 months following the grant date.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Donna Shiroma, by power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3810</wp:posOffset>
            </wp:positionV>
            <wp:extent cx="126682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-13970</wp:posOffset>
            </wp:positionV>
            <wp:extent cx="46990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06/08/2023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3810</wp:posOffset>
            </wp:positionV>
            <wp:extent cx="49149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80" w:space="200"/>
            <w:col w:w="2300"/>
          </w:cols>
          <w:pgMar w:left="460" w:top="223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00" w:firstLine="4"/>
        <w:spacing w:after="0" w:line="312" w:lineRule="auto"/>
        <w:tabs>
          <w:tab w:leader="none" w:pos="17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817682" TargetMode="External"/><Relationship Id="rId9" Type="http://schemas.openxmlformats.org/officeDocument/2006/relationships/hyperlink" Target="http://www.sec.gov/cgi-bin/browse-edgar?action=getcompany&amp;CIK=00017623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2023-06-08T15:45:15Z</dcterms:created>
  <dcterms:modified xsi:type="dcterms:W3CDTF">2023-06-08T15:45:15Z</dcterms:modified>
</cp:coreProperties>
</file>