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On March 1, 2021, AVITA Medical, Inc., a Delaware corporation (the “Company”) issued a press release announcing the successful closing of an underwritten registered public offering of its shares of common stock, the details of which were previously released to the market on February 24, 2021 and provided on a separate Form 8-K filed by the Company on March 1, 2021. A copy of the Company’s press release is attached as Exhibit 99.1 and is incorporated by reference herein.</w:t>
      </w:r>
    </w:p>
    <w:p>
      <w:pPr>
        <w:spacing w:after="0" w:line="18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Additionally, on March 1, 2021, the Company made an announcement on the Australian Securities Exchange (the “ASX”) pursuant to section 708A(5)(e) of the Corporations Act 2001 (Cth), as modified by Australian Securities and Investment Commission Class Order 14/827. A copy of the Company’s ASX announcement is attached as Exhibit 99.2 and is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5"/>
        </w:trPr>
        <w:tc>
          <w:tcPr>
            <w:tcW w:w="8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No.</w:t>
            </w:r>
          </w:p>
        </w:tc>
        <w:tc>
          <w:tcPr>
            <w:tcW w:w="3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3040" w:type="dxa"/>
            <w:vAlign w:val="bottom"/>
            <w:tcBorders>
              <w:top w:val="single" w:sz="8" w:color="auto"/>
            </w:tcBorders>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March 1, 2021</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3040" w:type="dxa"/>
            <w:vAlign w:val="bottom"/>
            <w:gridSpan w:val="2"/>
          </w:tcPr>
          <w:p>
            <w:pPr>
              <w:spacing w:after="0"/>
              <w:rPr>
                <w:rFonts w:ascii="Arial" w:cs="Arial" w:eastAsia="Arial" w:hAnsi="Arial"/>
                <w:sz w:val="18"/>
                <w:szCs w:val="18"/>
                <w:u w:val="single" w:color="auto"/>
                <w:color w:val="0000EE"/>
                <w:w w:val="90"/>
              </w:rPr>
            </w:pPr>
            <w:hyperlink w:anchor="page7">
              <w:r>
                <w:rPr>
                  <w:rFonts w:ascii="Arial" w:cs="Arial" w:eastAsia="Arial" w:hAnsi="Arial"/>
                  <w:sz w:val="18"/>
                  <w:szCs w:val="18"/>
                  <w:u w:val="single" w:color="auto"/>
                  <w:color w:val="0000EE"/>
                  <w:w w:val="90"/>
                </w:rPr>
                <w:t>ASX Announcement dated March 1, 2021</w:t>
              </w:r>
            </w:hyperlink>
          </w:p>
        </w:tc>
        <w:tc>
          <w:tcPr>
            <w:tcW w:w="0" w:type="dxa"/>
            <w:vAlign w:val="bottom"/>
          </w:tcPr>
          <w:p>
            <w:pPr>
              <w:spacing w:after="0"/>
              <w:rPr>
                <w:sz w:val="1"/>
                <w:szCs w:val="1"/>
                <w:color w:val="auto"/>
              </w:rPr>
            </w:pPr>
          </w:p>
        </w:tc>
      </w:tr>
    </w:tbl>
    <w:p>
      <w:pPr>
        <w:sectPr>
          <w:pgSz w:w="11900" w:h="16838" w:orient="portrait"/>
          <w:cols w:equalWidth="0" w:num="1">
            <w:col w:w="10920"/>
          </w:cols>
          <w:pgMar w:left="440" w:top="270" w:right="5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 ANNOUNCES CLOSING OF OFFERING OF 3,214,250 SHARES OF COMMON STOCK</w:t>
      </w:r>
    </w:p>
    <w:p>
      <w:pPr>
        <w:spacing w:after="0" w:line="225"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VALENCIA, CA, March 1, 2021 and MELBOURNE, Australia, March 2, 2021 – </w:t>
      </w:r>
      <w:r>
        <w:rPr>
          <w:rFonts w:ascii="Arial" w:cs="Arial" w:eastAsia="Arial" w:hAnsi="Arial"/>
          <w:sz w:val="17"/>
          <w:szCs w:val="17"/>
          <w:color w:val="auto"/>
        </w:rPr>
        <w:t>AVITA Medical, Inc. (Nasdaq: RCEL; ASX: AVH) (“AVITA</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a regenerative medicine company that is developing and commercializing a technology platform that enables point-of-care autologous skin restoration for multiple unmet needs, today announced the successful closing of an underwritten registered public offering of its shares of common stock, the details of which were released to the market on February 24, 2021 (United States) / February 25, 2021 (Australia).</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AVITA Medical has issued 3,214,250 shares of common stock at the offering price of US$21.50 per share. This amount includes 419,250 shares of common stock issued upon the exercise in full by the underwriters of their option to purchase additional shares. The gross proceeds from the offering are approximately US$69.1 million, before deducting underwriting discounts and commissions and estimated offering expenses.</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AVITA Medical expects to use the net proceeds from the offering to fund its product development pipeline, to pursue approvals of its products for additional indications and for general corporate purposes, which may include licensing arrangements.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Piper Sandler &amp; Co. and Cowen and Company, LLC acted as joint book-running managers for the offering. BTIG, LLC acted as lead manager and Lake Street Capital Markets, LLC acted as co-manager for the offering.</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offering was made pursuant to a shelf registration statement on Form S-3 (File No. 333-249419) that was previously filed with the Securities and Exchange Commission (the “SEC”) on October 9, 2020 and declared effective on October 16, 2020 and that was also publicly released on the Australian Securities Exchange (“ASX”). The final prospectus supplement relating to and describing the terms of the offering was filed with the SEC and released on the ASX on February 25, 2021 (in the United States) / March 1, 2021 (in Australia). A copy of these documents may be obtained by visiting EDGAR on the SEC’s website at www.sec.gov or by contacting Piper Sandler &amp; Co., Attention: Prospectus Department, 800 Nicollet Mall, J12S03, Minneapolis, Minnesota 55402, by e-mail at prospectus@psc.com, or by phone at (800) 747-3924, or Cowen and Company, LLC, c/o Broadridge Financial Solutions, 1155 Long Island Avenue, Edgewood, NY 11717, Attention: Prospectus Department, by telephone at (833) 297-2926 or by email at PostSaleManualRequests@broadridge.com.</w:t>
      </w:r>
    </w:p>
    <w:p>
      <w:pPr>
        <w:spacing w:after="0" w:line="1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This announcement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AVITA Medical, Inc.:</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3"/>
          <w:szCs w:val="13"/>
          <w:color w:val="auto"/>
        </w:rPr>
        <w:t>®</w:t>
      </w:r>
      <w:r>
        <w:rPr>
          <w:rFonts w:ascii="Arial" w:cs="Arial" w:eastAsia="Arial" w:hAnsi="Arial"/>
          <w:sz w:val="16"/>
          <w:szCs w:val="16"/>
          <w:color w:val="auto"/>
        </w:rPr>
        <w:t xml:space="preserve"> Autologous Cell Harvesting Device for a full description of indications for use and important safety information including contraindications, warnings and precautions.</w:t>
      </w:r>
    </w:p>
    <w:p>
      <w:pPr>
        <w:spacing w:after="0" w:line="16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announcement contains “forward-looking statements” within the meaning of Section 27A of the Private Securities Litigation Reform Act of 1995. Although the forward-looking statements in this announcement reflect the good faith judgment of management, forward-looking statements are inherently subject to known and unknown risks and uncertainties that may cause actual results to be materially different from those discussed in these forward-looking statements. Readers are urged to carefully review and consider the various disclosures made by AVITA Medical in the reports it has filed with the SEC, including the “Risk Factors” section of the Company’s Annual Report 10-K for the year ended June 30, 2020 for a description of the risks that may affect its business, financial condition, results of operation and cash flows. If one or more of these risks or uncertainties materialize, or if the underlying assumptions prove incorrect, AVITA Medical’s actual results may vary materially from those expected or projected. Readers are urged not to place undue reliance on these forward-looking statements, which speak only as of the date of this announcement. AVITA Medical assumes no obligation to update any forward-looking statements in order to reflect any event or circumstance that may arise after the date of this announcement, except as required by law.</w:t>
      </w:r>
    </w:p>
    <w:p>
      <w:pPr>
        <w:sectPr>
          <w:pgSz w:w="11900" w:h="16838" w:orient="portrait"/>
          <w:cols w:equalWidth="0" w:num="1">
            <w:col w:w="10960"/>
          </w:cols>
          <w:pgMar w:left="440" w:top="270"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For Further Information:</w:t>
            </w:r>
          </w:p>
        </w:tc>
        <w:tc>
          <w:tcPr>
            <w:tcW w:w="20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65"/>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120" w:type="dxa"/>
            <w:vAlign w:val="bottom"/>
          </w:tcPr>
          <w:p>
            <w:pPr>
              <w:ind w:left="176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4120" w:type="dxa"/>
            <w:vAlign w:val="bottom"/>
          </w:tcPr>
          <w:p>
            <w:pPr>
              <w:ind w:left="1760"/>
              <w:spacing w:after="0"/>
              <w:rPr>
                <w:sz w:val="20"/>
                <w:szCs w:val="20"/>
                <w:color w:val="auto"/>
              </w:rPr>
            </w:pPr>
            <w:r>
              <w:rPr>
                <w:rFonts w:ascii="Arial" w:cs="Arial" w:eastAsia="Arial" w:hAnsi="Arial"/>
                <w:sz w:val="18"/>
                <w:szCs w:val="18"/>
                <w:color w:val="auto"/>
              </w:rPr>
              <w:t>Westwicke Partners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4120" w:type="dxa"/>
            <w:vAlign w:val="bottom"/>
          </w:tcPr>
          <w:p>
            <w:pPr>
              <w:ind w:left="1760"/>
              <w:spacing w:after="0"/>
              <w:rPr>
                <w:sz w:val="20"/>
                <w:szCs w:val="20"/>
                <w:color w:val="auto"/>
              </w:rPr>
            </w:pPr>
            <w:r>
              <w:rPr>
                <w:rFonts w:ascii="Arial" w:cs="Arial" w:eastAsia="Arial" w:hAnsi="Arial"/>
                <w:sz w:val="18"/>
                <w:szCs w:val="18"/>
                <w:color w:val="auto"/>
              </w:rPr>
              <w:t>Caroline Corner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Phone +1-615-414-8668</w:t>
            </w:r>
          </w:p>
        </w:tc>
        <w:tc>
          <w:tcPr>
            <w:tcW w:w="4120" w:type="dxa"/>
            <w:vAlign w:val="bottom"/>
          </w:tcPr>
          <w:p>
            <w:pPr>
              <w:ind w:left="1760"/>
              <w:spacing w:after="0"/>
              <w:rPr>
                <w:sz w:val="20"/>
                <w:szCs w:val="20"/>
                <w:color w:val="auto"/>
              </w:rPr>
            </w:pPr>
            <w:r>
              <w:rPr>
                <w:rFonts w:ascii="Arial" w:cs="Arial" w:eastAsia="Arial" w:hAnsi="Arial"/>
                <w:sz w:val="18"/>
                <w:szCs w:val="18"/>
                <w:color w:val="auto"/>
              </w:rPr>
              <w:t>Phone +1-415-202-5678</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christycurran@sambrown.com</w:t>
            </w:r>
          </w:p>
        </w:tc>
        <w:tc>
          <w:tcPr>
            <w:tcW w:w="4120" w:type="dxa"/>
            <w:vAlign w:val="bottom"/>
          </w:tcPr>
          <w:p>
            <w:pPr>
              <w:ind w:left="1760"/>
              <w:spacing w:after="0"/>
              <w:rPr>
                <w:sz w:val="20"/>
                <w:szCs w:val="20"/>
                <w:color w:val="auto"/>
              </w:rPr>
            </w:pPr>
            <w:r>
              <w:rPr>
                <w:rFonts w:ascii="Arial" w:cs="Arial" w:eastAsia="Arial" w:hAnsi="Arial"/>
                <w:sz w:val="18"/>
                <w:szCs w:val="18"/>
                <w:color w:val="auto"/>
                <w:w w:val="90"/>
              </w:rPr>
              <w:t>caroline.corner@westwicke.com</w:t>
            </w:r>
          </w:p>
        </w:tc>
      </w:tr>
      <w:tr>
        <w:trPr>
          <w:trHeight w:val="445"/>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120" w:type="dxa"/>
            <w:vAlign w:val="bottom"/>
          </w:tcPr>
          <w:p>
            <w:pPr>
              <w:spacing w:after="0"/>
              <w:rPr>
                <w:sz w:val="24"/>
                <w:szCs w:val="24"/>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4120" w:type="dxa"/>
            <w:vAlign w:val="bottom"/>
          </w:tcPr>
          <w:p>
            <w:pPr>
              <w:spacing w:after="0"/>
              <w:rPr>
                <w:sz w:val="18"/>
                <w:szCs w:val="18"/>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4120" w:type="dxa"/>
            <w:vAlign w:val="bottom"/>
          </w:tcPr>
          <w:p>
            <w:pPr>
              <w:spacing w:after="0"/>
              <w:rPr>
                <w:sz w:val="20"/>
                <w:szCs w:val="20"/>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PR 20210301B.</w:t>
      </w:r>
    </w:p>
    <w:p>
      <w:pPr>
        <w:sectPr>
          <w:pgSz w:w="11900" w:h="16838" w:orient="portrait"/>
          <w:cols w:equalWidth="0" w:num="1">
            <w:col w:w="11020"/>
          </w:cols>
          <w:pgMar w:left="440" w:top="257"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6586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58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 (ASX:AVH)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Cleansing Notice under section 708A(5)(e) of the Corporations Act 2001 (Cth)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Valencia, Calif., USA 1 March 2021 and Melbourne, Australia, 2 March 2021</w:t>
      </w:r>
      <w:r>
        <w:rPr>
          <w:rFonts w:ascii="Arial" w:cs="Arial" w:eastAsia="Arial" w:hAnsi="Arial"/>
          <w:sz w:val="16"/>
          <w:szCs w:val="16"/>
          <w:color w:val="auto"/>
        </w:rPr>
        <w:t>: On 1 March 2021 (United States) / 2 March 2021 (Australia), AVITA</w:t>
      </w:r>
      <w:r>
        <w:rPr>
          <w:rFonts w:ascii="Arial" w:cs="Arial" w:eastAsia="Arial" w:hAnsi="Arial"/>
          <w:sz w:val="16"/>
          <w:szCs w:val="16"/>
          <w:b w:val="1"/>
          <w:bCs w:val="1"/>
          <w:color w:val="auto"/>
        </w:rPr>
        <w:t xml:space="preserve"> </w:t>
      </w:r>
      <w:r>
        <w:rPr>
          <w:rFonts w:ascii="Arial" w:cs="Arial" w:eastAsia="Arial" w:hAnsi="Arial"/>
          <w:sz w:val="16"/>
          <w:szCs w:val="16"/>
          <w:color w:val="auto"/>
        </w:rPr>
        <w:t>Medical, Inc. (</w:t>
      </w:r>
      <w:r>
        <w:rPr>
          <w:rFonts w:ascii="Arial" w:cs="Arial" w:eastAsia="Arial" w:hAnsi="Arial"/>
          <w:sz w:val="16"/>
          <w:szCs w:val="16"/>
          <w:b w:val="1"/>
          <w:bCs w:val="1"/>
          <w:color w:val="auto"/>
        </w:rPr>
        <w:t>Company</w:t>
      </w:r>
      <w:r>
        <w:rPr>
          <w:rFonts w:ascii="Arial" w:cs="Arial" w:eastAsia="Arial" w:hAnsi="Arial"/>
          <w:sz w:val="16"/>
          <w:szCs w:val="16"/>
          <w:color w:val="auto"/>
        </w:rPr>
        <w:t>) issued a total of 3,214,250 fully paid shares of common stock in the Company (</w:t>
      </w:r>
      <w:r>
        <w:rPr>
          <w:rFonts w:ascii="Arial" w:cs="Arial" w:eastAsia="Arial" w:hAnsi="Arial"/>
          <w:sz w:val="16"/>
          <w:szCs w:val="16"/>
          <w:b w:val="1"/>
          <w:bCs w:val="1"/>
          <w:color w:val="auto"/>
        </w:rPr>
        <w:t>New Securities</w:t>
      </w:r>
      <w:r>
        <w:rPr>
          <w:rFonts w:ascii="Arial" w:cs="Arial" w:eastAsia="Arial" w:hAnsi="Arial"/>
          <w:sz w:val="16"/>
          <w:szCs w:val="16"/>
          <w:color w:val="auto"/>
        </w:rPr>
        <w:t>) at an issue price of US$21.50 per share of common stock, the terms of which were announced to the market on 24 February 2021 (United States) / 25 February 2021 (Australia).</w:t>
      </w:r>
    </w:p>
    <w:p>
      <w:pPr>
        <w:spacing w:after="0" w:line="14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New Securities will be quoted on NASDAQ, but may be converted into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xml:space="preserve">) in the Company quoted on ASX at any time by the relevant holder(s) (with five CDIs being equivalent to one share of common stock). The Company seeks to rely on an exemption under section 708A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w:t>
      </w:r>
      <w:r>
        <w:rPr>
          <w:rFonts w:ascii="Arial" w:cs="Arial" w:eastAsia="Arial" w:hAnsi="Arial"/>
          <w:sz w:val="18"/>
          <w:szCs w:val="18"/>
          <w:b w:val="1"/>
          <w:bCs w:val="1"/>
          <w:color w:val="auto"/>
        </w:rPr>
        <w:t>Corporations Act</w:t>
      </w:r>
      <w:r>
        <w:rPr>
          <w:rFonts w:ascii="Arial" w:cs="Arial" w:eastAsia="Arial" w:hAnsi="Arial"/>
          <w:sz w:val="18"/>
          <w:szCs w:val="18"/>
          <w:color w:val="auto"/>
        </w:rPr>
        <w:t>) with respect to the sale of any CDIs which are issued on conversion of the New Securities (in the instance that such conversion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gives this notice under section 708A(5)(e) of the Corporations Act as modified by ASIC Class Order 14/827.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New Securities were issued without disclosure to investors under Part 6D.2 of the Corporations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at the date of this notice, the Company has complied with:</w:t>
      </w:r>
    </w:p>
    <w:p>
      <w:pPr>
        <w:spacing w:after="0" w:line="131"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provisions of Chapter 2M of the Corporations Act as they apply to the Company;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674 of the Corporations Act.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at the date of this notice, there is no information that is ‘excluded information’ within the meaning of section 708A(7) and section 708A(8) of the Corporations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General Counsel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AVITA GROUP</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AVITA group is a regenerative medicine group of companies with a technology platform positioned to address unmet medical needs in burns, chronic wounds, and aesthetics indications. The AVITA group’s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AVITA group’s first U.S. product, the RECELL</w:t>
      </w:r>
      <w:r>
        <w:rPr>
          <w:rFonts w:ascii="Arial" w:cs="Arial" w:eastAsia="Arial" w:hAnsi="Arial"/>
          <w:sz w:val="15"/>
          <w:szCs w:val="15"/>
          <w:color w:val="auto"/>
        </w:rPr>
        <w:t>®</w:t>
      </w:r>
      <w:r>
        <w:rPr>
          <w:rFonts w:ascii="Arial" w:cs="Arial" w:eastAsia="Arial" w:hAnsi="Arial"/>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5"/>
          <w:szCs w:val="15"/>
          <w:color w:val="auto"/>
        </w:rPr>
        <w:t>™</w:t>
      </w:r>
      <w:r>
        <w:rPr>
          <w:rFonts w:ascii="Arial" w:cs="Arial" w:eastAsia="Arial" w:hAnsi="Arial"/>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Suite 220, 28159 Avenue Stanford, Valencia, California 91355 United States of America</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RECELL System is a significant advancement over the current standard of care for burn patients and offers benefits in clinical outcomes and cost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savings. Healthcare professionals should read the INSTRUCTIONS FOR USE -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precautions.</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goals. Forward-looking statements by their nature address matters that are, to different degrees, uncertain. Each forward- 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announcement. Investors are encouraged to read our publicly available filings for a discussion of these and other risks and uncertainties. The forward-looking statements in this announcement speak only as of the date of this announcement, and we undertake no obligation to update or revise any of these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0"/>
          </w:cols>
          <w:pgMar w:left="440" w:top="274" w:right="439" w:bottom="1440" w:gutter="0" w:footer="0" w:header="0"/>
          <w:type w:val="continuous"/>
        </w:sect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 20210301A</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Suite 220, 28159 Avenue Stanford, Valencia, California 91355 United States of America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2021-03-04T10:19:18Z</dcterms:created>
  <dcterms:modified xsi:type="dcterms:W3CDTF">2021-03-04T10:19:18Z</dcterms:modified>
</cp:coreProperties>
</file>