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264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64910"/>
                    </a:xfrm>
                    <a:prstGeom prst="rect">
                      <a:avLst/>
                    </a:prstGeom>
                    <a:noFill/>
                  </pic:spPr>
                </pic:pic>
              </a:graphicData>
            </a:graphic>
          </wp:anchor>
        </w:drawing>
      </w:r>
    </w:p>
    <w:p>
      <w:pPr>
        <w:spacing w:after="0" w:line="96" w:lineRule="exact"/>
        <w:rPr>
          <w:sz w:val="24"/>
          <w:szCs w:val="24"/>
          <w:color w:val="auto"/>
        </w:rPr>
      </w:pPr>
    </w:p>
    <w:p>
      <w:pPr>
        <w:sectPr>
          <w:pgSz w:w="11900" w:h="1700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PERRY MICHAEL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AVITA MEDICAL,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AVITA Medical,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RCEL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4"/>
          <w:szCs w:val="24"/>
          <w:color w:val="auto"/>
        </w:rPr>
      </w:pPr>
    </w:p>
    <w:p>
      <w:pPr>
        <w:sectPr>
          <w:pgSz w:w="11900" w:h="17008" w:orient="portrait"/>
          <w:cols w:equalWidth="0" w:num="3">
            <w:col w:w="3200" w:space="720"/>
            <w:col w:w="3100" w:space="720"/>
            <w:col w:w="3340"/>
          </w:cols>
          <w:pgMar w:left="460" w:top="221"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VALENCIA</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91355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7008"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12/22/2021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4"/>
              </w:rPr>
              <w:t>23,800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1"/>
                <w:szCs w:val="11"/>
                <w:color w:val="008000"/>
              </w:rPr>
              <w:t>(1)</w:t>
            </w:r>
          </w:p>
        </w:tc>
        <w:tc>
          <w:tcPr>
            <w:tcW w:w="1340" w:type="dxa"/>
            <w:vAlign w:val="bottom"/>
            <w:tcBorders>
              <w:bottom w:val="single" w:sz="8" w:color="2C2C2C"/>
            </w:tcBorders>
            <w:gridSpan w:val="3"/>
          </w:tcPr>
          <w:p>
            <w:pPr>
              <w:jc w:val="center"/>
              <w:spacing w:after="0" w:line="309" w:lineRule="exact"/>
              <w:rPr>
                <w:sz w:val="20"/>
                <w:szCs w:val="20"/>
                <w:color w:val="auto"/>
              </w:rPr>
            </w:pPr>
            <w:r>
              <w:rPr>
                <w:rFonts w:ascii="Arial" w:cs="Arial" w:eastAsia="Arial" w:hAnsi="Arial"/>
                <w:sz w:val="33"/>
                <w:szCs w:val="33"/>
                <w:color w:val="0000FF"/>
                <w:w w:val="76"/>
                <w:vertAlign w:val="subscript"/>
              </w:rPr>
              <w:t>255,171</w:t>
            </w:r>
            <w:r>
              <w:rPr>
                <w:rFonts w:ascii="Arial" w:cs="Arial" w:eastAsia="Arial" w:hAnsi="Arial"/>
                <w:sz w:val="11"/>
                <w:szCs w:val="11"/>
                <w:color w:val="008000"/>
                <w:w w:val="76"/>
              </w:rPr>
              <w:t>(2)(3)(4)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12/22/2021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4"/>
              </w:rPr>
              <w:t>23,820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1"/>
                <w:szCs w:val="11"/>
                <w:color w:val="008000"/>
              </w:rPr>
              <w:t>(5)</w:t>
            </w:r>
          </w:p>
        </w:tc>
        <w:tc>
          <w:tcPr>
            <w:tcW w:w="1340" w:type="dxa"/>
            <w:vAlign w:val="bottom"/>
            <w:tcBorders>
              <w:bottom w:val="single" w:sz="8" w:color="2C2C2C"/>
            </w:tcBorders>
            <w:gridSpan w:val="3"/>
          </w:tcPr>
          <w:p>
            <w:pPr>
              <w:jc w:val="center"/>
              <w:ind w:left="17"/>
              <w:spacing w:after="0"/>
              <w:rPr>
                <w:sz w:val="20"/>
                <w:szCs w:val="20"/>
                <w:color w:val="auto"/>
              </w:rPr>
            </w:pPr>
            <w:r>
              <w:rPr>
                <w:rFonts w:ascii="Arial" w:cs="Arial" w:eastAsia="Arial" w:hAnsi="Arial"/>
                <w:sz w:val="17"/>
                <w:szCs w:val="17"/>
                <w:color w:val="0000FF"/>
                <w:w w:val="81"/>
              </w:rPr>
              <w:t>278,991</w:t>
            </w:r>
            <w:r>
              <w:rPr>
                <w:rFonts w:ascii="Arial" w:cs="Arial" w:eastAsia="Arial" w:hAnsi="Arial"/>
                <w:sz w:val="21"/>
                <w:szCs w:val="21"/>
                <w:color w:val="008000"/>
                <w:w w:val="81"/>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12/22/2021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4"/>
              </w:rPr>
              <w:t>23,820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1"/>
                <w:szCs w:val="11"/>
                <w:color w:val="008000"/>
              </w:rPr>
              <w:t>(6)</w:t>
            </w:r>
          </w:p>
        </w:tc>
        <w:tc>
          <w:tcPr>
            <w:tcW w:w="1340" w:type="dxa"/>
            <w:vAlign w:val="bottom"/>
            <w:tcBorders>
              <w:bottom w:val="single" w:sz="8" w:color="2C2C2C"/>
            </w:tcBorders>
            <w:gridSpan w:val="3"/>
          </w:tcPr>
          <w:p>
            <w:pPr>
              <w:jc w:val="center"/>
              <w:ind w:left="17"/>
              <w:spacing w:after="0"/>
              <w:rPr>
                <w:sz w:val="20"/>
                <w:szCs w:val="20"/>
                <w:color w:val="auto"/>
              </w:rPr>
            </w:pPr>
            <w:r>
              <w:rPr>
                <w:rFonts w:ascii="Arial" w:cs="Arial" w:eastAsia="Arial" w:hAnsi="Arial"/>
                <w:sz w:val="17"/>
                <w:szCs w:val="17"/>
                <w:color w:val="0000FF"/>
                <w:w w:val="81"/>
              </w:rPr>
              <w:t>302,811</w:t>
            </w:r>
            <w:r>
              <w:rPr>
                <w:rFonts w:ascii="Arial" w:cs="Arial" w:eastAsia="Arial" w:hAnsi="Arial"/>
                <w:sz w:val="21"/>
                <w:szCs w:val="21"/>
                <w:color w:val="008000"/>
                <w:w w:val="81"/>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12/22/2021</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(7)</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12/22/2031</w:t>
            </w:r>
          </w:p>
        </w:tc>
        <w:tc>
          <w:tcPr>
            <w:tcW w:w="6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13,800</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ind w:left="10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12/22/2021</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12/22/2031</w:t>
            </w:r>
          </w:p>
        </w:tc>
        <w:tc>
          <w:tcPr>
            <w:tcW w:w="6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13,800</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ind w:left="10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12.18</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12/22/2021</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(9)</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12/22/2031</w:t>
            </w:r>
          </w:p>
        </w:tc>
        <w:tc>
          <w:tcPr>
            <w:tcW w:w="6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13,800</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an award of Restricted Stock Units ("RSUs"), each representing a contingent right to be issued one share of Common Stock, that are subject to time-based vesting criteria. These RSUs vest in four equal annual installments on December 14, 2022, 2023, 2024 and 2025.</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3" w:lineRule="exact"/>
        <w:rPr>
          <w:rFonts w:ascii="Arial" w:cs="Arial" w:eastAsia="Arial" w:hAnsi="Arial"/>
          <w:sz w:val="13"/>
          <w:szCs w:val="13"/>
          <w:color w:val="008000"/>
        </w:rPr>
      </w:pPr>
    </w:p>
    <w:p>
      <w:pPr>
        <w:ind w:left="40" w:right="32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634,602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634,602 CDIs, which translate into 126,920 of the shares of Common Stock set forth above.</w:t>
      </w:r>
    </w:p>
    <w:p>
      <w:pPr>
        <w:spacing w:after="0" w:line="14" w:lineRule="exact"/>
        <w:rPr>
          <w:rFonts w:ascii="Arial" w:cs="Arial" w:eastAsia="Arial" w:hAnsi="Arial"/>
          <w:sz w:val="12"/>
          <w:szCs w:val="12"/>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in column 5 reflects a decrease of 6,267 shares of Common Stock from the total reported in the Reporting Person's Form 4 filed on September 7, 2021 (the "Prior Form 4") following the finalization of a division of property with the Reporting Person's former spouse pursuant to a property settlement agreement. The Reporting Person no longer reports as beneficially owned any securities owned by his former spouse following a separation occurring after the Prior Form 4.</w:t>
      </w:r>
    </w:p>
    <w:p>
      <w:pPr>
        <w:spacing w:after="0" w:line="32"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an award of RSUs with vesting conditioned on the market price of the Issuer's Common Stock reaching $24.36 (based upon a 10-day volume-weighted average price) by June 30, 2023. Upon the condition being met, a portion of the RSUs will vest immediately and the remainder will vest in a number of annual installments depending on the year in which the condition is met.</w:t>
      </w:r>
    </w:p>
    <w:p>
      <w:pPr>
        <w:spacing w:after="0" w:line="1" w:lineRule="exact"/>
        <w:rPr>
          <w:rFonts w:ascii="Arial" w:cs="Arial" w:eastAsia="Arial" w:hAnsi="Arial"/>
          <w:sz w:val="12"/>
          <w:szCs w:val="12"/>
          <w:color w:val="008000"/>
        </w:rPr>
      </w:pPr>
    </w:p>
    <w:p>
      <w:pPr>
        <w:ind w:left="40" w:right="4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an award of RSUs with vesting conditioned on the market capitalizaton of the Issuer being $1.25 billion or greater for 30 consecutive calendar days on or before December 31, 2024. Upon the condition being met, a portion of the RSUs will vest immediately and the remainder will vest in a number of annual installments depending on the year in which the condition is met.</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in four equal annual installments on December 14, 2022, 2023, 2024 and 2025.</w:t>
      </w:r>
    </w:p>
    <w:p>
      <w:pPr>
        <w:spacing w:after="0" w:line="43"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vesting of these Stock Options is conditioned on on the market price of the Issuer's Common Stock reaching $24.36 (based upon a 10-day volume-weighted average price) by June 30, 2023. Upon the condition being met, a portion of the Stock Options will vest immediately and the remainder will vest in a number of annual installments depending on the year in which the condition is met.</w:t>
      </w:r>
    </w:p>
    <w:p>
      <w:pPr>
        <w:spacing w:after="0" w:line="1" w:lineRule="exact"/>
        <w:rPr>
          <w:rFonts w:ascii="Arial" w:cs="Arial" w:eastAsia="Arial" w:hAnsi="Arial"/>
          <w:sz w:val="12"/>
          <w:szCs w:val="12"/>
          <w:color w:val="008000"/>
        </w:rPr>
      </w:pPr>
    </w:p>
    <w:p>
      <w:pPr>
        <w:ind w:left="40" w:right="200" w:firstLine="2"/>
        <w:spacing w:after="0" w:line="284"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vesting of these Stock Options is conditioned on the market capitalizaton of the Issuer being $1.25 billion or greater for 30 consecutive calendar days on or before December 31, 2024. Upon the condition being met, a portion of the Stock Options will vest immediately and the remainder will vest in a number of annual installments depending on the year in which the condition is met.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Donna Shiroma, by power of </w:t>
      </w:r>
      <w:r>
        <w:rPr>
          <w:rFonts w:ascii="Arial" w:cs="Arial" w:eastAsia="Arial" w:hAnsi="Arial"/>
          <w:sz w:val="33"/>
          <w:szCs w:val="33"/>
          <w:color w:val="0000FF"/>
          <w:vertAlign w:val="subscript"/>
        </w:rPr>
        <w:t>12/27/2021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48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86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89"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0379"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2021-12-27T15:32:51Z</dcterms:created>
  <dcterms:modified xsi:type="dcterms:W3CDTF">2021-12-27T15:32:51Z</dcterms:modified>
</cp:coreProperties>
</file>