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9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5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June 15, 2020</w:t>
      </w:r>
    </w:p>
    <w:p>
      <w:pPr>
        <w:spacing w:after="0" w:line="225"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Commission File Number 001-39059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519"/>
        <w:spacing w:after="0"/>
        <w:rPr>
          <w:sz w:val="20"/>
          <w:szCs w:val="20"/>
          <w:color w:val="auto"/>
        </w:rPr>
      </w:pPr>
      <w:r>
        <w:rPr>
          <w:rFonts w:ascii="Arial" w:cs="Arial" w:eastAsia="Arial" w:hAnsi="Arial"/>
          <w:sz w:val="43"/>
          <w:szCs w:val="43"/>
          <w:b w:val="1"/>
          <w:bCs w:val="1"/>
          <w:color w:val="auto"/>
        </w:rPr>
        <w:t>AVITA MEDICAL LIMITED</w:t>
      </w:r>
    </w:p>
    <w:p>
      <w:pPr>
        <w:spacing w:after="0" w:line="50"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Level 7, 330 Collins Street</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Melbourne VIC 3000 Australia</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Tel: +61 (0) 3 8689 9997</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Fax: +61 (0) 8 9474 7742</w:t>
      </w:r>
    </w:p>
    <w:p>
      <w:pPr>
        <w:spacing w:after="0" w:line="2" w:lineRule="exact"/>
        <w:rPr>
          <w:sz w:val="24"/>
          <w:szCs w:val="24"/>
          <w:color w:val="auto"/>
        </w:rPr>
      </w:pPr>
    </w:p>
    <w:p>
      <w:pPr>
        <w:ind w:left="446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ind w:left="4120"/>
        <w:spacing w:after="0" w:line="207" w:lineRule="exact"/>
        <w:tabs>
          <w:tab w:leader="none" w:pos="60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ind w:left="120"/>
        <w:spacing w:after="0" w:line="233" w:lineRule="exact"/>
        <w:rPr>
          <w:sz w:val="20"/>
          <w:szCs w:val="20"/>
          <w:color w:val="auto"/>
        </w:rPr>
      </w:pPr>
      <w:r>
        <w:rPr>
          <w:rFonts w:ascii="Arial" w:cs="Arial" w:eastAsia="Arial" w:hAnsi="Arial"/>
          <w:sz w:val="18"/>
          <w:szCs w:val="18"/>
          <w:color w:val="auto"/>
        </w:rPr>
        <w:t xml:space="preserve">Indicate by check mark whether the registrant by furnishing the information contained in this Form is also thereby furnishing the information to the Commission pursuant to Rule 12g3-2(b) under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left="120"/>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82-______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203200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20"/>
          </w:cols>
          <w:pgMar w:left="320" w:top="230" w:right="8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AVITA MEDICAL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9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Page</w:t>
            </w:r>
          </w:p>
        </w:tc>
      </w:tr>
      <w:tr>
        <w:trPr>
          <w:trHeight w:val="304"/>
        </w:trPr>
        <w:tc>
          <w:tcPr>
            <w:tcW w:w="902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Explanatory Note</w:t>
              </w:r>
            </w:hyperlink>
          </w:p>
        </w:tc>
        <w:tc>
          <w:tcPr>
            <w:tcW w:w="2000" w:type="dxa"/>
            <w:vAlign w:val="bottom"/>
            <w:gridSpan w:val="2"/>
          </w:tcPr>
          <w:p>
            <w:pPr>
              <w:ind w:left="1000"/>
              <w:spacing w:after="0"/>
              <w:rPr>
                <w:sz w:val="20"/>
                <w:szCs w:val="20"/>
                <w:color w:val="auto"/>
              </w:rPr>
            </w:pPr>
            <w:r>
              <w:rPr>
                <w:rFonts w:ascii="Arial" w:cs="Arial" w:eastAsia="Arial" w:hAnsi="Arial"/>
                <w:sz w:val="18"/>
                <w:szCs w:val="18"/>
                <w:color w:val="auto"/>
              </w:rPr>
              <w:t>Page 2</w:t>
            </w:r>
          </w:p>
        </w:tc>
      </w:tr>
      <w:tr>
        <w:trPr>
          <w:trHeight w:val="324"/>
        </w:trPr>
        <w:tc>
          <w:tcPr>
            <w:tcW w:w="902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Signatures</w:t>
              </w:r>
            </w:hyperlink>
          </w:p>
        </w:tc>
        <w:tc>
          <w:tcPr>
            <w:tcW w:w="2000" w:type="dxa"/>
            <w:vAlign w:val="bottom"/>
            <w:gridSpan w:val="2"/>
          </w:tcPr>
          <w:p>
            <w:pPr>
              <w:ind w:left="1000"/>
              <w:spacing w:after="0"/>
              <w:rPr>
                <w:sz w:val="20"/>
                <w:szCs w:val="20"/>
                <w:color w:val="auto"/>
              </w:rPr>
            </w:pPr>
            <w:r>
              <w:rPr>
                <w:rFonts w:ascii="Arial" w:cs="Arial" w:eastAsia="Arial" w:hAnsi="Arial"/>
                <w:sz w:val="18"/>
                <w:szCs w:val="18"/>
                <w:color w:val="auto"/>
              </w:rPr>
              <w:t>Page 3</w:t>
            </w:r>
          </w:p>
        </w:tc>
      </w:tr>
      <w:tr>
        <w:trPr>
          <w:trHeight w:val="324"/>
        </w:trPr>
        <w:tc>
          <w:tcPr>
            <w:tcW w:w="902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Public Notice—Proposed redomiciliation to the United States of America—Chair’s address to Scheme Meeting</w:t>
              </w:r>
            </w:hyperlink>
          </w:p>
        </w:tc>
        <w:tc>
          <w:tcPr>
            <w:tcW w:w="2000" w:type="dxa"/>
            <w:vAlign w:val="bottom"/>
            <w:gridSpan w:val="2"/>
          </w:tcPr>
          <w:p>
            <w:pPr>
              <w:ind w:left="1000"/>
              <w:spacing w:after="0"/>
              <w:rPr>
                <w:sz w:val="20"/>
                <w:szCs w:val="20"/>
                <w:color w:val="auto"/>
              </w:rPr>
            </w:pPr>
            <w:r>
              <w:rPr>
                <w:rFonts w:ascii="Arial" w:cs="Arial" w:eastAsia="Arial" w:hAnsi="Arial"/>
                <w:sz w:val="18"/>
                <w:szCs w:val="18"/>
                <w:color w:val="auto"/>
              </w:rPr>
              <w:t>Exhibit 99.1</w:t>
            </w:r>
          </w:p>
        </w:tc>
      </w:tr>
      <w:tr>
        <w:trPr>
          <w:trHeight w:val="324"/>
        </w:trPr>
        <w:tc>
          <w:tcPr>
            <w:tcW w:w="9020" w:type="dxa"/>
            <w:vAlign w:val="bottom"/>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Public Notice—Proposed redomiciliation to the United States of America—Results of Scheme Meeting</w:t>
              </w:r>
            </w:hyperlink>
          </w:p>
        </w:tc>
        <w:tc>
          <w:tcPr>
            <w:tcW w:w="2000" w:type="dxa"/>
            <w:vAlign w:val="bottom"/>
            <w:gridSpan w:val="2"/>
          </w:tcPr>
          <w:p>
            <w:pPr>
              <w:ind w:left="1000"/>
              <w:spacing w:after="0"/>
              <w:rPr>
                <w:sz w:val="20"/>
                <w:szCs w:val="20"/>
                <w:color w:val="auto"/>
              </w:rPr>
            </w:pPr>
            <w:r>
              <w:rPr>
                <w:rFonts w:ascii="Arial" w:cs="Arial" w:eastAsia="Arial" w:hAnsi="Arial"/>
                <w:sz w:val="18"/>
                <w:szCs w:val="18"/>
                <w:color w:val="auto"/>
              </w:rPr>
              <w:t>Exhibit 99.2</w:t>
            </w:r>
          </w:p>
        </w:tc>
      </w:tr>
    </w:tbl>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Avita Medical Limited (the “Company”) published two news releases titled “Proposed redomiciliation to the United States of America—Chair’s address to Scheme Meeting” and “Proposed redomiciliation to the United States of America—Results of Scheme Meeting” (the “Public Notices”) to the Australian Securities Exchange on June 15, 2020. Copies of the Public Notices are attached as exhibit 99.1 and 99.2 to this report on Form 6-K.</w:t>
      </w:r>
    </w:p>
    <w:p>
      <w:pPr>
        <w:spacing w:after="0" w:line="14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This report on Form 6-K (including the exhibits hereto) shall not be deemed to be “filed” for purposes of the Securities Exchange Act of 1934, as amended (the “Exchange Act”) and shall not be incorporated by reference into any filing under the Securities Act of 1933, as amended, except as shall be expressly set forth by specific reference in such filing.</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Avita Medical Limited</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McIntyre</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David McIntyre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June 15, 2020</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303020" cy="548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302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ASX/News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Medical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Proposed redomiciliation to the United States of America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Chair’s address to Scheme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3" w:lineRule="exact"/>
        <w:rPr>
          <w:sz w:val="20"/>
          <w:szCs w:val="20"/>
          <w:color w:val="auto"/>
        </w:rPr>
      </w:pPr>
    </w:p>
    <w:p>
      <w:pPr>
        <w:jc w:val="both"/>
        <w:ind w:right="320"/>
        <w:spacing w:after="0" w:line="266" w:lineRule="auto"/>
        <w:rPr>
          <w:sz w:val="20"/>
          <w:szCs w:val="20"/>
          <w:color w:val="auto"/>
        </w:rPr>
      </w:pPr>
      <w:r>
        <w:rPr>
          <w:rFonts w:ascii="Arial" w:cs="Arial" w:eastAsia="Arial" w:hAnsi="Arial"/>
          <w:sz w:val="18"/>
          <w:szCs w:val="18"/>
          <w:b w:val="1"/>
          <w:bCs w:val="1"/>
          <w:color w:val="auto"/>
        </w:rPr>
        <w:t xml:space="preserve">Valencia, Calif., USA, and Melbourne, Australia, 15 June 2020: </w:t>
      </w:r>
      <w:r>
        <w:rPr>
          <w:rFonts w:ascii="Arial" w:cs="Arial" w:eastAsia="Arial" w:hAnsi="Arial"/>
          <w:sz w:val="18"/>
          <w:szCs w:val="18"/>
          <w:color w:val="auto"/>
        </w:rPr>
        <w:t>In accordance with ASX Listing Rule 3.13.3, AVITA Medical Limited ACN 058</w:t>
      </w:r>
      <w:r>
        <w:rPr>
          <w:rFonts w:ascii="Arial" w:cs="Arial" w:eastAsia="Arial" w:hAnsi="Arial"/>
          <w:sz w:val="18"/>
          <w:szCs w:val="18"/>
          <w:b w:val="1"/>
          <w:bCs w:val="1"/>
          <w:color w:val="auto"/>
        </w:rPr>
        <w:t xml:space="preserve"> </w:t>
      </w:r>
      <w:r>
        <w:rPr>
          <w:rFonts w:ascii="Arial" w:cs="Arial" w:eastAsia="Arial" w:hAnsi="Arial"/>
          <w:sz w:val="18"/>
          <w:szCs w:val="18"/>
          <w:color w:val="auto"/>
        </w:rPr>
        <w:t>466 523 (</w:t>
      </w:r>
      <w:r>
        <w:rPr>
          <w:rFonts w:ascii="Arial" w:cs="Arial" w:eastAsia="Arial" w:hAnsi="Arial"/>
          <w:sz w:val="18"/>
          <w:szCs w:val="18"/>
          <w:b w:val="1"/>
          <w:bCs w:val="1"/>
          <w:color w:val="auto"/>
        </w:rPr>
        <w:t>Company</w:t>
      </w:r>
      <w:r>
        <w:rPr>
          <w:rFonts w:ascii="Arial" w:cs="Arial" w:eastAsia="Arial" w:hAnsi="Arial"/>
          <w:sz w:val="18"/>
          <w:szCs w:val="18"/>
          <w:color w:val="auto"/>
        </w:rPr>
        <w:t>) is pleased to provide a copy of the Chair’s address for the Scheme Meeting being held virtually at 9.00am (AEST) today, being Monday, 15 June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Authorised for release by the Chief Financial Officer of AVITA Medical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AVITA MEDICAL LIMITED</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AVITA Medical is a regenerative medicine company with a technology platform positioned to address unmet medical needs in burns, chronic wounds, and aesthetics indications. AVITA Medical’s patented and proprietary collection and application technology provides innovative treatment solutions derived from the regenerative properties of a patient’s own skin. The medical devices work by preparing a RES</w:t>
      </w:r>
      <w:r>
        <w:rPr>
          <w:rFonts w:ascii="Arial" w:cs="Arial" w:eastAsia="Arial" w:hAnsi="Arial"/>
          <w:sz w:val="15"/>
          <w:szCs w:val="15"/>
          <w:color w:val="auto"/>
        </w:rPr>
        <w:t>®</w:t>
      </w:r>
      <w:r>
        <w:rPr>
          <w:rFonts w:ascii="Arial" w:cs="Arial" w:eastAsia="Arial" w:hAnsi="Arial"/>
          <w:sz w:val="18"/>
          <w:szCs w:val="18"/>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18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AVITA Medical’s first U.S. product, the RECELL</w:t>
      </w:r>
      <w:r>
        <w:rPr>
          <w:rFonts w:ascii="Arial" w:cs="Arial" w:eastAsia="Arial" w:hAnsi="Arial"/>
          <w:sz w:val="14"/>
          <w:szCs w:val="14"/>
          <w:color w:val="auto"/>
        </w:rPr>
        <w:t>®</w:t>
      </w:r>
      <w:r>
        <w:rPr>
          <w:rFonts w:ascii="Arial" w:cs="Arial" w:eastAsia="Arial" w:hAnsi="Arial"/>
          <w:sz w:val="17"/>
          <w:szCs w:val="17"/>
          <w:color w:val="auto"/>
        </w:rPr>
        <w:t xml:space="preserve"> System, was approved by the U.S. Food and Drug Administration (FDA) in September 2018. The RECELL System is indicated for use in the treatment of acute thermal burns in patients 18 years and older. The RECELL System is used to prepare Spray-On Skin</w:t>
      </w:r>
      <w:r>
        <w:rPr>
          <w:rFonts w:ascii="Arial" w:cs="Arial" w:eastAsia="Arial" w:hAnsi="Arial"/>
          <w:sz w:val="14"/>
          <w:szCs w:val="14"/>
          <w:color w:val="auto"/>
        </w:rPr>
        <w:t>™</w:t>
      </w:r>
      <w:r>
        <w:rPr>
          <w:rFonts w:ascii="Arial" w:cs="Arial" w:eastAsia="Arial" w:hAnsi="Arial"/>
          <w:sz w:val="17"/>
          <w:szCs w:val="17"/>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8,000 patients globally, reinforce that the RECELL System is a significant advancement over the current standard of care for burn patients and offers benefits in clinical outcomes and cost savings. Healthcare professionals should read the</w:t>
      </w:r>
    </w:p>
    <w:p>
      <w:pPr>
        <w:spacing w:after="0" w:line="17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INSTRUCTIONS FOR USE—RECELL</w:t>
      </w:r>
      <w:r>
        <w:rPr>
          <w:rFonts w:ascii="Arial" w:cs="Arial" w:eastAsia="Arial" w:hAnsi="Arial"/>
          <w:sz w:val="15"/>
          <w:szCs w:val="15"/>
          <w:color w:val="auto"/>
        </w:rPr>
        <w:t>®</w:t>
      </w:r>
      <w:r>
        <w:rPr>
          <w:rFonts w:ascii="Arial" w:cs="Arial" w:eastAsia="Arial" w:hAnsi="Arial"/>
          <w:sz w:val="18"/>
          <w:szCs w:val="18"/>
          <w:color w:val="auto"/>
        </w:rPr>
        <w:t xml:space="preserve"> Autologous Cell Harvesting Device (</w:t>
      </w:r>
      <w:r>
        <w:rPr>
          <w:rFonts w:ascii="Arial" w:cs="Arial" w:eastAsia="Arial" w:hAnsi="Arial"/>
          <w:sz w:val="18"/>
          <w:szCs w:val="18"/>
          <w:u w:val="single" w:color="auto"/>
          <w:color w:val="auto"/>
        </w:rPr>
        <w:t>https://recellsystem.com/</w:t>
      </w:r>
      <w:r>
        <w:rPr>
          <w:rFonts w:ascii="Arial" w:cs="Arial" w:eastAsia="Arial" w:hAnsi="Arial"/>
          <w:sz w:val="18"/>
          <w:szCs w:val="18"/>
          <w:color w:val="auto"/>
        </w:rPr>
        <w:t>) for a full description of indications for use and important safety information including contraindications, warnings and precautions.</w:t>
      </w:r>
    </w:p>
    <w:p>
      <w:pPr>
        <w:spacing w:after="0" w:line="17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international markets, our products are marketed under the RECELL System brand to promote skin healing in a wide range of applications including burns, chronic wounds and aesthetics. The RECELL System is TGA-registered in Australia and received CE-mark approval in Europe.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learn more, visit </w:t>
      </w:r>
      <w:r>
        <w:rPr>
          <w:rFonts w:ascii="Arial" w:cs="Arial" w:eastAsia="Arial" w:hAnsi="Arial"/>
          <w:sz w:val="18"/>
          <w:szCs w:val="18"/>
          <w:u w:val="single" w:color="auto"/>
          <w:color w:val="auto"/>
        </w:rPr>
        <w:t>www.avitamedical.com</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i w:val="1"/>
          <w:iCs w:val="1"/>
          <w:color w:val="auto"/>
        </w:rPr>
        <w:t>This announcement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Avita Medical Limited c/o Mertons Corporate Services Pty Ltd Level 7, 330 Collins Street, Melbourne Victoria 3000</w:t>
      </w:r>
    </w:p>
    <w:p>
      <w:pPr>
        <w:sectPr>
          <w:pgSz w:w="11900" w:h="16838" w:orient="portrait"/>
          <w:cols w:equalWidth="0" w:num="1">
            <w:col w:w="11020"/>
          </w:cols>
          <w:pgMar w:left="440" w:top="121" w:right="439" w:bottom="1440" w:gutter="0" w:footer="0" w:header="0"/>
        </w:sectPr>
      </w:pPr>
    </w:p>
    <w:bookmarkStart w:id="4" w:name="page5"/>
    <w:bookmarkEnd w:id="4"/>
    <w:p>
      <w:pPr>
        <w:ind w:right="100"/>
        <w:spacing w:after="0" w:line="269"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statements in this announcement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forward-looking statement contained in this announcement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announcement. Investors are encouraged to read our publicly available filings for a discussion of these and other risks and uncertainties. The forward-looking statements in this announcement speak only as of the date of this release, and we undertake no obligation to update or revise any of these statements.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FOR FURTHER INFORMATION:</w:t>
            </w:r>
          </w:p>
        </w:tc>
        <w:tc>
          <w:tcPr>
            <w:tcW w:w="15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59"/>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U.S. Media</w:t>
            </w:r>
          </w:p>
        </w:tc>
        <w:tc>
          <w:tcPr>
            <w:tcW w:w="3880" w:type="dxa"/>
            <w:vAlign w:val="bottom"/>
            <w:gridSpan w:val="2"/>
          </w:tcPr>
          <w:p>
            <w:pPr>
              <w:ind w:left="1520"/>
              <w:spacing w:after="0"/>
              <w:rPr>
                <w:sz w:val="20"/>
                <w:szCs w:val="20"/>
                <w:color w:val="auto"/>
              </w:rPr>
            </w:pPr>
            <w:r>
              <w:rPr>
                <w:rFonts w:ascii="Arial" w:cs="Arial" w:eastAsia="Arial" w:hAnsi="Arial"/>
                <w:sz w:val="18"/>
                <w:szCs w:val="18"/>
                <w:b w:val="1"/>
                <w:bCs w:val="1"/>
                <w:color w:val="auto"/>
              </w:rPr>
              <w:t>Investors:</w:t>
            </w:r>
          </w:p>
        </w:tc>
      </w:tr>
      <w:tr>
        <w:trPr>
          <w:trHeight w:val="337"/>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Sam Brown, Inc.</w:t>
            </w:r>
          </w:p>
        </w:tc>
        <w:tc>
          <w:tcPr>
            <w:tcW w:w="3880" w:type="dxa"/>
            <w:vAlign w:val="bottom"/>
            <w:gridSpan w:val="2"/>
          </w:tcPr>
          <w:p>
            <w:pPr>
              <w:ind w:left="1520"/>
              <w:spacing w:after="0"/>
              <w:rPr>
                <w:sz w:val="20"/>
                <w:szCs w:val="20"/>
                <w:color w:val="auto"/>
              </w:rPr>
            </w:pPr>
            <w:r>
              <w:rPr>
                <w:rFonts w:ascii="Arial" w:cs="Arial" w:eastAsia="Arial" w:hAnsi="Arial"/>
                <w:sz w:val="18"/>
                <w:szCs w:val="18"/>
                <w:b w:val="1"/>
                <w:bCs w:val="1"/>
                <w:color w:val="auto"/>
              </w:rPr>
              <w:t>Westwicke Partners</w:t>
            </w:r>
          </w:p>
        </w:tc>
      </w:tr>
      <w:tr>
        <w:trPr>
          <w:trHeight w:val="338"/>
        </w:trPr>
        <w:tc>
          <w:tcPr>
            <w:tcW w:w="4220" w:type="dxa"/>
            <w:vAlign w:val="bottom"/>
            <w:gridSpan w:val="2"/>
          </w:tcPr>
          <w:p>
            <w:pPr>
              <w:spacing w:after="0"/>
              <w:rPr>
                <w:sz w:val="20"/>
                <w:szCs w:val="20"/>
                <w:color w:val="auto"/>
              </w:rPr>
            </w:pPr>
            <w:r>
              <w:rPr>
                <w:rFonts w:ascii="Arial" w:cs="Arial" w:eastAsia="Arial" w:hAnsi="Arial"/>
                <w:sz w:val="18"/>
                <w:szCs w:val="18"/>
                <w:color w:val="auto"/>
              </w:rPr>
              <w:t>Christy Curran</w:t>
            </w:r>
          </w:p>
        </w:tc>
        <w:tc>
          <w:tcPr>
            <w:tcW w:w="3880" w:type="dxa"/>
            <w:vAlign w:val="bottom"/>
            <w:gridSpan w:val="2"/>
          </w:tcPr>
          <w:p>
            <w:pPr>
              <w:ind w:left="1520"/>
              <w:spacing w:after="0"/>
              <w:rPr>
                <w:sz w:val="20"/>
                <w:szCs w:val="20"/>
                <w:color w:val="auto"/>
              </w:rPr>
            </w:pPr>
            <w:r>
              <w:rPr>
                <w:rFonts w:ascii="Arial" w:cs="Arial" w:eastAsia="Arial" w:hAnsi="Arial"/>
                <w:sz w:val="18"/>
                <w:szCs w:val="18"/>
                <w:color w:val="auto"/>
              </w:rPr>
              <w:t>Caroline Corner</w:t>
            </w:r>
          </w:p>
        </w:tc>
      </w:tr>
      <w:tr>
        <w:trPr>
          <w:trHeight w:val="338"/>
        </w:trPr>
        <w:tc>
          <w:tcPr>
            <w:tcW w:w="4220" w:type="dxa"/>
            <w:vAlign w:val="bottom"/>
            <w:gridSpan w:val="2"/>
          </w:tcPr>
          <w:p>
            <w:pPr>
              <w:spacing w:after="0"/>
              <w:rPr>
                <w:sz w:val="20"/>
                <w:szCs w:val="20"/>
                <w:color w:val="auto"/>
              </w:rPr>
            </w:pPr>
            <w:r>
              <w:rPr>
                <w:rFonts w:ascii="Arial" w:cs="Arial" w:eastAsia="Arial" w:hAnsi="Arial"/>
                <w:sz w:val="18"/>
                <w:szCs w:val="18"/>
                <w:color w:val="auto"/>
              </w:rPr>
              <w:t>Phone +1 615 414 8668</w:t>
            </w:r>
          </w:p>
        </w:tc>
        <w:tc>
          <w:tcPr>
            <w:tcW w:w="3880" w:type="dxa"/>
            <w:vAlign w:val="bottom"/>
            <w:gridSpan w:val="2"/>
          </w:tcPr>
          <w:p>
            <w:pPr>
              <w:ind w:left="1520"/>
              <w:spacing w:after="0"/>
              <w:rPr>
                <w:sz w:val="20"/>
                <w:szCs w:val="20"/>
                <w:color w:val="auto"/>
              </w:rPr>
            </w:pPr>
            <w:r>
              <w:rPr>
                <w:rFonts w:ascii="Arial" w:cs="Arial" w:eastAsia="Arial" w:hAnsi="Arial"/>
                <w:sz w:val="18"/>
                <w:szCs w:val="18"/>
                <w:color w:val="auto"/>
              </w:rPr>
              <w:t>Phone +1 415 202 5678</w:t>
            </w:r>
          </w:p>
        </w:tc>
      </w:tr>
      <w:tr>
        <w:trPr>
          <w:trHeight w:val="297"/>
        </w:trPr>
        <w:tc>
          <w:tcPr>
            <w:tcW w:w="2220" w:type="dxa"/>
            <w:vAlign w:val="bottom"/>
          </w:tcPr>
          <w:p>
            <w:pPr>
              <w:spacing w:after="0"/>
              <w:rPr>
                <w:sz w:val="20"/>
                <w:szCs w:val="20"/>
                <w:color w:val="auto"/>
              </w:rPr>
            </w:pPr>
            <w:r>
              <w:rPr>
                <w:rFonts w:ascii="Arial" w:cs="Arial" w:eastAsia="Arial" w:hAnsi="Arial"/>
                <w:sz w:val="18"/>
                <w:szCs w:val="18"/>
                <w:color w:val="auto"/>
                <w:w w:val="90"/>
              </w:rPr>
              <w:t>christycurran@sambrown.com</w:t>
            </w:r>
          </w:p>
        </w:tc>
        <w:tc>
          <w:tcPr>
            <w:tcW w:w="2000" w:type="dxa"/>
            <w:vAlign w:val="bottom"/>
          </w:tcPr>
          <w:p>
            <w:pPr>
              <w:spacing w:after="0"/>
              <w:rPr>
                <w:sz w:val="24"/>
                <w:szCs w:val="24"/>
                <w:color w:val="auto"/>
              </w:rPr>
            </w:pPr>
          </w:p>
        </w:tc>
        <w:tc>
          <w:tcPr>
            <w:tcW w:w="3880" w:type="dxa"/>
            <w:vAlign w:val="bottom"/>
            <w:gridSpan w:val="2"/>
          </w:tcPr>
          <w:p>
            <w:pPr>
              <w:ind w:left="1520"/>
              <w:spacing w:after="0"/>
              <w:rPr>
                <w:sz w:val="20"/>
                <w:szCs w:val="20"/>
                <w:color w:val="auto"/>
              </w:rPr>
            </w:pPr>
            <w:r>
              <w:rPr>
                <w:rFonts w:ascii="Arial" w:cs="Arial" w:eastAsia="Arial" w:hAnsi="Arial"/>
                <w:sz w:val="18"/>
                <w:szCs w:val="18"/>
                <w:color w:val="auto"/>
                <w:w w:val="90"/>
              </w:rPr>
              <w:t>caroline.corner@westwicke.com</w:t>
            </w:r>
          </w:p>
        </w:tc>
      </w:tr>
      <w:tr>
        <w:trPr>
          <w:trHeight w:val="20"/>
        </w:trPr>
        <w:tc>
          <w:tcPr>
            <w:tcW w:w="22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bl>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O.U.S Media</w:t>
            </w:r>
          </w:p>
        </w:tc>
        <w:tc>
          <w:tcPr>
            <w:tcW w:w="4000" w:type="dxa"/>
            <w:vAlign w:val="bottom"/>
            <w:gridSpan w:val="2"/>
          </w:tcPr>
          <w:p>
            <w:pPr>
              <w:ind w:left="1840"/>
              <w:spacing w:after="0"/>
              <w:rPr>
                <w:sz w:val="20"/>
                <w:szCs w:val="20"/>
                <w:color w:val="auto"/>
              </w:rPr>
            </w:pPr>
            <w:r>
              <w:rPr>
                <w:rFonts w:ascii="Arial" w:cs="Arial" w:eastAsia="Arial" w:hAnsi="Arial"/>
                <w:sz w:val="18"/>
                <w:szCs w:val="18"/>
                <w:b w:val="1"/>
                <w:bCs w:val="1"/>
                <w:color w:val="auto"/>
              </w:rPr>
              <w:t>AVITA Medical Ltd</w:t>
            </w:r>
          </w:p>
        </w:tc>
      </w:tr>
      <w:tr>
        <w:trPr>
          <w:trHeight w:val="338"/>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Monsoon Communications</w:t>
            </w:r>
          </w:p>
        </w:tc>
        <w:tc>
          <w:tcPr>
            <w:tcW w:w="4000" w:type="dxa"/>
            <w:vAlign w:val="bottom"/>
            <w:gridSpan w:val="2"/>
          </w:tcPr>
          <w:p>
            <w:pPr>
              <w:ind w:left="1840"/>
              <w:spacing w:after="0"/>
              <w:rPr>
                <w:sz w:val="20"/>
                <w:szCs w:val="20"/>
                <w:color w:val="auto"/>
              </w:rPr>
            </w:pPr>
            <w:r>
              <w:rPr>
                <w:rFonts w:ascii="Arial" w:cs="Arial" w:eastAsia="Arial" w:hAnsi="Arial"/>
                <w:sz w:val="18"/>
                <w:szCs w:val="18"/>
                <w:color w:val="auto"/>
              </w:rPr>
              <w:t>David McIntyre</w:t>
            </w:r>
          </w:p>
        </w:tc>
      </w:tr>
      <w:tr>
        <w:trPr>
          <w:trHeight w:val="338"/>
        </w:trPr>
        <w:tc>
          <w:tcPr>
            <w:tcW w:w="3900" w:type="dxa"/>
            <w:vAlign w:val="bottom"/>
            <w:gridSpan w:val="2"/>
          </w:tcPr>
          <w:p>
            <w:pPr>
              <w:spacing w:after="0"/>
              <w:rPr>
                <w:sz w:val="20"/>
                <w:szCs w:val="20"/>
                <w:color w:val="auto"/>
              </w:rPr>
            </w:pPr>
            <w:r>
              <w:rPr>
                <w:rFonts w:ascii="Arial" w:cs="Arial" w:eastAsia="Arial" w:hAnsi="Arial"/>
                <w:sz w:val="18"/>
                <w:szCs w:val="18"/>
                <w:color w:val="auto"/>
              </w:rPr>
              <w:t>Rudi Michelson</w:t>
            </w:r>
          </w:p>
        </w:tc>
        <w:tc>
          <w:tcPr>
            <w:tcW w:w="4000" w:type="dxa"/>
            <w:vAlign w:val="bottom"/>
            <w:gridSpan w:val="2"/>
          </w:tcPr>
          <w:p>
            <w:pPr>
              <w:ind w:left="1840"/>
              <w:spacing w:after="0"/>
              <w:rPr>
                <w:sz w:val="20"/>
                <w:szCs w:val="20"/>
                <w:color w:val="auto"/>
              </w:rPr>
            </w:pPr>
            <w:r>
              <w:rPr>
                <w:rFonts w:ascii="Arial" w:cs="Arial" w:eastAsia="Arial" w:hAnsi="Arial"/>
                <w:sz w:val="18"/>
                <w:szCs w:val="18"/>
                <w:color w:val="auto"/>
              </w:rPr>
              <w:t>Chief Financial Officer</w:t>
            </w:r>
          </w:p>
        </w:tc>
      </w:tr>
      <w:tr>
        <w:trPr>
          <w:trHeight w:val="338"/>
        </w:trPr>
        <w:tc>
          <w:tcPr>
            <w:tcW w:w="3900" w:type="dxa"/>
            <w:vAlign w:val="bottom"/>
            <w:gridSpan w:val="2"/>
          </w:tcPr>
          <w:p>
            <w:pPr>
              <w:spacing w:after="0"/>
              <w:rPr>
                <w:sz w:val="20"/>
                <w:szCs w:val="20"/>
                <w:color w:val="auto"/>
              </w:rPr>
            </w:pPr>
            <w:r>
              <w:rPr>
                <w:rFonts w:ascii="Arial" w:cs="Arial" w:eastAsia="Arial" w:hAnsi="Arial"/>
                <w:sz w:val="18"/>
                <w:szCs w:val="18"/>
                <w:color w:val="auto"/>
              </w:rPr>
              <w:t>Phone +61 (0)3 9620 3333</w:t>
            </w:r>
          </w:p>
        </w:tc>
        <w:tc>
          <w:tcPr>
            <w:tcW w:w="4000" w:type="dxa"/>
            <w:vAlign w:val="bottom"/>
            <w:gridSpan w:val="2"/>
          </w:tcPr>
          <w:p>
            <w:pPr>
              <w:ind w:left="1840"/>
              <w:spacing w:after="0"/>
              <w:rPr>
                <w:sz w:val="20"/>
                <w:szCs w:val="20"/>
                <w:color w:val="auto"/>
              </w:rPr>
            </w:pPr>
            <w:r>
              <w:rPr>
                <w:rFonts w:ascii="Arial" w:cs="Arial" w:eastAsia="Arial" w:hAnsi="Arial"/>
                <w:sz w:val="18"/>
                <w:szCs w:val="18"/>
                <w:color w:val="auto"/>
              </w:rPr>
              <w:t>Phone +1 661 367 9178</w:t>
            </w:r>
          </w:p>
        </w:tc>
      </w:tr>
      <w:tr>
        <w:trPr>
          <w:trHeight w:val="297"/>
        </w:trPr>
        <w:tc>
          <w:tcPr>
            <w:tcW w:w="3900" w:type="dxa"/>
            <w:vAlign w:val="bottom"/>
            <w:gridSpan w:val="2"/>
          </w:tcPr>
          <w:p>
            <w:pPr>
              <w:spacing w:after="0"/>
              <w:rPr>
                <w:sz w:val="20"/>
                <w:szCs w:val="20"/>
                <w:color w:val="auto"/>
              </w:rPr>
            </w:pPr>
            <w:r>
              <w:rPr>
                <w:rFonts w:ascii="Arial" w:cs="Arial" w:eastAsia="Arial" w:hAnsi="Arial"/>
                <w:sz w:val="18"/>
                <w:szCs w:val="18"/>
                <w:color w:val="auto"/>
              </w:rPr>
              <w:t>Mobile +61 (0)411 402 737</w:t>
            </w:r>
          </w:p>
        </w:tc>
        <w:tc>
          <w:tcPr>
            <w:tcW w:w="4000" w:type="dxa"/>
            <w:vAlign w:val="bottom"/>
            <w:gridSpan w:val="2"/>
          </w:tcPr>
          <w:p>
            <w:pPr>
              <w:ind w:left="1840"/>
              <w:spacing w:after="0"/>
              <w:rPr>
                <w:sz w:val="20"/>
                <w:szCs w:val="20"/>
                <w:color w:val="auto"/>
              </w:rPr>
            </w:pPr>
            <w:r>
              <w:rPr>
                <w:rFonts w:ascii="Arial" w:cs="Arial" w:eastAsia="Arial" w:hAnsi="Arial"/>
                <w:sz w:val="18"/>
                <w:szCs w:val="18"/>
                <w:color w:val="auto"/>
                <w:w w:val="90"/>
              </w:rPr>
              <w:t>dmcintyre@avitamedical.com</w:t>
            </w:r>
          </w:p>
        </w:tc>
      </w:tr>
      <w:tr>
        <w:trPr>
          <w:trHeight w:val="318"/>
        </w:trPr>
        <w:tc>
          <w:tcPr>
            <w:tcW w:w="3900" w:type="dxa"/>
            <w:vAlign w:val="bottom"/>
            <w:gridSpan w:val="2"/>
          </w:tcPr>
          <w:p>
            <w:pPr>
              <w:spacing w:after="0"/>
              <w:rPr>
                <w:sz w:val="20"/>
                <w:szCs w:val="20"/>
                <w:color w:val="auto"/>
              </w:rPr>
            </w:pPr>
            <w:r>
              <w:rPr>
                <w:rFonts w:ascii="Arial" w:cs="Arial" w:eastAsia="Arial" w:hAnsi="Arial"/>
                <w:sz w:val="18"/>
                <w:szCs w:val="18"/>
                <w:color w:val="auto"/>
              </w:rPr>
              <w:t>rudim@monsoon.com.au</w:t>
            </w:r>
          </w:p>
        </w:tc>
        <w:tc>
          <w:tcPr>
            <w:tcW w:w="1840" w:type="dxa"/>
            <w:vAlign w:val="bottom"/>
          </w:tcPr>
          <w:p>
            <w:pPr>
              <w:spacing w:after="0"/>
              <w:rPr>
                <w:sz w:val="24"/>
                <w:szCs w:val="24"/>
                <w:color w:val="auto"/>
              </w:rPr>
            </w:pPr>
          </w:p>
        </w:tc>
        <w:tc>
          <w:tcPr>
            <w:tcW w:w="2160" w:type="dxa"/>
            <w:vAlign w:val="bottom"/>
            <w:tcBorders>
              <w:top w:val="single" w:sz="8" w:color="auto"/>
            </w:tcBorders>
          </w:tcPr>
          <w:p>
            <w:pPr>
              <w:spacing w:after="0"/>
              <w:rPr>
                <w:sz w:val="24"/>
                <w:szCs w:val="24"/>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PR20200614</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Avita Medical Limited c/o Mertons Corporate Services Pty Ltd Level 7, 330 Collins Street, Melbourne Victoria 3000</w:t>
      </w:r>
    </w:p>
    <w:p>
      <w:pPr>
        <w:sectPr>
          <w:pgSz w:w="11900" w:h="16838" w:orient="portrait"/>
          <w:cols w:equalWidth="0" w:num="1">
            <w:col w:w="11020"/>
          </w:cols>
          <w:pgMar w:left="440" w:top="274" w:right="4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Virtual Scheme Meeting</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9.00am (AEST) on 15 June 2020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Proceedings and Addresses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Good morning Ladies and Gentlemen, it is 9:00am (AEST) and as there is a quorum present by virtue of the proxies that I hold as Chair of this meeting, I declare this meeting open.</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Welcome to the scheme meeting of AVITA Medical shareholders. My name is Lou Panaccio and I am the Chair of AVITA Medical. It is my pleasure to be chairing this meeting today and, on behalf of the Company’s Chief Executive Officer, Dr Mike Perry, and the Board of Directors, I would like to thank you for joining us in these most extraordinary of times.</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meeting has been called so that shareholders can consider and vote on a resolution to approve a scheme of arrangement under which AVITA Therapeutics, a newly incorporated company in the State of Delaware in the United States of America, will become the parent company of the AVITA group, subject to the fulfilment of certain conditions precedent as detailed in the Scheme Booklet. This will effect a redomiciliation of the AVITA group from Australia to the United States of America.</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light of the unusual circumstances we find ourselves in with COVID-19, and the resulting limits on public gatherings and travel restrictions, this meeting is being held exclusively by way of this live webcast, and there is no physical meeting.</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 would also add that, at the conclusion of today’s meeting, the Company’s Chief Executive Officer, Dr Mike Perry, will provide a brief corporate presentation for any shareholders wishing to learn more about the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INTRODUCTIONS</w:t>
      </w:r>
    </w:p>
    <w:p>
      <w:pPr>
        <w:spacing w:after="0" w:line="121"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Attending the meeting via webcast, we have our CEO and executive director, Dr Mike Perry, and non-executive directors Mr Jeremy Curnock Cook, Professor Suzanne Crowe and Mr Louis Drapeau. Mr Damien McDonald is unable to be present today and sends his apologies. We are also joined by the Company’s Chief Financial Officer, David McIntyre, and our Company Secretary, Mr Mark Licciardo.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 are also present from:</w:t>
      </w:r>
    </w:p>
    <w:p>
      <w:pPr>
        <w:spacing w:after="0" w:line="131" w:lineRule="exact"/>
        <w:rPr>
          <w:sz w:val="20"/>
          <w:szCs w:val="20"/>
          <w:color w:val="auto"/>
        </w:rPr>
      </w:pPr>
    </w:p>
    <w:p>
      <w:pPr>
        <w:ind w:left="420" w:hanging="316"/>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Australian legal advisers – KPMG Law, represented by David Morris;</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United States legal advisers – K&amp;L Gates, represented by Jonathan Miner; and</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share registry – Computershare, represented by Rod Somes.</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For any users experiencing technical difficulties or who have any questions about the virtual meeting process, there is a helpline available during this meeting. Please dial +61 3 9415 4024 to access this helpline. You can also refer to the Scheme Meeting User Guide for information to assist you, which can be downloaded from AVITA Medical’s website.</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Avita Medical Limited c/o Mertons Corporate Services Pty Ltd Level 7, 330 Collins Street, Melbourne Victoria 3000</w:t>
      </w:r>
    </w:p>
    <w:p>
      <w:pPr>
        <w:sectPr>
          <w:pgSz w:w="11900" w:h="16838" w:orient="portrait"/>
          <w:cols w:equalWidth="0" w:num="1">
            <w:col w:w="11020"/>
          </w:cols>
          <w:pgMar w:left="440" w:top="270" w:right="439" w:bottom="1440" w:gutter="0" w:footer="0" w:header="0"/>
        </w:sectPr>
      </w:pPr>
    </w:p>
    <w:bookmarkStart w:id="6" w:name="page7"/>
    <w:bookmarkEnd w:id="6"/>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the format of this virtual meeting is different from a standard physical meeting, I will briefly discuss the process of the meeting and how voting will be conducted.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Voting on the resolution will be conducted by a poll.</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Once I declare the poll open, a small bar graph icon will appear on your screen. Once you click on this icon, the resolution will appear on your screen and you can vote. You will be able to change your vote at any time during the meeting, until I declare the vote closed.</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 will give you a clear prompt later in the meeting to let you know when the poll is about to close, which will occur following consideration of the resolution and the answering of shareholders’ questions.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Please note that if you hold American Depositary Shares in AVITA Medical, or are otherwise attending the meeting as a guest, you will not be able to ask questions or vote at this meeting.</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Rod Somes from Computershare has agreed to be the Returning Officer today and following confirmation by Computershare, the final results of the proxy votes received before the meeting, and the results of the poll, will be announced on the ASX Market Announcements Platform and on our website later today.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THIS MEETING</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I briefly mentioned before, the purpose of this meeting is for AVITA Medical shareholders to consider and, if thought fit, to approve the scheme of arrangement proposed between AVITA Medical and its shareholders, to effect a redomiciliation of AVITA Medical and its subsidiaries from Australia to the United States. In simple terms, the proposed redomiciliation will effect a corporate inversion which will switch our corporate “home country” from Australia to the United States, and will simultaneously enable our primary listing to move from ASX to NASDAQ while continuing to maintain a listing on the ASX.</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reasons for the proposed redomiciliation are set out in the Scheme Booklet in detail, but include better aligning AVITA Medical’s corporate structure with its business operations in the United States (where nearly all of AVITA Medical’s employees are located). As noted in the Scheme Booklet, AVITA Medical derives virtually all of its revenue from the United States, has no physical business presence outside of the United States, and a majority of its shares (taking into account its American Depositary Shares traded on NASDAQ) are currently beneficially held by investors in the United States.</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Avita Medical Limited c/o Mertons Corporate Services Pty Ltd Level 7, 330 Collins Street, Melbourne Victoria 3000</w:t>
      </w:r>
    </w:p>
    <w:p>
      <w:pPr>
        <w:sectPr>
          <w:pgSz w:w="11900" w:h="16838" w:orient="portrait"/>
          <w:cols w:equalWidth="0" w:num="1">
            <w:col w:w="11020"/>
          </w:cols>
          <w:pgMar w:left="440" w:top="274" w:right="439" w:bottom="1440" w:gutter="0" w:footer="0" w:header="0"/>
        </w:sectPr>
      </w:pPr>
    </w:p>
    <w:bookmarkStart w:id="7" w:name="page8"/>
    <w:bookmarkEnd w:id="7"/>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proposed redomiciliation is also expected to substantially reduce the costs, burden, resourcing and risks associated with the dual financial reporting and related compliance obligations that AVITA Medical now has in both the United States and Australia. These circumstances arose for the first time on 31 December 2019, when AVITA Medical was categorized as a domestic public company in both Australia and the United States, whereas formerly it was only viewed as a domestic public company in Australia. The most obvious means by which the parent company of the AVITA group can again be a domestic public company in only one jurisdiction (being the United States), but maintain a listing in two jurisdictions (being the United States and Australia), is to redomicile the AVITA group from Australia to the United States.</w:t>
      </w:r>
    </w:p>
    <w:p>
      <w:pPr>
        <w:spacing w:after="0" w:line="17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Scheme Booklet that has been circulated to shareholders sets out in significant detail the nature of the scheme, including its potential advantages, disadvantages and risks. As shareholders have had a period of time in which to consider the Scheme Booklet and its contents, I do not intend to go into details of the scheme during this meeting.</w:t>
      </w:r>
    </w:p>
    <w:p>
      <w:pPr>
        <w:spacing w:after="0" w:line="18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 note, however, that after carefully considering the advantages, disadvantages and risks of the scheme, the Board is of the unanimous view that the advantages of the scheme significantly outweigh its disadvantages and risks.</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All of the directors of AVITA Medical who hold or control shares intend to vote in favour of the resolution to approve the scheme in relation to the shares which they hold or control.</w:t>
      </w:r>
    </w:p>
    <w:p>
      <w:pPr>
        <w:spacing w:after="0" w:line="17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 also note that the Independent Expert appointed by AVITA Medical, BDO Corporate Finance, has concluded that in its view the scheme is in the best interests of AVITA Medical shareholders as a whole in the absence of an alternative proposal or any further information. A copy of the Independent Expert’s report is included at Appendix A of the Scheme Booklet.</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Since publishing the Scheme Booklet we have received a number of queries from shareholders, and some shareholders have posed questions for consideration at today’s meeting. Thank you to all those shareholders who have lodged questions via email about the proposed scheme in advance of this meeting. The questions have been collated and will be answered during this meeting.</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is still an opportunity for shareholders to ask questions by tapping on the Questions icon on your screen. We ask that each shareholder keep their questions short and to the point, so that as many shareholders as possible have the chance to ask a question.</w:t>
      </w:r>
    </w:p>
    <w:p>
      <w:pPr>
        <w:spacing w:after="0" w:line="17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would like to answer as many questions as possible before we come to the agenda item and vote on the resolution. All questions submitted will be sent to a moderator, who will arrange the questions to remove any duplication and present them to me as the Chair of the meeting. I will be reading out the questions that were submitted prior to the meeting, and the Company’s Chief Financial Officer, David McIntyre, will read out the questions submitted during the meeting and will determine who is the most appropriate person to answer those questions.</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Avita Medical Limited c/o Mertons Corporate Services Pty Ltd Level 7, 330 Collins Street, Melbourne Victoria 3000</w:t>
      </w:r>
    </w:p>
    <w:p>
      <w:pPr>
        <w:sectPr>
          <w:pgSz w:w="11900" w:h="16838" w:orient="portrait"/>
          <w:cols w:equalWidth="0" w:num="1">
            <w:col w:w="11020"/>
          </w:cols>
          <w:pgMar w:left="440" w:top="274"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Formal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will now move to the business of the meeting. The formal business concerns just one resolution.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1:</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resolution is contained in the Notice of Meeting set out in Annexure F to the Scheme Booklet, which is for AVITA Medical shareholders to consider approving the scheme, specifically:</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That pursuant to and in accordance with section 411 of the Corporations Act 2001 (Cth), the scheme of arrangement proposed between the Company</w:t>
      </w:r>
      <w:r>
        <w:rPr>
          <w:rFonts w:ascii="Arial" w:cs="Arial" w:eastAsia="Arial" w:hAnsi="Arial"/>
          <w:sz w:val="18"/>
          <w:szCs w:val="18"/>
          <w:color w:val="auto"/>
        </w:rPr>
        <w:t xml:space="preserve"> </w:t>
      </w:r>
      <w:r>
        <w:rPr>
          <w:rFonts w:ascii="Arial" w:cs="Arial" w:eastAsia="Arial" w:hAnsi="Arial"/>
          <w:sz w:val="18"/>
          <w:szCs w:val="18"/>
          <w:i w:val="1"/>
          <w:iCs w:val="1"/>
          <w:color w:val="auto"/>
        </w:rPr>
        <w:t>and the holders of its ordinary shares, the terms of which are described in the Scheme Booklet, of which the notice convening this meeting forms part, is approved, and the Board is authorised to agree to such alterations or conditions as are thought fit by the Court and, subject to approval of the Scheme by the Court, to implement the Scheme with any such alterations or conditions.”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 now declare voting on the resolution open.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Requirements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shown on the screen, for the resolution to be passed and the scheme to be implemented:</w:t>
      </w:r>
    </w:p>
    <w:p>
      <w:pPr>
        <w:spacing w:after="0" w:line="131" w:lineRule="exact"/>
        <w:rPr>
          <w:sz w:val="20"/>
          <w:szCs w:val="20"/>
          <w:color w:val="auto"/>
        </w:rPr>
      </w:pPr>
    </w:p>
    <w:p>
      <w:pPr>
        <w:ind w:left="420" w:right="1040" w:hanging="316"/>
        <w:spacing w:after="0" w:line="277"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firstly, more than 50% of AVITA Medical shareholders who vote at this meeting, whether virtually in person or by proxy, attorney or representative, must vote in favour of the resolution; and</w:t>
      </w:r>
    </w:p>
    <w:p>
      <w:pPr>
        <w:spacing w:after="0" w:line="75" w:lineRule="exact"/>
        <w:rPr>
          <w:rFonts w:ascii="Arial" w:cs="Arial" w:eastAsia="Arial" w:hAnsi="Arial"/>
          <w:sz w:val="18"/>
          <w:szCs w:val="18"/>
          <w:color w:val="auto"/>
        </w:rPr>
      </w:pPr>
    </w:p>
    <w:p>
      <w:pPr>
        <w:ind w:left="420" w:right="180" w:hanging="316"/>
        <w:spacing w:after="0" w:line="277"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secondly, at least 75% of the total number of AVITA Medical shares (that is, votes) voted at this meeting, again whether virtually in person or by proxy, attorney or representative, must be voted in favour of the resolution.</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If the resolution is passed by the requisite majorities of shareholders, AVITA Medical will seek final approval of the scheme from the Federal Court of Australia on Monday, 22 June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are no shareholders excluded from voting on the resolution.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w:t>
      </w:r>
    </w:p>
    <w:p>
      <w:pPr>
        <w:spacing w:after="0" w:line="12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I will now address the questions received from shareholders prior to the meeting. David McIntyre will then address those questions that are submitted during this meeting and will either answer them or will otherwise pass those questions onto the most appropriate person to answer.</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Questions</w:t>
      </w:r>
      <w:r>
        <w:rPr>
          <w:rFonts w:ascii="Arial" w:cs="Arial" w:eastAsia="Arial" w:hAnsi="Arial"/>
          <w:sz w:val="18"/>
          <w:szCs w:val="18"/>
          <w:color w:val="auto"/>
        </w:rPr>
        <w:t>]</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Details of the proxies received for today’s meeting are now displayed on screen. As mentioned in the Notice of Meeting, I will cast all undirected proxies that I hold in my capacity as Chair of the meeting in favour of the resolution.</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Avita Medical Limited c/o Mertons Corporate Services Pty Ltd Level 7, 330 Collins Street, Melbourne Victoria 3000</w:t>
      </w:r>
    </w:p>
    <w:p>
      <w:pPr>
        <w:sectPr>
          <w:pgSz w:w="11900" w:h="16838" w:orient="portrait"/>
          <w:cols w:equalWidth="0" w:num="1">
            <w:col w:w="11020"/>
          </w:cols>
          <w:pgMar w:left="440" w:top="270" w:right="439" w:bottom="1440" w:gutter="0" w:footer="0" w:header="0"/>
        </w:sectPr>
      </w:pPr>
    </w:p>
    <w:bookmarkStart w:id="9" w:name="page10"/>
    <w:bookmarkEnd w:id="9"/>
    <w:tbl>
      <w:tblPr>
        <w:tblLayout w:type="fixed"/>
        <w:tblInd w:w="44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 of</w:t>
            </w:r>
          </w:p>
        </w:tc>
        <w:tc>
          <w:tcPr>
            <w:tcW w:w="11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 of</w:t>
            </w:r>
          </w:p>
        </w:tc>
        <w:tc>
          <w:tcPr>
            <w:tcW w:w="13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Number of</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960" w:type="dxa"/>
            <w:vAlign w:val="bottom"/>
          </w:tcPr>
          <w:p>
            <w:pPr>
              <w:jc w:val="right"/>
              <w:ind w:right="75"/>
              <w:spacing w:after="0"/>
              <w:rPr>
                <w:sz w:val="20"/>
                <w:szCs w:val="20"/>
                <w:color w:val="auto"/>
              </w:rPr>
            </w:pPr>
            <w:r>
              <w:rPr>
                <w:rFonts w:ascii="Arial" w:cs="Arial" w:eastAsia="Arial" w:hAnsi="Arial"/>
                <w:sz w:val="14"/>
                <w:szCs w:val="14"/>
                <w:b w:val="1"/>
                <w:bCs w:val="1"/>
                <w:color w:val="auto"/>
              </w:rPr>
              <w:t>Votes Cast</w:t>
            </w: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8"/>
              </w:rPr>
              <w:t>Votes Cast</w:t>
            </w:r>
          </w:p>
        </w:tc>
        <w:tc>
          <w:tcPr>
            <w:tcW w:w="520" w:type="dxa"/>
            <w:vAlign w:val="bottom"/>
          </w:tcPr>
          <w:p>
            <w:pPr>
              <w:spacing w:after="0"/>
              <w:rPr>
                <w:sz w:val="14"/>
                <w:szCs w:val="1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9"/>
              </w:rPr>
              <w:t>Shareholders</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Shareholders</w:t>
            </w:r>
          </w:p>
        </w:tc>
        <w:tc>
          <w:tcPr>
            <w:tcW w:w="0" w:type="dxa"/>
            <w:vAlign w:val="bottom"/>
          </w:tcPr>
          <w:p>
            <w:pPr>
              <w:spacing w:after="0"/>
              <w:rPr>
                <w:sz w:val="1"/>
                <w:szCs w:val="1"/>
                <w:color w:val="auto"/>
              </w:rPr>
            </w:pPr>
          </w:p>
        </w:tc>
      </w:tr>
      <w:tr>
        <w:trPr>
          <w:trHeight w:val="20"/>
        </w:trPr>
        <w:tc>
          <w:tcPr>
            <w:tcW w:w="5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For</w:t>
            </w:r>
          </w:p>
        </w:tc>
        <w:tc>
          <w:tcPr>
            <w:tcW w:w="9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916,721,976</w:t>
            </w:r>
          </w:p>
        </w:tc>
        <w:tc>
          <w:tcPr>
            <w:tcW w:w="460" w:type="dxa"/>
            <w:vAlign w:val="bottom"/>
            <w:vMerge w:val="continue"/>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97.19%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48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81.12%</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Against</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20,950,290</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2.22%</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154</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Open</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5,588,418</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0.59%</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Total</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943,260,684</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100%</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1,539</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Abstain</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3,786,450</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Requisite Majorities for resolution to pass</w:t>
            </w:r>
          </w:p>
        </w:tc>
        <w:tc>
          <w:tcPr>
            <w:tcW w:w="2600" w:type="dxa"/>
            <w:vAlign w:val="bottom"/>
            <w:gridSpan w:val="4"/>
          </w:tcPr>
          <w:p>
            <w:pPr>
              <w:jc w:val="right"/>
              <w:ind w:right="1060"/>
              <w:spacing w:after="0"/>
              <w:rPr>
                <w:sz w:val="20"/>
                <w:szCs w:val="20"/>
                <w:color w:val="auto"/>
              </w:rPr>
            </w:pPr>
            <w:r>
              <w:rPr>
                <w:rFonts w:ascii="Arial" w:cs="Arial" w:eastAsia="Arial" w:hAnsi="Arial"/>
                <w:sz w:val="18"/>
                <w:szCs w:val="18"/>
                <w:color w:val="auto"/>
              </w:rPr>
              <w:t>At least 75%</w:t>
            </w:r>
          </w:p>
        </w:tc>
        <w:tc>
          <w:tcPr>
            <w:tcW w:w="2320" w:type="dxa"/>
            <w:vAlign w:val="bottom"/>
            <w:gridSpan w:val="4"/>
          </w:tcPr>
          <w:p>
            <w:pPr>
              <w:jc w:val="right"/>
              <w:ind w:right="640"/>
              <w:spacing w:after="0"/>
              <w:rPr>
                <w:sz w:val="20"/>
                <w:szCs w:val="20"/>
                <w:color w:val="auto"/>
              </w:rPr>
            </w:pPr>
            <w:r>
              <w:rPr>
                <w:rFonts w:ascii="Arial" w:cs="Arial" w:eastAsia="Arial" w:hAnsi="Arial"/>
                <w:sz w:val="18"/>
                <w:szCs w:val="18"/>
                <w:color w:val="auto"/>
              </w:rPr>
              <w:t>More than 50%</w:t>
            </w:r>
          </w:p>
        </w:tc>
        <w:tc>
          <w:tcPr>
            <w:tcW w:w="0" w:type="dxa"/>
            <w:vAlign w:val="bottom"/>
          </w:tcPr>
          <w:p>
            <w:pPr>
              <w:spacing w:after="0"/>
              <w:rPr>
                <w:sz w:val="1"/>
                <w:szCs w:val="1"/>
                <w:color w:val="auto"/>
              </w:rPr>
            </w:pPr>
          </w:p>
        </w:tc>
      </w:tr>
    </w:tbl>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I put the resolution to the meeting once more. If you haven’t already done so, please cast your vote via the voting option on your screen or device.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Pause to allow time for voting</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Ladies and gentlemen that concludes the resolution to be presented to the meeting. If you haven’t already done so, please vote now, as the poll is about to close. We will close the voting on the poll in approximately 30 seconds.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Pause to allow time for voting</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 the poll is now closed and that concludes the proceedings of today’s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 poll will be released shortly on both the Company’s website and on the ASX Market Announcements Platform.</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As a reminder, for those of you who have the time, the Company’s CEO, Dr Mike Perry, will now walk us through the Company’s corporate presentation. Due to the unusual nature of today’s virtual format, Mike’s presentation will be relatively brief and, unfortunately, there is no mechanism for you to ask questions.</w:t>
      </w:r>
    </w:p>
    <w:p>
      <w:pPr>
        <w:spacing w:after="0" w:line="18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 would like to thank you all for your attendance, participation and understanding of the unusual circumstances in which we have met today. I now formally declare the meeting closed.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Thank you for joining us, and keep safe. Over to you Mike.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ends]</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Avita Medical Limited c/o Mertons Corporate Services Pty Ltd Level 7, 330 Collins Street, Melbourne Victoria 3000</w:t>
      </w:r>
    </w:p>
    <w:p>
      <w:pPr>
        <w:sectPr>
          <w:pgSz w:w="11900" w:h="16838" w:orient="portrait"/>
          <w:cols w:equalWidth="0" w:num="1">
            <w:col w:w="11020"/>
          </w:cols>
          <w:pgMar w:left="440" w:top="253" w:right="4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303020" cy="548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0302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ASX/News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Medical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Proposed redomiciliation to the United States of America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Scheme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6995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Valencia, Calif., USA, and Melbourne, Australia, 15 June 2020: </w:t>
      </w:r>
      <w:r>
        <w:rPr>
          <w:rFonts w:ascii="Arial" w:cs="Arial" w:eastAsia="Arial" w:hAnsi="Arial"/>
          <w:sz w:val="18"/>
          <w:szCs w:val="18"/>
          <w:color w:val="auto"/>
        </w:rPr>
        <w:t>AVITA Medical Limited ACN 058 466 523 (</w:t>
      </w:r>
      <w:r>
        <w:rPr>
          <w:rFonts w:ascii="Arial" w:cs="Arial" w:eastAsia="Arial" w:hAnsi="Arial"/>
          <w:sz w:val="18"/>
          <w:szCs w:val="18"/>
          <w:b w:val="1"/>
          <w:bCs w:val="1"/>
          <w:color w:val="auto"/>
        </w:rPr>
        <w:t>Company</w:t>
      </w:r>
      <w:r>
        <w:rPr>
          <w:rFonts w:ascii="Arial" w:cs="Arial" w:eastAsia="Arial" w:hAnsi="Arial"/>
          <w:sz w:val="18"/>
          <w:szCs w:val="18"/>
          <w:color w:val="auto"/>
        </w:rPr>
        <w:t>) is pleased to announce that</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today voted in favour of the scheme of arrangement to effect a redomiciliation of the Company and its subsidiaries (</w:t>
      </w:r>
      <w:r>
        <w:rPr>
          <w:rFonts w:ascii="Arial" w:cs="Arial" w:eastAsia="Arial" w:hAnsi="Arial"/>
          <w:sz w:val="18"/>
          <w:szCs w:val="18"/>
          <w:b w:val="1"/>
          <w:bCs w:val="1"/>
          <w:color w:val="auto"/>
        </w:rPr>
        <w:t>Avita Group</w:t>
      </w:r>
      <w:r>
        <w:rPr>
          <w:rFonts w:ascii="Arial" w:cs="Arial" w:eastAsia="Arial" w:hAnsi="Arial"/>
          <w:sz w:val="18"/>
          <w:szCs w:val="18"/>
          <w:color w:val="auto"/>
        </w:rPr>
        <w:t>) from Australia to the United States of America (</w:t>
      </w:r>
      <w:r>
        <w:rPr>
          <w:rFonts w:ascii="Arial" w:cs="Arial" w:eastAsia="Arial" w:hAnsi="Arial"/>
          <w:sz w:val="18"/>
          <w:szCs w:val="18"/>
          <w:b w:val="1"/>
          <w:bCs w:val="1"/>
          <w:color w:val="auto"/>
        </w:rPr>
        <w:t>Scheme</w:t>
      </w:r>
      <w:r>
        <w:rPr>
          <w:rFonts w:ascii="Arial" w:cs="Arial" w:eastAsia="Arial" w:hAnsi="Arial"/>
          <w:sz w:val="18"/>
          <w:szCs w:val="18"/>
          <w:color w:val="auto"/>
        </w:rPr>
        <w:t>), under which AVITA Therapeutics, Inc. (</w:t>
      </w:r>
      <w:r>
        <w:rPr>
          <w:rFonts w:ascii="Arial" w:cs="Arial" w:eastAsia="Arial" w:hAnsi="Arial"/>
          <w:sz w:val="18"/>
          <w:szCs w:val="18"/>
          <w:b w:val="1"/>
          <w:bCs w:val="1"/>
          <w:color w:val="auto"/>
        </w:rPr>
        <w:t>Avita US</w:t>
      </w:r>
      <w:r>
        <w:rPr>
          <w:rFonts w:ascii="Arial" w:cs="Arial" w:eastAsia="Arial" w:hAnsi="Arial"/>
          <w:sz w:val="18"/>
          <w:szCs w:val="18"/>
          <w:color w:val="auto"/>
        </w:rPr>
        <w:t>), a company incorporated in the State of Delaware in the United States of America, will become the parent company of the Avita Group.</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results of Scheme Meeting</w:t>
      </w:r>
    </w:p>
    <w:p>
      <w:pPr>
        <w:spacing w:after="0" w:line="12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 xml:space="preserve">In accordance with ASX Listing Rule 3.13.2 and section 251AA(2) of the </w:t>
      </w:r>
      <w:r>
        <w:rPr>
          <w:rFonts w:ascii="Arial" w:cs="Arial" w:eastAsia="Arial" w:hAnsi="Arial"/>
          <w:sz w:val="18"/>
          <w:szCs w:val="18"/>
          <w:i w:val="1"/>
          <w:iCs w:val="1"/>
          <w:color w:val="auto"/>
        </w:rPr>
        <w:t>Corporations Act 2001</w:t>
      </w:r>
      <w:r>
        <w:rPr>
          <w:rFonts w:ascii="Arial" w:cs="Arial" w:eastAsia="Arial" w:hAnsi="Arial"/>
          <w:sz w:val="18"/>
          <w:szCs w:val="18"/>
          <w:color w:val="auto"/>
        </w:rPr>
        <w:t xml:space="preserve"> (Cth), the Company advises that the resolution to approve the Scheme (set out in the Notice of Scheme Meeting contained in Appendix F of the Scheme Booklet) was passed on a poll by the requisite majorities of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voting results of the Scheme Meeting are attached to this announcement.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Next steps and key dates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Scheme will not be effective unless and until:</w:t>
      </w:r>
    </w:p>
    <w:p>
      <w:pPr>
        <w:spacing w:after="0" w:line="127" w:lineRule="exact"/>
        <w:rPr>
          <w:sz w:val="20"/>
          <w:szCs w:val="20"/>
          <w:color w:val="auto"/>
        </w:rPr>
      </w:pPr>
    </w:p>
    <w:p>
      <w:pPr>
        <w:ind w:left="420" w:right="660" w:hanging="316"/>
        <w:spacing w:after="0" w:line="282"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approval of the Federal Court of Australia (</w:t>
      </w:r>
      <w:r>
        <w:rPr>
          <w:rFonts w:ascii="Arial" w:cs="Arial" w:eastAsia="Arial" w:hAnsi="Arial"/>
          <w:sz w:val="18"/>
          <w:szCs w:val="18"/>
          <w:b w:val="1"/>
          <w:bCs w:val="1"/>
          <w:color w:val="auto"/>
        </w:rPr>
        <w:t>Court</w:t>
      </w:r>
      <w:r>
        <w:rPr>
          <w:rFonts w:ascii="Arial" w:cs="Arial" w:eastAsia="Arial" w:hAnsi="Arial"/>
          <w:sz w:val="18"/>
          <w:szCs w:val="18"/>
          <w:color w:val="auto"/>
        </w:rPr>
        <w:t>) is obtained at the second Court hearing in connection with the Scheme (</w:t>
      </w:r>
      <w:r>
        <w:rPr>
          <w:rFonts w:ascii="Arial" w:cs="Arial" w:eastAsia="Arial" w:hAnsi="Arial"/>
          <w:sz w:val="18"/>
          <w:szCs w:val="18"/>
          <w:b w:val="1"/>
          <w:bCs w:val="1"/>
          <w:color w:val="auto"/>
        </w:rPr>
        <w:t>Second Court</w:t>
      </w:r>
      <w:r>
        <w:rPr>
          <w:rFonts w:ascii="Arial" w:cs="Arial" w:eastAsia="Arial" w:hAnsi="Arial"/>
          <w:sz w:val="18"/>
          <w:szCs w:val="18"/>
          <w:color w:val="auto"/>
        </w:rPr>
        <w:t xml:space="preserve"> </w:t>
      </w:r>
      <w:r>
        <w:rPr>
          <w:rFonts w:ascii="Arial" w:cs="Arial" w:eastAsia="Arial" w:hAnsi="Arial"/>
          <w:sz w:val="18"/>
          <w:szCs w:val="18"/>
          <w:b w:val="1"/>
          <w:bCs w:val="1"/>
          <w:color w:val="auto"/>
        </w:rPr>
        <w:t>Hearing</w:t>
      </w:r>
      <w:r>
        <w:rPr>
          <w:rFonts w:ascii="Arial" w:cs="Arial" w:eastAsia="Arial" w:hAnsi="Arial"/>
          <w:sz w:val="18"/>
          <w:szCs w:val="18"/>
          <w:color w:val="auto"/>
        </w:rPr>
        <w:t>); and</w:t>
      </w:r>
    </w:p>
    <w:p>
      <w:pPr>
        <w:spacing w:after="0" w:line="67" w:lineRule="exact"/>
        <w:rPr>
          <w:rFonts w:ascii="Arial" w:cs="Arial" w:eastAsia="Arial" w:hAnsi="Arial"/>
          <w:sz w:val="18"/>
          <w:szCs w:val="18"/>
          <w:color w:val="auto"/>
        </w:rPr>
      </w:pPr>
    </w:p>
    <w:p>
      <w:pPr>
        <w:ind w:left="420" w:hanging="316"/>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Court orders have been lodged with the Australian Securities and Investments Commission (</w:t>
      </w:r>
      <w:r>
        <w:rPr>
          <w:rFonts w:ascii="Arial" w:cs="Arial" w:eastAsia="Arial" w:hAnsi="Arial"/>
          <w:sz w:val="18"/>
          <w:szCs w:val="18"/>
          <w:b w:val="1"/>
          <w:bCs w:val="1"/>
          <w:color w:val="auto"/>
        </w:rPr>
        <w:t>ASIC</w:t>
      </w:r>
      <w:r>
        <w:rPr>
          <w:rFonts w:ascii="Arial" w:cs="Arial" w:eastAsia="Arial" w:hAnsi="Arial"/>
          <w:sz w:val="18"/>
          <w:szCs w:val="18"/>
          <w:color w:val="auto"/>
        </w:rPr>
        <w:t>).</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Second Court Hearing is scheduled to be held at 9.30am (AEST) on Monday, 22 June 2020. If the Court approves the Scheme, the Company expects to lodge the Court orders with ASIC on Tuesday, 23 June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expected timetable for implementation of the Scheme is set out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Event</w:t>
            </w:r>
          </w:p>
        </w:tc>
        <w:tc>
          <w:tcPr>
            <w:tcW w:w="288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Indicative Date</w:t>
            </w:r>
          </w:p>
        </w:tc>
      </w:tr>
      <w:tr>
        <w:trPr>
          <w:trHeight w:val="311"/>
        </w:trPr>
        <w:tc>
          <w:tcPr>
            <w:tcW w:w="8140" w:type="dxa"/>
            <w:vAlign w:val="bottom"/>
            <w:gridSpan w:val="2"/>
          </w:tcPr>
          <w:p>
            <w:pPr>
              <w:spacing w:after="0"/>
              <w:rPr>
                <w:sz w:val="20"/>
                <w:szCs w:val="20"/>
                <w:color w:val="auto"/>
              </w:rPr>
            </w:pPr>
            <w:r>
              <w:rPr>
                <w:rFonts w:ascii="Arial" w:cs="Arial" w:eastAsia="Arial" w:hAnsi="Arial"/>
                <w:sz w:val="18"/>
                <w:szCs w:val="18"/>
                <w:color w:val="auto"/>
              </w:rPr>
              <w:t>Second Court Hearing</w:t>
            </w:r>
          </w:p>
        </w:tc>
        <w:tc>
          <w:tcPr>
            <w:tcW w:w="2880" w:type="dxa"/>
            <w:vAlign w:val="bottom"/>
          </w:tcPr>
          <w:p>
            <w:pPr>
              <w:ind w:left="20"/>
              <w:spacing w:after="0"/>
              <w:rPr>
                <w:sz w:val="20"/>
                <w:szCs w:val="20"/>
                <w:color w:val="auto"/>
              </w:rPr>
            </w:pPr>
            <w:r>
              <w:rPr>
                <w:rFonts w:ascii="Arial" w:cs="Arial" w:eastAsia="Arial" w:hAnsi="Arial"/>
                <w:sz w:val="18"/>
                <w:szCs w:val="18"/>
                <w:color w:val="auto"/>
              </w:rPr>
              <w:t>22 June 2020</w:t>
            </w:r>
          </w:p>
        </w:tc>
      </w:tr>
      <w:tr>
        <w:trPr>
          <w:trHeight w:val="310"/>
        </w:trPr>
        <w:tc>
          <w:tcPr>
            <w:tcW w:w="8140" w:type="dxa"/>
            <w:vAlign w:val="bottom"/>
            <w:gridSpan w:val="2"/>
          </w:tcPr>
          <w:p>
            <w:pPr>
              <w:spacing w:after="0"/>
              <w:rPr>
                <w:sz w:val="20"/>
                <w:szCs w:val="20"/>
                <w:color w:val="auto"/>
              </w:rPr>
            </w:pPr>
            <w:r>
              <w:rPr>
                <w:rFonts w:ascii="Arial" w:cs="Arial" w:eastAsia="Arial" w:hAnsi="Arial"/>
                <w:sz w:val="18"/>
                <w:szCs w:val="18"/>
                <w:color w:val="auto"/>
              </w:rPr>
              <w:t>Effective Date for the Scheme</w:t>
            </w:r>
          </w:p>
        </w:tc>
        <w:tc>
          <w:tcPr>
            <w:tcW w:w="2880" w:type="dxa"/>
            <w:vAlign w:val="bottom"/>
          </w:tcPr>
          <w:p>
            <w:pPr>
              <w:ind w:left="20"/>
              <w:spacing w:after="0"/>
              <w:rPr>
                <w:sz w:val="20"/>
                <w:szCs w:val="20"/>
                <w:color w:val="auto"/>
              </w:rPr>
            </w:pPr>
            <w:r>
              <w:rPr>
                <w:rFonts w:ascii="Arial" w:cs="Arial" w:eastAsia="Arial" w:hAnsi="Arial"/>
                <w:sz w:val="18"/>
                <w:szCs w:val="18"/>
                <w:color w:val="auto"/>
              </w:rPr>
              <w:t>23 June 2020</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Last day of trading of the Company’s shares on the ASX</w:t>
            </w:r>
          </w:p>
        </w:tc>
        <w:tc>
          <w:tcPr>
            <w:tcW w:w="2880" w:type="dxa"/>
            <w:vAlign w:val="bottom"/>
          </w:tcPr>
          <w:p>
            <w:pPr>
              <w:spacing w:after="0"/>
              <w:rPr>
                <w:sz w:val="20"/>
                <w:szCs w:val="20"/>
                <w:color w:val="auto"/>
              </w:rPr>
            </w:pPr>
          </w:p>
        </w:tc>
      </w:tr>
      <w:tr>
        <w:trPr>
          <w:trHeight w:val="337"/>
        </w:trPr>
        <w:tc>
          <w:tcPr>
            <w:tcW w:w="8140" w:type="dxa"/>
            <w:vAlign w:val="bottom"/>
            <w:gridSpan w:val="2"/>
          </w:tcPr>
          <w:p>
            <w:pPr>
              <w:spacing w:after="0"/>
              <w:rPr>
                <w:sz w:val="20"/>
                <w:szCs w:val="20"/>
                <w:color w:val="auto"/>
              </w:rPr>
            </w:pPr>
            <w:r>
              <w:rPr>
                <w:rFonts w:ascii="Arial" w:cs="Arial" w:eastAsia="Arial" w:hAnsi="Arial"/>
                <w:sz w:val="18"/>
                <w:szCs w:val="18"/>
                <w:color w:val="auto"/>
              </w:rPr>
              <w:t>Listing of Avita US on the ASX</w:t>
            </w:r>
          </w:p>
        </w:tc>
        <w:tc>
          <w:tcPr>
            <w:tcW w:w="2880" w:type="dxa"/>
            <w:vAlign w:val="bottom"/>
          </w:tcPr>
          <w:p>
            <w:pPr>
              <w:ind w:left="20"/>
              <w:spacing w:after="0"/>
              <w:rPr>
                <w:sz w:val="20"/>
                <w:szCs w:val="20"/>
                <w:color w:val="auto"/>
              </w:rPr>
            </w:pPr>
            <w:r>
              <w:rPr>
                <w:rFonts w:ascii="Arial" w:cs="Arial" w:eastAsia="Arial" w:hAnsi="Arial"/>
                <w:sz w:val="18"/>
                <w:szCs w:val="18"/>
                <w:color w:val="auto"/>
              </w:rPr>
              <w:t>24 June 2020</w:t>
            </w:r>
          </w:p>
        </w:tc>
      </w:tr>
      <w:tr>
        <w:trPr>
          <w:trHeight w:val="338"/>
        </w:trPr>
        <w:tc>
          <w:tcPr>
            <w:tcW w:w="8140" w:type="dxa"/>
            <w:vAlign w:val="bottom"/>
            <w:gridSpan w:val="2"/>
          </w:tcPr>
          <w:p>
            <w:pPr>
              <w:spacing w:after="0"/>
              <w:rPr>
                <w:sz w:val="20"/>
                <w:szCs w:val="20"/>
                <w:color w:val="auto"/>
              </w:rPr>
            </w:pPr>
            <w:r>
              <w:rPr>
                <w:rFonts w:ascii="Arial" w:cs="Arial" w:eastAsia="Arial" w:hAnsi="Arial"/>
                <w:sz w:val="18"/>
                <w:szCs w:val="18"/>
                <w:color w:val="auto"/>
                <w:w w:val="92"/>
              </w:rPr>
              <w:t>Trading of Avita US Chess Depositary Interests (</w:t>
            </w:r>
            <w:r>
              <w:rPr>
                <w:rFonts w:ascii="Arial" w:cs="Arial" w:eastAsia="Arial" w:hAnsi="Arial"/>
                <w:sz w:val="18"/>
                <w:szCs w:val="18"/>
                <w:b w:val="1"/>
                <w:bCs w:val="1"/>
                <w:color w:val="auto"/>
                <w:w w:val="92"/>
              </w:rPr>
              <w:t>CDIs</w:t>
            </w:r>
            <w:r>
              <w:rPr>
                <w:rFonts w:ascii="Arial" w:cs="Arial" w:eastAsia="Arial" w:hAnsi="Arial"/>
                <w:sz w:val="18"/>
                <w:szCs w:val="18"/>
                <w:color w:val="auto"/>
                <w:w w:val="92"/>
              </w:rPr>
              <w:t>) commences on the ASX on a deferred settlement basis</w:t>
            </w:r>
          </w:p>
        </w:tc>
        <w:tc>
          <w:tcPr>
            <w:tcW w:w="2880" w:type="dxa"/>
            <w:vAlign w:val="bottom"/>
          </w:tcPr>
          <w:p>
            <w:pPr>
              <w:spacing w:after="0"/>
              <w:rPr>
                <w:sz w:val="24"/>
                <w:szCs w:val="24"/>
                <w:color w:val="auto"/>
              </w:rPr>
            </w:pPr>
          </w:p>
        </w:tc>
      </w:tr>
      <w:tr>
        <w:trPr>
          <w:trHeight w:val="323"/>
        </w:trPr>
        <w:tc>
          <w:tcPr>
            <w:tcW w:w="8140" w:type="dxa"/>
            <w:vAlign w:val="bottom"/>
            <w:gridSpan w:val="2"/>
          </w:tcPr>
          <w:p>
            <w:pPr>
              <w:spacing w:after="0"/>
              <w:rPr>
                <w:sz w:val="20"/>
                <w:szCs w:val="20"/>
                <w:color w:val="auto"/>
              </w:rPr>
            </w:pPr>
            <w:r>
              <w:rPr>
                <w:rFonts w:ascii="Arial" w:cs="Arial" w:eastAsia="Arial" w:hAnsi="Arial"/>
                <w:sz w:val="18"/>
                <w:szCs w:val="18"/>
                <w:color w:val="auto"/>
                <w:w w:val="92"/>
              </w:rPr>
              <w:t>Record Date (for determining the entitlements of shareholders of the Company to Avita US shares or Avita US</w:t>
            </w:r>
          </w:p>
        </w:tc>
        <w:tc>
          <w:tcPr>
            <w:tcW w:w="2880" w:type="dxa"/>
            <w:vAlign w:val="bottom"/>
          </w:tcPr>
          <w:p>
            <w:pPr>
              <w:ind w:left="20"/>
              <w:spacing w:after="0"/>
              <w:rPr>
                <w:sz w:val="20"/>
                <w:szCs w:val="20"/>
                <w:color w:val="auto"/>
              </w:rPr>
            </w:pPr>
            <w:r>
              <w:rPr>
                <w:rFonts w:ascii="Arial" w:cs="Arial" w:eastAsia="Arial" w:hAnsi="Arial"/>
                <w:sz w:val="18"/>
                <w:szCs w:val="18"/>
                <w:color w:val="auto"/>
              </w:rPr>
              <w:t>7.00pm (AEST) on 25 June 2020</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CDIs)</w:t>
            </w:r>
          </w:p>
        </w:tc>
        <w:tc>
          <w:tcPr>
            <w:tcW w:w="2880" w:type="dxa"/>
            <w:vAlign w:val="bottom"/>
          </w:tcPr>
          <w:p>
            <w:pPr>
              <w:spacing w:after="0"/>
              <w:rPr>
                <w:sz w:val="20"/>
                <w:szCs w:val="20"/>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Avita Medical Limited c/o Mertons Corporate Services Pty Ltd Level 7, 330 Collins Street, Melbourne Victoria 3000</w:t>
      </w:r>
    </w:p>
    <w:p>
      <w:pPr>
        <w:sectPr>
          <w:pgSz w:w="11900" w:h="16838" w:orient="portrait"/>
          <w:cols w:equalWidth="0" w:num="1">
            <w:col w:w="11020"/>
          </w:cols>
          <w:pgMar w:left="440" w:top="121" w:right="4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r>
              <w:rPr>
                <w:rFonts w:ascii="Arial" w:cs="Arial" w:eastAsia="Arial" w:hAnsi="Arial"/>
                <w:sz w:val="18"/>
                <w:szCs w:val="18"/>
                <w:color w:val="auto"/>
              </w:rPr>
              <w:t>Last day of trading of the Company’s American Depositary Shares (</w:t>
            </w:r>
            <w:r>
              <w:rPr>
                <w:rFonts w:ascii="Arial" w:cs="Arial" w:eastAsia="Arial" w:hAnsi="Arial"/>
                <w:sz w:val="18"/>
                <w:szCs w:val="18"/>
                <w:b w:val="1"/>
                <w:bCs w:val="1"/>
                <w:color w:val="auto"/>
              </w:rPr>
              <w:t>ADSs</w:t>
            </w:r>
            <w:r>
              <w:rPr>
                <w:rFonts w:ascii="Arial" w:cs="Arial" w:eastAsia="Arial" w:hAnsi="Arial"/>
                <w:sz w:val="18"/>
                <w:szCs w:val="18"/>
                <w:color w:val="auto"/>
              </w:rPr>
              <w:t>) on NASDAQ</w:t>
            </w:r>
          </w:p>
        </w:tc>
        <w:tc>
          <w:tcPr>
            <w:tcW w:w="1880" w:type="dxa"/>
            <w:vAlign w:val="bottom"/>
          </w:tcPr>
          <w:p>
            <w:pPr>
              <w:ind w:left="220"/>
              <w:spacing w:after="0"/>
              <w:rPr>
                <w:sz w:val="20"/>
                <w:szCs w:val="20"/>
                <w:color w:val="auto"/>
              </w:rPr>
            </w:pPr>
            <w:r>
              <w:rPr>
                <w:rFonts w:ascii="Arial" w:cs="Arial" w:eastAsia="Arial" w:hAnsi="Arial"/>
                <w:sz w:val="18"/>
                <w:szCs w:val="18"/>
                <w:color w:val="auto"/>
              </w:rPr>
              <w:t>29 June 2020</w:t>
            </w:r>
          </w:p>
        </w:tc>
        <w:tc>
          <w:tcPr>
            <w:tcW w:w="0" w:type="dxa"/>
            <w:vAlign w:val="bottom"/>
          </w:tcPr>
          <w:p>
            <w:pPr>
              <w:spacing w:after="0"/>
              <w:rPr>
                <w:sz w:val="1"/>
                <w:szCs w:val="1"/>
                <w:color w:val="auto"/>
              </w:rPr>
            </w:pPr>
          </w:p>
        </w:tc>
      </w:tr>
      <w:tr>
        <w:trPr>
          <w:trHeight w:val="338"/>
        </w:trPr>
        <w:tc>
          <w:tcPr>
            <w:tcW w:w="7940" w:type="dxa"/>
            <w:vAlign w:val="bottom"/>
          </w:tcPr>
          <w:p>
            <w:pPr>
              <w:spacing w:after="0"/>
              <w:rPr>
                <w:sz w:val="20"/>
                <w:szCs w:val="20"/>
                <w:color w:val="auto"/>
              </w:rPr>
            </w:pPr>
            <w:r>
              <w:rPr>
                <w:rFonts w:ascii="Arial" w:cs="Arial" w:eastAsia="Arial" w:hAnsi="Arial"/>
                <w:sz w:val="18"/>
                <w:szCs w:val="18"/>
                <w:color w:val="auto"/>
              </w:rPr>
              <w:t>Last day of trading of Avita US CDIs on the ASX on a deferred settlement basis</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940" w:type="dxa"/>
            <w:vAlign w:val="bottom"/>
          </w:tcPr>
          <w:p>
            <w:pPr>
              <w:spacing w:after="0"/>
              <w:rPr>
                <w:sz w:val="20"/>
                <w:szCs w:val="20"/>
                <w:color w:val="auto"/>
              </w:rPr>
            </w:pPr>
            <w:r>
              <w:rPr>
                <w:rFonts w:ascii="Arial" w:cs="Arial" w:eastAsia="Arial" w:hAnsi="Arial"/>
                <w:sz w:val="18"/>
                <w:szCs w:val="18"/>
                <w:color w:val="auto"/>
              </w:rPr>
              <w:t>Implementation Date</w:t>
            </w:r>
          </w:p>
        </w:tc>
        <w:tc>
          <w:tcPr>
            <w:tcW w:w="1880" w:type="dxa"/>
            <w:vAlign w:val="bottom"/>
          </w:tcPr>
          <w:p>
            <w:pPr>
              <w:ind w:left="220"/>
              <w:spacing w:after="0"/>
              <w:rPr>
                <w:sz w:val="20"/>
                <w:szCs w:val="20"/>
                <w:color w:val="auto"/>
              </w:rPr>
            </w:pPr>
            <w:r>
              <w:rPr>
                <w:rFonts w:ascii="Arial" w:cs="Arial" w:eastAsia="Arial" w:hAnsi="Arial"/>
                <w:sz w:val="18"/>
                <w:szCs w:val="18"/>
                <w:color w:val="auto"/>
              </w:rPr>
              <w:t>29 June 2020</w:t>
            </w:r>
          </w:p>
        </w:tc>
        <w:tc>
          <w:tcPr>
            <w:tcW w:w="0" w:type="dxa"/>
            <w:vAlign w:val="bottom"/>
          </w:tcPr>
          <w:p>
            <w:pPr>
              <w:spacing w:after="0"/>
              <w:rPr>
                <w:sz w:val="1"/>
                <w:szCs w:val="1"/>
                <w:color w:val="auto"/>
              </w:rPr>
            </w:pPr>
          </w:p>
        </w:tc>
      </w:tr>
      <w:tr>
        <w:trPr>
          <w:trHeight w:val="323"/>
        </w:trPr>
        <w:tc>
          <w:tcPr>
            <w:tcW w:w="7940" w:type="dxa"/>
            <w:vAlign w:val="bottom"/>
          </w:tcPr>
          <w:p>
            <w:pPr>
              <w:spacing w:after="0"/>
              <w:rPr>
                <w:sz w:val="20"/>
                <w:szCs w:val="20"/>
                <w:color w:val="auto"/>
              </w:rPr>
            </w:pPr>
            <w:r>
              <w:rPr>
                <w:rFonts w:ascii="Arial" w:cs="Arial" w:eastAsia="Arial" w:hAnsi="Arial"/>
                <w:sz w:val="18"/>
                <w:szCs w:val="18"/>
                <w:color w:val="auto"/>
                <w:w w:val="92"/>
              </w:rPr>
              <w:t>The shares of the Company are transferred to Avita US and Avita US shares or Avita US CDIs are issued to</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eligible shareholders of the Company</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940" w:type="dxa"/>
            <w:vAlign w:val="bottom"/>
          </w:tcPr>
          <w:p>
            <w:pPr>
              <w:spacing w:after="0"/>
              <w:rPr>
                <w:sz w:val="20"/>
                <w:szCs w:val="20"/>
                <w:color w:val="auto"/>
              </w:rPr>
            </w:pPr>
            <w:r>
              <w:rPr>
                <w:rFonts w:ascii="Arial" w:cs="Arial" w:eastAsia="Arial" w:hAnsi="Arial"/>
                <w:sz w:val="18"/>
                <w:szCs w:val="18"/>
                <w:color w:val="auto"/>
              </w:rPr>
              <w:t>Listing of Avita US on NASDAQ</w:t>
            </w:r>
          </w:p>
        </w:tc>
        <w:tc>
          <w:tcPr>
            <w:tcW w:w="1880" w:type="dxa"/>
            <w:vAlign w:val="bottom"/>
          </w:tcPr>
          <w:p>
            <w:pPr>
              <w:ind w:left="220"/>
              <w:spacing w:after="0"/>
              <w:rPr>
                <w:sz w:val="20"/>
                <w:szCs w:val="20"/>
                <w:color w:val="auto"/>
              </w:rPr>
            </w:pPr>
            <w:r>
              <w:rPr>
                <w:rFonts w:ascii="Arial" w:cs="Arial" w:eastAsia="Arial" w:hAnsi="Arial"/>
                <w:sz w:val="18"/>
                <w:szCs w:val="18"/>
                <w:color w:val="auto"/>
                <w:w w:val="93"/>
              </w:rPr>
              <w:t>Promptly following the</w:t>
            </w:r>
          </w:p>
        </w:tc>
        <w:tc>
          <w:tcPr>
            <w:tcW w:w="0" w:type="dxa"/>
            <w:vAlign w:val="bottom"/>
          </w:tcPr>
          <w:p>
            <w:pPr>
              <w:spacing w:after="0"/>
              <w:rPr>
                <w:sz w:val="1"/>
                <w:szCs w:val="1"/>
                <w:color w:val="auto"/>
              </w:rPr>
            </w:pPr>
          </w:p>
        </w:tc>
      </w:tr>
      <w:tr>
        <w:trPr>
          <w:trHeight w:val="230"/>
        </w:trPr>
        <w:tc>
          <w:tcPr>
            <w:tcW w:w="7940" w:type="dxa"/>
            <w:vAlign w:val="bottom"/>
            <w:vMerge w:val="restart"/>
          </w:tcPr>
          <w:p>
            <w:pPr>
              <w:spacing w:after="0"/>
              <w:rPr>
                <w:sz w:val="20"/>
                <w:szCs w:val="20"/>
                <w:color w:val="auto"/>
              </w:rPr>
            </w:pPr>
            <w:r>
              <w:rPr>
                <w:rFonts w:ascii="Arial" w:cs="Arial" w:eastAsia="Arial" w:hAnsi="Arial"/>
                <w:sz w:val="18"/>
                <w:szCs w:val="18"/>
                <w:color w:val="auto"/>
              </w:rPr>
              <w:t>Trading of Avita US shares commences on NASDAQ</w:t>
            </w:r>
          </w:p>
        </w:tc>
        <w:tc>
          <w:tcPr>
            <w:tcW w:w="1880" w:type="dxa"/>
            <w:vAlign w:val="bottom"/>
          </w:tcPr>
          <w:p>
            <w:pPr>
              <w:ind w:left="220"/>
              <w:spacing w:after="0"/>
              <w:rPr>
                <w:sz w:val="20"/>
                <w:szCs w:val="20"/>
                <w:color w:val="auto"/>
              </w:rPr>
            </w:pPr>
            <w:r>
              <w:rPr>
                <w:rFonts w:ascii="Arial" w:cs="Arial" w:eastAsia="Arial" w:hAnsi="Arial"/>
                <w:sz w:val="18"/>
                <w:szCs w:val="18"/>
                <w:color w:val="auto"/>
                <w:w w:val="98"/>
              </w:rPr>
              <w:t>Implementation Date</w:t>
            </w:r>
          </w:p>
        </w:tc>
        <w:tc>
          <w:tcPr>
            <w:tcW w:w="0" w:type="dxa"/>
            <w:vAlign w:val="bottom"/>
          </w:tcPr>
          <w:p>
            <w:pPr>
              <w:spacing w:after="0"/>
              <w:rPr>
                <w:sz w:val="1"/>
                <w:szCs w:val="1"/>
                <w:color w:val="auto"/>
              </w:rPr>
            </w:pPr>
          </w:p>
        </w:tc>
      </w:tr>
      <w:tr>
        <w:trPr>
          <w:trHeight w:val="122"/>
        </w:trPr>
        <w:tc>
          <w:tcPr>
            <w:tcW w:w="7940" w:type="dxa"/>
            <w:vAlign w:val="bottom"/>
            <w:vMerge w:val="continue"/>
          </w:tcPr>
          <w:p>
            <w:pPr>
              <w:spacing w:after="0"/>
              <w:rPr>
                <w:sz w:val="10"/>
                <w:szCs w:val="10"/>
                <w:color w:val="auto"/>
              </w:rPr>
            </w:pPr>
          </w:p>
        </w:tc>
        <w:tc>
          <w:tcPr>
            <w:tcW w:w="1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7940" w:type="dxa"/>
            <w:vAlign w:val="bottom"/>
          </w:tcPr>
          <w:p>
            <w:pPr>
              <w:spacing w:after="0"/>
              <w:rPr>
                <w:sz w:val="20"/>
                <w:szCs w:val="20"/>
                <w:color w:val="auto"/>
              </w:rPr>
            </w:pPr>
            <w:r>
              <w:rPr>
                <w:rFonts w:ascii="Arial" w:cs="Arial" w:eastAsia="Arial" w:hAnsi="Arial"/>
                <w:sz w:val="18"/>
                <w:szCs w:val="18"/>
                <w:color w:val="auto"/>
              </w:rPr>
              <w:t>Trading of Avita US CDIs commences on the ASX on a normal basis</w:t>
            </w:r>
          </w:p>
        </w:tc>
        <w:tc>
          <w:tcPr>
            <w:tcW w:w="1880" w:type="dxa"/>
            <w:vAlign w:val="bottom"/>
          </w:tcPr>
          <w:p>
            <w:pPr>
              <w:ind w:left="220"/>
              <w:spacing w:after="0"/>
              <w:rPr>
                <w:sz w:val="20"/>
                <w:szCs w:val="20"/>
                <w:color w:val="auto"/>
              </w:rPr>
            </w:pPr>
            <w:r>
              <w:rPr>
                <w:rFonts w:ascii="Arial" w:cs="Arial" w:eastAsia="Arial" w:hAnsi="Arial"/>
                <w:sz w:val="18"/>
                <w:szCs w:val="18"/>
                <w:color w:val="auto"/>
              </w:rPr>
              <w:t>30 June 2020</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right="60"/>
        <w:spacing w:after="0" w:line="277" w:lineRule="auto"/>
        <w:rPr>
          <w:sz w:val="20"/>
          <w:szCs w:val="20"/>
          <w:color w:val="auto"/>
        </w:rPr>
      </w:pPr>
      <w:r>
        <w:rPr>
          <w:rFonts w:ascii="Arial" w:cs="Arial" w:eastAsia="Arial" w:hAnsi="Arial"/>
          <w:sz w:val="18"/>
          <w:szCs w:val="18"/>
          <w:color w:val="auto"/>
        </w:rPr>
        <w:t>The above dates are indicative only and are subject to change. The Scheme remains subject to satisfaction or, where applicable, waiver of the conditions precedent to the Scheme (as set out in the Scheme Implementation Agreement).</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Any changes to the above dates will be announced to the ASX and NASDAQ and via news release, and will also be notified on the Company’s website (www.avitamedical.com).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Authorised for release by the Chief Financial Officer of AVITA Medical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AVITA MEDICAL LIMITED</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AVITA Medical is a regenerative medicine company with a technology platform positioned to address unmet medical needs in burns, chronic wounds, and aesthetics indications. AVITA Medical’s patented and proprietary collection and application technology provides innovative treatment solutions derived from the regenerative properties of a patient’s own skin. The medical devices work by preparing a RES</w:t>
      </w:r>
      <w:r>
        <w:rPr>
          <w:rFonts w:ascii="Arial" w:cs="Arial" w:eastAsia="Arial" w:hAnsi="Arial"/>
          <w:sz w:val="15"/>
          <w:szCs w:val="15"/>
          <w:color w:val="auto"/>
        </w:rPr>
        <w:t>®</w:t>
      </w:r>
      <w:r>
        <w:rPr>
          <w:rFonts w:ascii="Arial" w:cs="Arial" w:eastAsia="Arial" w:hAnsi="Arial"/>
          <w:sz w:val="18"/>
          <w:szCs w:val="18"/>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18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AVITA Medical’s first U.S. product, the RECELL</w:t>
      </w:r>
      <w:r>
        <w:rPr>
          <w:rFonts w:ascii="Arial" w:cs="Arial" w:eastAsia="Arial" w:hAnsi="Arial"/>
          <w:sz w:val="14"/>
          <w:szCs w:val="14"/>
          <w:color w:val="auto"/>
        </w:rPr>
        <w:t>®</w:t>
      </w:r>
      <w:r>
        <w:rPr>
          <w:rFonts w:ascii="Arial" w:cs="Arial" w:eastAsia="Arial" w:hAnsi="Arial"/>
          <w:sz w:val="17"/>
          <w:szCs w:val="17"/>
          <w:color w:val="auto"/>
        </w:rPr>
        <w:t xml:space="preserve"> System, was approved by the U.S. Food and Drug Administration (FDA) in September 2018. The RECELL System is indicated for use in the treatment of acute thermal burns in patients 18 years and older. The RECELL System is used to prepare Spray-On Skin</w:t>
      </w:r>
      <w:r>
        <w:rPr>
          <w:rFonts w:ascii="Arial" w:cs="Arial" w:eastAsia="Arial" w:hAnsi="Arial"/>
          <w:sz w:val="14"/>
          <w:szCs w:val="14"/>
          <w:color w:val="auto"/>
        </w:rPr>
        <w:t>™</w:t>
      </w:r>
      <w:r>
        <w:rPr>
          <w:rFonts w:ascii="Arial" w:cs="Arial" w:eastAsia="Arial" w:hAnsi="Arial"/>
          <w:sz w:val="17"/>
          <w:szCs w:val="17"/>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8,000 patients globally, reinforce that the RECELL System is a significant advancement over the current standard of care for burn patients and offers benefits in clinical outcomes and cost savings. Healthcare professionals should read the</w:t>
      </w:r>
    </w:p>
    <w:p>
      <w:pPr>
        <w:spacing w:after="0" w:line="17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INSTRUCTIONS FOR USE—RECELL</w:t>
      </w:r>
      <w:r>
        <w:rPr>
          <w:rFonts w:ascii="Arial" w:cs="Arial" w:eastAsia="Arial" w:hAnsi="Arial"/>
          <w:sz w:val="15"/>
          <w:szCs w:val="15"/>
          <w:color w:val="auto"/>
        </w:rPr>
        <w:t>®</w:t>
      </w:r>
      <w:r>
        <w:rPr>
          <w:rFonts w:ascii="Arial" w:cs="Arial" w:eastAsia="Arial" w:hAnsi="Arial"/>
          <w:sz w:val="18"/>
          <w:szCs w:val="18"/>
          <w:color w:val="auto"/>
        </w:rPr>
        <w:t xml:space="preserve"> Autologous Cell Harvesting Device (</w:t>
      </w:r>
      <w:r>
        <w:rPr>
          <w:rFonts w:ascii="Arial" w:cs="Arial" w:eastAsia="Arial" w:hAnsi="Arial"/>
          <w:sz w:val="18"/>
          <w:szCs w:val="18"/>
          <w:u w:val="single" w:color="auto"/>
          <w:color w:val="auto"/>
        </w:rPr>
        <w:t>https://recellsystem.com/</w:t>
      </w:r>
      <w:r>
        <w:rPr>
          <w:rFonts w:ascii="Arial" w:cs="Arial" w:eastAsia="Arial" w:hAnsi="Arial"/>
          <w:sz w:val="18"/>
          <w:szCs w:val="18"/>
          <w:color w:val="auto"/>
        </w:rPr>
        <w:t>) for a full description of indications for use and important safety information including contraindications, warnings and precautions.</w:t>
      </w:r>
    </w:p>
    <w:p>
      <w:pPr>
        <w:spacing w:after="0" w:line="17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international markets, our products are marketed under the RECELL System brand to promote skin healing in a wide range of applications including burns, chronic wounds and aesthetics. The RECELL System is TGA-registered in Australia and received CE-mark approval in Europe.</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Avita Medical Limited c/o Mertons Corporate Services Pty Ltd Level 7, 330 Collins Street, Melbourne Victoria 3000</w:t>
      </w:r>
    </w:p>
    <w:p>
      <w:pPr>
        <w:sectPr>
          <w:pgSz w:w="11900" w:h="16838" w:orient="portrait"/>
          <w:cols w:equalWidth="0" w:num="1">
            <w:col w:w="11020"/>
          </w:cols>
          <w:pgMar w:left="440" w:top="270"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To learn more, visit </w:t>
      </w:r>
      <w:r>
        <w:rPr>
          <w:rFonts w:ascii="Arial" w:cs="Arial" w:eastAsia="Arial" w:hAnsi="Arial"/>
          <w:sz w:val="18"/>
          <w:szCs w:val="18"/>
          <w:u w:val="single" w:color="auto"/>
          <w:color w:val="auto"/>
        </w:rPr>
        <w:t>www.avitamedical.com</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This announcement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announcement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 looking statement contained in this announcement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announcement. Investors are encouraged to read our publicly available filings for a discussion of these and other risks and uncertainties. The forward-looking statements in this announcement speak only as of the date of this release, and we undertake no obligation to update or revise any of these statements.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FOR FURTHER INFORMATION:</w:t>
            </w:r>
          </w:p>
        </w:tc>
        <w:tc>
          <w:tcPr>
            <w:tcW w:w="15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567"/>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U.S. Media</w:t>
            </w:r>
          </w:p>
        </w:tc>
        <w:tc>
          <w:tcPr>
            <w:tcW w:w="3880" w:type="dxa"/>
            <w:vAlign w:val="bottom"/>
            <w:gridSpan w:val="2"/>
          </w:tcPr>
          <w:p>
            <w:pPr>
              <w:ind w:left="1520"/>
              <w:spacing w:after="0"/>
              <w:rPr>
                <w:sz w:val="20"/>
                <w:szCs w:val="20"/>
                <w:color w:val="auto"/>
              </w:rPr>
            </w:pPr>
            <w:r>
              <w:rPr>
                <w:rFonts w:ascii="Arial" w:cs="Arial" w:eastAsia="Arial" w:hAnsi="Arial"/>
                <w:sz w:val="18"/>
                <w:szCs w:val="18"/>
                <w:b w:val="1"/>
                <w:bCs w:val="1"/>
                <w:color w:val="auto"/>
              </w:rPr>
              <w:t>Investors:</w:t>
            </w:r>
          </w:p>
        </w:tc>
      </w:tr>
      <w:tr>
        <w:trPr>
          <w:trHeight w:val="338"/>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Sam Brown, Inc.</w:t>
            </w:r>
          </w:p>
        </w:tc>
        <w:tc>
          <w:tcPr>
            <w:tcW w:w="3880" w:type="dxa"/>
            <w:vAlign w:val="bottom"/>
            <w:gridSpan w:val="2"/>
          </w:tcPr>
          <w:p>
            <w:pPr>
              <w:ind w:left="1520"/>
              <w:spacing w:after="0"/>
              <w:rPr>
                <w:sz w:val="20"/>
                <w:szCs w:val="20"/>
                <w:color w:val="auto"/>
              </w:rPr>
            </w:pPr>
            <w:r>
              <w:rPr>
                <w:rFonts w:ascii="Arial" w:cs="Arial" w:eastAsia="Arial" w:hAnsi="Arial"/>
                <w:sz w:val="18"/>
                <w:szCs w:val="18"/>
                <w:b w:val="1"/>
                <w:bCs w:val="1"/>
                <w:color w:val="auto"/>
              </w:rPr>
              <w:t>Westwicke Partners</w:t>
            </w:r>
          </w:p>
        </w:tc>
      </w:tr>
      <w:tr>
        <w:trPr>
          <w:trHeight w:val="338"/>
        </w:trPr>
        <w:tc>
          <w:tcPr>
            <w:tcW w:w="4220" w:type="dxa"/>
            <w:vAlign w:val="bottom"/>
            <w:gridSpan w:val="2"/>
          </w:tcPr>
          <w:p>
            <w:pPr>
              <w:spacing w:after="0"/>
              <w:rPr>
                <w:sz w:val="20"/>
                <w:szCs w:val="20"/>
                <w:color w:val="auto"/>
              </w:rPr>
            </w:pPr>
            <w:r>
              <w:rPr>
                <w:rFonts w:ascii="Arial" w:cs="Arial" w:eastAsia="Arial" w:hAnsi="Arial"/>
                <w:sz w:val="18"/>
                <w:szCs w:val="18"/>
                <w:color w:val="auto"/>
              </w:rPr>
              <w:t>Christy Curran</w:t>
            </w:r>
          </w:p>
        </w:tc>
        <w:tc>
          <w:tcPr>
            <w:tcW w:w="3880" w:type="dxa"/>
            <w:vAlign w:val="bottom"/>
            <w:gridSpan w:val="2"/>
          </w:tcPr>
          <w:p>
            <w:pPr>
              <w:ind w:left="1520"/>
              <w:spacing w:after="0"/>
              <w:rPr>
                <w:sz w:val="20"/>
                <w:szCs w:val="20"/>
                <w:color w:val="auto"/>
              </w:rPr>
            </w:pPr>
            <w:r>
              <w:rPr>
                <w:rFonts w:ascii="Arial" w:cs="Arial" w:eastAsia="Arial" w:hAnsi="Arial"/>
                <w:sz w:val="18"/>
                <w:szCs w:val="18"/>
                <w:color w:val="auto"/>
              </w:rPr>
              <w:t>Caroline Corner</w:t>
            </w:r>
          </w:p>
        </w:tc>
      </w:tr>
      <w:tr>
        <w:trPr>
          <w:trHeight w:val="338"/>
        </w:trPr>
        <w:tc>
          <w:tcPr>
            <w:tcW w:w="4220" w:type="dxa"/>
            <w:vAlign w:val="bottom"/>
            <w:gridSpan w:val="2"/>
          </w:tcPr>
          <w:p>
            <w:pPr>
              <w:spacing w:after="0"/>
              <w:rPr>
                <w:sz w:val="20"/>
                <w:szCs w:val="20"/>
                <w:color w:val="auto"/>
              </w:rPr>
            </w:pPr>
            <w:r>
              <w:rPr>
                <w:rFonts w:ascii="Arial" w:cs="Arial" w:eastAsia="Arial" w:hAnsi="Arial"/>
                <w:sz w:val="18"/>
                <w:szCs w:val="18"/>
                <w:color w:val="auto"/>
              </w:rPr>
              <w:t>Phone +1 615 414 8668</w:t>
            </w:r>
          </w:p>
        </w:tc>
        <w:tc>
          <w:tcPr>
            <w:tcW w:w="3880" w:type="dxa"/>
            <w:vAlign w:val="bottom"/>
            <w:gridSpan w:val="2"/>
          </w:tcPr>
          <w:p>
            <w:pPr>
              <w:ind w:left="1520"/>
              <w:spacing w:after="0"/>
              <w:rPr>
                <w:sz w:val="20"/>
                <w:szCs w:val="20"/>
                <w:color w:val="auto"/>
              </w:rPr>
            </w:pPr>
            <w:r>
              <w:rPr>
                <w:rFonts w:ascii="Arial" w:cs="Arial" w:eastAsia="Arial" w:hAnsi="Arial"/>
                <w:sz w:val="18"/>
                <w:szCs w:val="18"/>
                <w:color w:val="auto"/>
              </w:rPr>
              <w:t>Phone +1 415 202 5678</w:t>
            </w:r>
          </w:p>
        </w:tc>
      </w:tr>
      <w:tr>
        <w:trPr>
          <w:trHeight w:val="297"/>
        </w:trPr>
        <w:tc>
          <w:tcPr>
            <w:tcW w:w="2220" w:type="dxa"/>
            <w:vAlign w:val="bottom"/>
          </w:tcPr>
          <w:p>
            <w:pPr>
              <w:spacing w:after="0"/>
              <w:rPr>
                <w:sz w:val="20"/>
                <w:szCs w:val="20"/>
                <w:color w:val="auto"/>
              </w:rPr>
            </w:pPr>
            <w:r>
              <w:rPr>
                <w:rFonts w:ascii="Arial" w:cs="Arial" w:eastAsia="Arial" w:hAnsi="Arial"/>
                <w:sz w:val="18"/>
                <w:szCs w:val="18"/>
                <w:color w:val="auto"/>
                <w:w w:val="90"/>
              </w:rPr>
              <w:t>christycurran@sambrown.com</w:t>
            </w:r>
          </w:p>
        </w:tc>
        <w:tc>
          <w:tcPr>
            <w:tcW w:w="2000" w:type="dxa"/>
            <w:vAlign w:val="bottom"/>
          </w:tcPr>
          <w:p>
            <w:pPr>
              <w:spacing w:after="0"/>
              <w:rPr>
                <w:sz w:val="24"/>
                <w:szCs w:val="24"/>
                <w:color w:val="auto"/>
              </w:rPr>
            </w:pPr>
          </w:p>
        </w:tc>
        <w:tc>
          <w:tcPr>
            <w:tcW w:w="3880" w:type="dxa"/>
            <w:vAlign w:val="bottom"/>
            <w:gridSpan w:val="2"/>
          </w:tcPr>
          <w:p>
            <w:pPr>
              <w:ind w:left="1520"/>
              <w:spacing w:after="0"/>
              <w:rPr>
                <w:sz w:val="20"/>
                <w:szCs w:val="20"/>
                <w:color w:val="auto"/>
              </w:rPr>
            </w:pPr>
            <w:r>
              <w:rPr>
                <w:rFonts w:ascii="Arial" w:cs="Arial" w:eastAsia="Arial" w:hAnsi="Arial"/>
                <w:sz w:val="18"/>
                <w:szCs w:val="18"/>
                <w:color w:val="auto"/>
                <w:w w:val="90"/>
              </w:rPr>
              <w:t>caroline.corner@westwicke.com</w:t>
            </w:r>
          </w:p>
        </w:tc>
      </w:tr>
      <w:tr>
        <w:trPr>
          <w:trHeight w:val="20"/>
        </w:trPr>
        <w:tc>
          <w:tcPr>
            <w:tcW w:w="22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O.U.S Media</w:t>
            </w:r>
          </w:p>
        </w:tc>
        <w:tc>
          <w:tcPr>
            <w:tcW w:w="4000" w:type="dxa"/>
            <w:vAlign w:val="bottom"/>
            <w:gridSpan w:val="2"/>
          </w:tcPr>
          <w:p>
            <w:pPr>
              <w:ind w:left="1840"/>
              <w:spacing w:after="0"/>
              <w:rPr>
                <w:sz w:val="20"/>
                <w:szCs w:val="20"/>
                <w:color w:val="auto"/>
              </w:rPr>
            </w:pPr>
            <w:r>
              <w:rPr>
                <w:rFonts w:ascii="Arial" w:cs="Arial" w:eastAsia="Arial" w:hAnsi="Arial"/>
                <w:sz w:val="18"/>
                <w:szCs w:val="18"/>
                <w:b w:val="1"/>
                <w:bCs w:val="1"/>
                <w:color w:val="auto"/>
              </w:rPr>
              <w:t>AVITA Medical Ltd</w:t>
            </w:r>
          </w:p>
        </w:tc>
      </w:tr>
      <w:tr>
        <w:trPr>
          <w:trHeight w:val="338"/>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Monsoon Communications</w:t>
            </w:r>
          </w:p>
        </w:tc>
        <w:tc>
          <w:tcPr>
            <w:tcW w:w="4000" w:type="dxa"/>
            <w:vAlign w:val="bottom"/>
            <w:gridSpan w:val="2"/>
          </w:tcPr>
          <w:p>
            <w:pPr>
              <w:ind w:left="1840"/>
              <w:spacing w:after="0"/>
              <w:rPr>
                <w:sz w:val="20"/>
                <w:szCs w:val="20"/>
                <w:color w:val="auto"/>
              </w:rPr>
            </w:pPr>
            <w:r>
              <w:rPr>
                <w:rFonts w:ascii="Arial" w:cs="Arial" w:eastAsia="Arial" w:hAnsi="Arial"/>
                <w:sz w:val="18"/>
                <w:szCs w:val="18"/>
                <w:color w:val="auto"/>
              </w:rPr>
              <w:t>David McIntyre</w:t>
            </w:r>
          </w:p>
        </w:tc>
      </w:tr>
      <w:tr>
        <w:trPr>
          <w:trHeight w:val="338"/>
        </w:trPr>
        <w:tc>
          <w:tcPr>
            <w:tcW w:w="3900" w:type="dxa"/>
            <w:vAlign w:val="bottom"/>
            <w:gridSpan w:val="2"/>
          </w:tcPr>
          <w:p>
            <w:pPr>
              <w:spacing w:after="0"/>
              <w:rPr>
                <w:sz w:val="20"/>
                <w:szCs w:val="20"/>
                <w:color w:val="auto"/>
              </w:rPr>
            </w:pPr>
            <w:r>
              <w:rPr>
                <w:rFonts w:ascii="Arial" w:cs="Arial" w:eastAsia="Arial" w:hAnsi="Arial"/>
                <w:sz w:val="18"/>
                <w:szCs w:val="18"/>
                <w:color w:val="auto"/>
              </w:rPr>
              <w:t>Rudi Michelson</w:t>
            </w:r>
          </w:p>
        </w:tc>
        <w:tc>
          <w:tcPr>
            <w:tcW w:w="4000" w:type="dxa"/>
            <w:vAlign w:val="bottom"/>
            <w:gridSpan w:val="2"/>
          </w:tcPr>
          <w:p>
            <w:pPr>
              <w:ind w:left="1840"/>
              <w:spacing w:after="0"/>
              <w:rPr>
                <w:sz w:val="20"/>
                <w:szCs w:val="20"/>
                <w:color w:val="auto"/>
              </w:rPr>
            </w:pPr>
            <w:r>
              <w:rPr>
                <w:rFonts w:ascii="Arial" w:cs="Arial" w:eastAsia="Arial" w:hAnsi="Arial"/>
                <w:sz w:val="18"/>
                <w:szCs w:val="18"/>
                <w:color w:val="auto"/>
              </w:rPr>
              <w:t>Chief Financial Officer</w:t>
            </w:r>
          </w:p>
        </w:tc>
      </w:tr>
      <w:tr>
        <w:trPr>
          <w:trHeight w:val="338"/>
        </w:trPr>
        <w:tc>
          <w:tcPr>
            <w:tcW w:w="3900" w:type="dxa"/>
            <w:vAlign w:val="bottom"/>
            <w:gridSpan w:val="2"/>
          </w:tcPr>
          <w:p>
            <w:pPr>
              <w:spacing w:after="0"/>
              <w:rPr>
                <w:sz w:val="20"/>
                <w:szCs w:val="20"/>
                <w:color w:val="auto"/>
              </w:rPr>
            </w:pPr>
            <w:r>
              <w:rPr>
                <w:rFonts w:ascii="Arial" w:cs="Arial" w:eastAsia="Arial" w:hAnsi="Arial"/>
                <w:sz w:val="18"/>
                <w:szCs w:val="18"/>
                <w:color w:val="auto"/>
              </w:rPr>
              <w:t>Phone +61 (0)3 9620 3333</w:t>
            </w:r>
          </w:p>
        </w:tc>
        <w:tc>
          <w:tcPr>
            <w:tcW w:w="4000" w:type="dxa"/>
            <w:vAlign w:val="bottom"/>
            <w:gridSpan w:val="2"/>
          </w:tcPr>
          <w:p>
            <w:pPr>
              <w:ind w:left="1840"/>
              <w:spacing w:after="0"/>
              <w:rPr>
                <w:sz w:val="20"/>
                <w:szCs w:val="20"/>
                <w:color w:val="auto"/>
              </w:rPr>
            </w:pPr>
            <w:r>
              <w:rPr>
                <w:rFonts w:ascii="Arial" w:cs="Arial" w:eastAsia="Arial" w:hAnsi="Arial"/>
                <w:sz w:val="18"/>
                <w:szCs w:val="18"/>
                <w:color w:val="auto"/>
              </w:rPr>
              <w:t>Phone +1 661 367 9178</w:t>
            </w:r>
          </w:p>
        </w:tc>
      </w:tr>
      <w:tr>
        <w:trPr>
          <w:trHeight w:val="297"/>
        </w:trPr>
        <w:tc>
          <w:tcPr>
            <w:tcW w:w="3900" w:type="dxa"/>
            <w:vAlign w:val="bottom"/>
            <w:gridSpan w:val="2"/>
          </w:tcPr>
          <w:p>
            <w:pPr>
              <w:spacing w:after="0"/>
              <w:rPr>
                <w:sz w:val="20"/>
                <w:szCs w:val="20"/>
                <w:color w:val="auto"/>
              </w:rPr>
            </w:pPr>
            <w:r>
              <w:rPr>
                <w:rFonts w:ascii="Arial" w:cs="Arial" w:eastAsia="Arial" w:hAnsi="Arial"/>
                <w:sz w:val="18"/>
                <w:szCs w:val="18"/>
                <w:color w:val="auto"/>
              </w:rPr>
              <w:t>Mobile +61 (0)411 402 737</w:t>
            </w:r>
          </w:p>
        </w:tc>
        <w:tc>
          <w:tcPr>
            <w:tcW w:w="4000" w:type="dxa"/>
            <w:vAlign w:val="bottom"/>
            <w:gridSpan w:val="2"/>
          </w:tcPr>
          <w:p>
            <w:pPr>
              <w:ind w:left="1840"/>
              <w:spacing w:after="0"/>
              <w:rPr>
                <w:sz w:val="20"/>
                <w:szCs w:val="20"/>
                <w:color w:val="auto"/>
              </w:rPr>
            </w:pPr>
            <w:r>
              <w:rPr>
                <w:rFonts w:ascii="Arial" w:cs="Arial" w:eastAsia="Arial" w:hAnsi="Arial"/>
                <w:sz w:val="18"/>
                <w:szCs w:val="18"/>
                <w:color w:val="auto"/>
                <w:w w:val="90"/>
              </w:rPr>
              <w:t>dmcintyre@avitamedical.com</w:t>
            </w:r>
          </w:p>
        </w:tc>
      </w:tr>
      <w:tr>
        <w:trPr>
          <w:trHeight w:val="318"/>
        </w:trPr>
        <w:tc>
          <w:tcPr>
            <w:tcW w:w="3900" w:type="dxa"/>
            <w:vAlign w:val="bottom"/>
            <w:gridSpan w:val="2"/>
          </w:tcPr>
          <w:p>
            <w:pPr>
              <w:spacing w:after="0"/>
              <w:rPr>
                <w:sz w:val="20"/>
                <w:szCs w:val="20"/>
                <w:color w:val="auto"/>
              </w:rPr>
            </w:pPr>
            <w:r>
              <w:rPr>
                <w:rFonts w:ascii="Arial" w:cs="Arial" w:eastAsia="Arial" w:hAnsi="Arial"/>
                <w:sz w:val="18"/>
                <w:szCs w:val="18"/>
                <w:color w:val="auto"/>
              </w:rPr>
              <w:t>rudim@monsoon.com.au</w:t>
            </w:r>
          </w:p>
        </w:tc>
        <w:tc>
          <w:tcPr>
            <w:tcW w:w="1840" w:type="dxa"/>
            <w:vAlign w:val="bottom"/>
          </w:tcPr>
          <w:p>
            <w:pPr>
              <w:spacing w:after="0"/>
              <w:rPr>
                <w:sz w:val="24"/>
                <w:szCs w:val="24"/>
                <w:color w:val="auto"/>
              </w:rPr>
            </w:pPr>
          </w:p>
        </w:tc>
        <w:tc>
          <w:tcPr>
            <w:tcW w:w="2160" w:type="dxa"/>
            <w:vAlign w:val="bottom"/>
            <w:tcBorders>
              <w:top w:val="single" w:sz="8" w:color="auto"/>
            </w:tcBorders>
          </w:tcPr>
          <w:p>
            <w:pPr>
              <w:spacing w:after="0"/>
              <w:rPr>
                <w:sz w:val="24"/>
                <w:szCs w:val="24"/>
                <w:color w:val="auto"/>
              </w:rPr>
            </w:pPr>
          </w:p>
        </w:tc>
      </w:tr>
      <w:tr>
        <w:trPr>
          <w:trHeight w:val="574"/>
        </w:trPr>
        <w:tc>
          <w:tcPr>
            <w:tcW w:w="1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PR20200614</w:t>
            </w:r>
          </w:p>
        </w:tc>
        <w:tc>
          <w:tcPr>
            <w:tcW w:w="20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Avita Medical Limited c/o Mertons Corporate Services Pty Ltd Level 7, 330 Collins Street, Melbourne Victoria 3000</w:t>
      </w:r>
    </w:p>
    <w:p>
      <w:pPr>
        <w:sectPr>
          <w:pgSz w:w="11900" w:h="16838" w:orient="portrait"/>
          <w:cols w:equalWidth="0" w:num="1">
            <w:col w:w="11020"/>
          </w:cols>
          <w:pgMar w:left="440" w:top="274" w:right="439" w:bottom="1440" w:gutter="0" w:footer="0" w:header="0"/>
        </w:sectPr>
      </w:pPr>
    </w:p>
    <w:bookmarkStart w:id="13" w:name="page14"/>
    <w:bookmarkEnd w:id="1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AVITA Medical Limited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Scheme Meeting</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15 June 2020</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Voting Results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following information is provided in accordance with section 251AA of the </w:t>
      </w:r>
      <w:r>
        <w:rPr>
          <w:rFonts w:ascii="Arial" w:cs="Arial" w:eastAsia="Arial" w:hAnsi="Arial"/>
          <w:sz w:val="18"/>
          <w:szCs w:val="18"/>
          <w:i w:val="1"/>
          <w:iCs w:val="1"/>
          <w:color w:val="auto"/>
        </w:rPr>
        <w:t>Corporations Act 2001</w:t>
      </w:r>
      <w:r>
        <w:rPr>
          <w:rFonts w:ascii="Arial" w:cs="Arial" w:eastAsia="Arial" w:hAnsi="Arial"/>
          <w:sz w:val="18"/>
          <w:szCs w:val="18"/>
          <w:color w:val="auto"/>
        </w:rPr>
        <w:t xml:space="preserve"> (Cth).</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Resolution details</w:t>
            </w:r>
          </w:p>
        </w:tc>
        <w:tc>
          <w:tcPr>
            <w:tcW w:w="4440" w:type="dxa"/>
            <w:vAlign w:val="bottom"/>
            <w:gridSpan w:val="8"/>
            <w:vMerge w:val="restart"/>
          </w:tcPr>
          <w:p>
            <w:pPr>
              <w:jc w:val="right"/>
              <w:ind w:right="300"/>
              <w:spacing w:after="0"/>
              <w:rPr>
                <w:sz w:val="20"/>
                <w:szCs w:val="20"/>
                <w:color w:val="auto"/>
              </w:rPr>
            </w:pPr>
            <w:r>
              <w:rPr>
                <w:rFonts w:ascii="Arial" w:cs="Arial" w:eastAsia="Arial" w:hAnsi="Arial"/>
                <w:sz w:val="14"/>
                <w:szCs w:val="14"/>
                <w:b w:val="1"/>
                <w:bCs w:val="1"/>
                <w:color w:val="auto"/>
                <w:w w:val="94"/>
              </w:rPr>
              <w:t>Instructions given to validly appointed proxies (as at proxy close)</w:t>
            </w:r>
          </w:p>
        </w:tc>
        <w:tc>
          <w:tcPr>
            <w:tcW w:w="3360" w:type="dxa"/>
            <w:vAlign w:val="bottom"/>
            <w:gridSpan w:val="6"/>
            <w:vMerge w:val="restart"/>
          </w:tcPr>
          <w:p>
            <w:pPr>
              <w:jc w:val="right"/>
              <w:ind w:right="760"/>
              <w:spacing w:after="0"/>
              <w:rPr>
                <w:sz w:val="20"/>
                <w:szCs w:val="20"/>
                <w:color w:val="auto"/>
              </w:rPr>
            </w:pPr>
            <w:r>
              <w:rPr>
                <w:rFonts w:ascii="Arial" w:cs="Arial" w:eastAsia="Arial" w:hAnsi="Arial"/>
                <w:sz w:val="14"/>
                <w:szCs w:val="14"/>
                <w:b w:val="1"/>
                <w:bCs w:val="1"/>
                <w:color w:val="auto"/>
              </w:rPr>
              <w:t>Number of votes cast on the poll</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Resolution</w:t>
            </w:r>
          </w:p>
        </w:tc>
        <w:tc>
          <w:tcPr>
            <w:tcW w:w="0" w:type="dxa"/>
            <w:vAlign w:val="bottom"/>
          </w:tcPr>
          <w:p>
            <w:pPr>
              <w:spacing w:after="0"/>
              <w:rPr>
                <w:sz w:val="1"/>
                <w:szCs w:val="1"/>
                <w:color w:val="auto"/>
              </w:rPr>
            </w:pPr>
          </w:p>
        </w:tc>
      </w:tr>
      <w:tr>
        <w:trPr>
          <w:trHeight w:val="165"/>
        </w:trPr>
        <w:tc>
          <w:tcPr>
            <w:tcW w:w="2380" w:type="dxa"/>
            <w:vAlign w:val="bottom"/>
            <w:gridSpan w:val="3"/>
            <w:vMerge w:val="continue"/>
          </w:tcPr>
          <w:p>
            <w:pPr>
              <w:spacing w:after="0"/>
              <w:rPr>
                <w:sz w:val="14"/>
                <w:szCs w:val="14"/>
                <w:color w:val="auto"/>
              </w:rPr>
            </w:pPr>
          </w:p>
        </w:tc>
        <w:tc>
          <w:tcPr>
            <w:tcW w:w="4440" w:type="dxa"/>
            <w:vAlign w:val="bottom"/>
            <w:gridSpan w:val="8"/>
            <w:vMerge w:val="continue"/>
          </w:tcPr>
          <w:p>
            <w:pPr>
              <w:spacing w:after="0"/>
              <w:rPr>
                <w:sz w:val="14"/>
                <w:szCs w:val="14"/>
                <w:color w:val="auto"/>
              </w:rPr>
            </w:pPr>
          </w:p>
        </w:tc>
        <w:tc>
          <w:tcPr>
            <w:tcW w:w="3360" w:type="dxa"/>
            <w:vAlign w:val="bottom"/>
            <w:gridSpan w:val="6"/>
            <w:vMerge w:val="continue"/>
          </w:tcPr>
          <w:p>
            <w:pPr>
              <w:spacing w:after="0"/>
              <w:rPr>
                <w:sz w:val="14"/>
                <w:szCs w:val="14"/>
                <w:color w:val="auto"/>
              </w:rPr>
            </w:pPr>
          </w:p>
        </w:tc>
        <w:tc>
          <w:tcPr>
            <w:tcW w:w="8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89"/>
              </w:rPr>
              <w:t>result</w:t>
            </w:r>
          </w:p>
        </w:tc>
        <w:tc>
          <w:tcPr>
            <w:tcW w:w="0" w:type="dxa"/>
            <w:vAlign w:val="bottom"/>
          </w:tcPr>
          <w:p>
            <w:pPr>
              <w:spacing w:after="0"/>
              <w:rPr>
                <w:sz w:val="1"/>
                <w:szCs w:val="1"/>
                <w:color w:val="auto"/>
              </w:rPr>
            </w:pPr>
          </w:p>
        </w:tc>
      </w:tr>
      <w:tr>
        <w:trPr>
          <w:trHeight w:val="126"/>
        </w:trPr>
        <w:tc>
          <w:tcPr>
            <w:tcW w:w="66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w w:val="88"/>
              </w:rPr>
              <w:t>Resolution</w:t>
            </w:r>
          </w:p>
        </w:tc>
        <w:tc>
          <w:tcPr>
            <w:tcW w:w="420" w:type="dxa"/>
            <w:vAlign w:val="bottom"/>
            <w:tcBorders>
              <w:top w:val="single" w:sz="8" w:color="auto"/>
            </w:tcBorders>
            <w:vMerge w:val="restart"/>
          </w:tcPr>
          <w:p>
            <w:pPr>
              <w:spacing w:after="0"/>
              <w:rPr>
                <w:sz w:val="10"/>
                <w:szCs w:val="10"/>
                <w:color w:val="auto"/>
              </w:rPr>
            </w:pPr>
          </w:p>
        </w:tc>
        <w:tc>
          <w:tcPr>
            <w:tcW w:w="1300" w:type="dxa"/>
            <w:vAlign w:val="bottom"/>
            <w:vMerge w:val="restart"/>
          </w:tcPr>
          <w:p>
            <w:pPr>
              <w:spacing w:after="0"/>
              <w:rPr>
                <w:sz w:val="10"/>
                <w:szCs w:val="10"/>
                <w:color w:val="auto"/>
              </w:rPr>
            </w:pPr>
          </w:p>
        </w:tc>
        <w:tc>
          <w:tcPr>
            <w:tcW w:w="1260" w:type="dxa"/>
            <w:vAlign w:val="bottom"/>
            <w:tcBorders>
              <w:top w:val="single" w:sz="8" w:color="auto"/>
            </w:tcBorders>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For</w:t>
            </w:r>
          </w:p>
        </w:tc>
        <w:tc>
          <w:tcPr>
            <w:tcW w:w="1160" w:type="dxa"/>
            <w:vAlign w:val="bottom"/>
            <w:tcBorders>
              <w:top w:val="single" w:sz="8" w:color="auto"/>
            </w:tcBorders>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Against</w:t>
            </w:r>
          </w:p>
        </w:tc>
        <w:tc>
          <w:tcPr>
            <w:tcW w:w="1080" w:type="dxa"/>
            <w:vAlign w:val="bottom"/>
            <w:tcBorders>
              <w:top w:val="single" w:sz="8" w:color="auto"/>
            </w:tcBorders>
            <w:gridSpan w:val="2"/>
          </w:tcPr>
          <w:p>
            <w:pPr>
              <w:jc w:val="right"/>
              <w:ind w:right="460"/>
              <w:spacing w:after="0" w:line="126" w:lineRule="exact"/>
              <w:rPr>
                <w:sz w:val="20"/>
                <w:szCs w:val="20"/>
                <w:color w:val="auto"/>
              </w:rPr>
            </w:pPr>
            <w:r>
              <w:rPr>
                <w:rFonts w:ascii="Arial" w:cs="Arial" w:eastAsia="Arial" w:hAnsi="Arial"/>
                <w:sz w:val="14"/>
                <w:szCs w:val="14"/>
                <w:b w:val="1"/>
                <w:bCs w:val="1"/>
                <w:color w:val="auto"/>
              </w:rPr>
              <w:t>Proxy’s</w:t>
            </w:r>
          </w:p>
        </w:tc>
        <w:tc>
          <w:tcPr>
            <w:tcW w:w="780" w:type="dxa"/>
            <w:vAlign w:val="bottom"/>
            <w:tcBorders>
              <w:top w:val="single" w:sz="8" w:color="auto"/>
            </w:tcBorders>
            <w:vMerge w:val="restart"/>
          </w:tcPr>
          <w:p>
            <w:pPr>
              <w:jc w:val="right"/>
              <w:ind w:right="56"/>
              <w:spacing w:after="0"/>
              <w:rPr>
                <w:sz w:val="20"/>
                <w:szCs w:val="20"/>
                <w:color w:val="auto"/>
              </w:rPr>
            </w:pPr>
            <w:r>
              <w:rPr>
                <w:rFonts w:ascii="Arial" w:cs="Arial" w:eastAsia="Arial" w:hAnsi="Arial"/>
                <w:sz w:val="14"/>
                <w:szCs w:val="14"/>
                <w:b w:val="1"/>
                <w:bCs w:val="1"/>
                <w:color w:val="auto"/>
              </w:rPr>
              <w:t>Abstain</w:t>
            </w:r>
          </w:p>
        </w:tc>
        <w:tc>
          <w:tcPr>
            <w:tcW w:w="160" w:type="dxa"/>
            <w:vAlign w:val="bottom"/>
            <w:vMerge w:val="restart"/>
          </w:tcPr>
          <w:p>
            <w:pPr>
              <w:spacing w:after="0"/>
              <w:rPr>
                <w:sz w:val="10"/>
                <w:szCs w:val="10"/>
                <w:color w:val="auto"/>
              </w:rPr>
            </w:pPr>
          </w:p>
        </w:tc>
        <w:tc>
          <w:tcPr>
            <w:tcW w:w="1260" w:type="dxa"/>
            <w:vAlign w:val="bottom"/>
            <w:tcBorders>
              <w:top w:val="single" w:sz="8" w:color="auto"/>
            </w:tcBorders>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For</w:t>
            </w:r>
          </w:p>
        </w:tc>
        <w:tc>
          <w:tcPr>
            <w:tcW w:w="1160" w:type="dxa"/>
            <w:vAlign w:val="bottom"/>
            <w:tcBorders>
              <w:top w:val="single" w:sz="8" w:color="auto"/>
            </w:tcBorders>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Against</w:t>
            </w:r>
          </w:p>
        </w:tc>
        <w:tc>
          <w:tcPr>
            <w:tcW w:w="78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4"/>
                <w:szCs w:val="14"/>
                <w:b w:val="1"/>
                <w:bCs w:val="1"/>
                <w:color w:val="auto"/>
              </w:rPr>
              <w:t>Abstain*</w:t>
            </w:r>
          </w:p>
        </w:tc>
        <w:tc>
          <w:tcPr>
            <w:tcW w:w="160" w:type="dxa"/>
            <w:vAlign w:val="bottom"/>
            <w:vMerge w:val="restart"/>
          </w:tcPr>
          <w:p>
            <w:pPr>
              <w:spacing w:after="0"/>
              <w:rPr>
                <w:sz w:val="10"/>
                <w:szCs w:val="10"/>
                <w:color w:val="auto"/>
              </w:rPr>
            </w:pPr>
          </w:p>
        </w:tc>
        <w:tc>
          <w:tcPr>
            <w:tcW w:w="78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4"/>
                <w:szCs w:val="14"/>
                <w:b w:val="1"/>
                <w:bCs w:val="1"/>
                <w:color w:val="auto"/>
                <w:w w:val="96"/>
              </w:rPr>
              <w:t>Carried /not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660" w:type="dxa"/>
            <w:vAlign w:val="bottom"/>
            <w:tcBorders>
              <w:bottom w:val="single" w:sz="8" w:color="auto"/>
            </w:tcBorders>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8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rPr>
              <w:t>discretion</w:t>
            </w:r>
          </w:p>
        </w:tc>
        <w:tc>
          <w:tcPr>
            <w:tcW w:w="78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8"/>
              </w:rPr>
              <w:t>carried</w:t>
            </w:r>
          </w:p>
        </w:tc>
        <w:tc>
          <w:tcPr>
            <w:tcW w:w="0" w:type="dxa"/>
            <w:vAlign w:val="bottom"/>
          </w:tcPr>
          <w:p>
            <w:pPr>
              <w:spacing w:after="0"/>
              <w:rPr>
                <w:sz w:val="1"/>
                <w:szCs w:val="1"/>
                <w:color w:val="auto"/>
              </w:rPr>
            </w:pPr>
          </w:p>
        </w:tc>
      </w:tr>
      <w:tr>
        <w:trPr>
          <w:trHeight w:val="175"/>
        </w:trPr>
        <w:tc>
          <w:tcPr>
            <w:tcW w:w="2380" w:type="dxa"/>
            <w:vAlign w:val="bottom"/>
            <w:tcBorders>
              <w:top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rPr>
              <w:t>That pursuant to and in</w:t>
            </w:r>
          </w:p>
        </w:tc>
        <w:tc>
          <w:tcPr>
            <w:tcW w:w="9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5"/>
              </w:rPr>
              <w:t>accordance with section 411</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8"/>
              </w:rPr>
              <w:t>Carried</w:t>
            </w:r>
          </w:p>
        </w:tc>
        <w:tc>
          <w:tcPr>
            <w:tcW w:w="0" w:type="dxa"/>
            <w:vAlign w:val="bottom"/>
          </w:tcPr>
          <w:p>
            <w:pPr>
              <w:spacing w:after="0"/>
              <w:rPr>
                <w:sz w:val="1"/>
                <w:szCs w:val="1"/>
                <w:color w:val="auto"/>
              </w:rPr>
            </w:pPr>
          </w:p>
        </w:tc>
      </w:tr>
      <w:tr>
        <w:trPr>
          <w:trHeight w:val="216"/>
        </w:trPr>
        <w:tc>
          <w:tcPr>
            <w:tcW w:w="2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of the Corporations Act</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2001 (Cth), the scheme of</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arrangement proposed</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between the Company and</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the holders of its ordinary</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shares, the terms of which</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5"/>
              </w:rPr>
              <w:t>are described in the Scheme</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8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Booklet, of which the notice</w:t>
            </w:r>
          </w:p>
        </w:tc>
        <w:tc>
          <w:tcPr>
            <w:tcW w:w="12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w w:val="93"/>
              </w:rPr>
              <w:t>916,721,976</w:t>
            </w:r>
          </w:p>
        </w:tc>
        <w:tc>
          <w:tcPr>
            <w:tcW w:w="11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w w:val="93"/>
              </w:rPr>
              <w:t>20,950,290</w:t>
            </w: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w w:val="94"/>
              </w:rPr>
              <w:t>5,588,418</w:t>
            </w: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4"/>
              </w:rPr>
              <w:t>3,786,450</w:t>
            </w:r>
          </w:p>
        </w:tc>
        <w:tc>
          <w:tcPr>
            <w:tcW w:w="12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w w:val="93"/>
              </w:rPr>
              <w:t>926,498,581</w:t>
            </w:r>
          </w:p>
        </w:tc>
        <w:tc>
          <w:tcPr>
            <w:tcW w:w="11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w w:val="93"/>
              </w:rPr>
              <w:t>21,357,290</w:t>
            </w: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4"/>
              </w:rPr>
              <w:t>3,876,450</w:t>
            </w: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convening this meeting</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97.19%</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0.59%</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97.75%</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7"/>
              </w:rPr>
              <w:t>forms part, is approved, and</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the Board is authorised to</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agree to such alterations or</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conditions as are thought fit</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by the Court and, subject to</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approval of the Scheme by</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the Court, to implement the</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Scheme with any such</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alterations or conditions.</w:t>
            </w:r>
          </w:p>
        </w:tc>
        <w:tc>
          <w:tcPr>
            <w:tcW w:w="9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60" w:type="dxa"/>
            <w:vAlign w:val="bottom"/>
            <w:gridSpan w:val="6"/>
          </w:tcPr>
          <w:p>
            <w:pPr>
              <w:jc w:val="right"/>
              <w:ind w:right="460"/>
              <w:spacing w:after="0" w:line="149" w:lineRule="exact"/>
              <w:rPr>
                <w:sz w:val="20"/>
                <w:szCs w:val="20"/>
                <w:color w:val="auto"/>
              </w:rPr>
            </w:pPr>
            <w:r>
              <w:rPr>
                <w:rFonts w:ascii="Arial" w:cs="Arial" w:eastAsia="Arial" w:hAnsi="Arial"/>
                <w:sz w:val="14"/>
                <w:szCs w:val="14"/>
                <w:b w:val="1"/>
                <w:bCs w:val="1"/>
                <w:color w:val="auto"/>
              </w:rPr>
              <w:t>Number of shareholders voting on the poll</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Borders>
              <w:top w:val="single" w:sz="8" w:color="auto"/>
            </w:tcBorders>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For</w:t>
            </w:r>
          </w:p>
        </w:tc>
        <w:tc>
          <w:tcPr>
            <w:tcW w:w="116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Against</w:t>
            </w:r>
          </w:p>
        </w:tc>
        <w:tc>
          <w:tcPr>
            <w:tcW w:w="78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Abstain*</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1,345</w:t>
            </w:r>
          </w:p>
        </w:tc>
        <w:tc>
          <w:tcPr>
            <w:tcW w:w="300" w:type="dxa"/>
            <w:vAlign w:val="bottom"/>
          </w:tcPr>
          <w:p>
            <w:pPr>
              <w:spacing w:after="0"/>
              <w:rPr>
                <w:sz w:val="16"/>
                <w:szCs w:val="16"/>
                <w:color w:val="auto"/>
              </w:rPr>
            </w:pP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154</w:t>
            </w:r>
          </w:p>
        </w:tc>
        <w:tc>
          <w:tcPr>
            <w:tcW w:w="300" w:type="dxa"/>
            <w:vAlign w:val="bottom"/>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50</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89.73%</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10.27%</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Votes cast by a person who abstains on an item are not counted in calculating the required majority on a poll.</w:t>
      </w:r>
    </w:p>
    <w:sectPr>
      <w:pgSz w:w="11900" w:h="16838" w:orient="portrait"/>
      <w:cols w:equalWidth="0" w:num="1">
        <w:col w:w="11024"/>
      </w:cols>
      <w:pgMar w:left="436"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2020-06-15T15:19:19Z</dcterms:created>
  <dcterms:modified xsi:type="dcterms:W3CDTF">2020-06-15T15:19:19Z</dcterms:modified>
</cp:coreProperties>
</file>