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03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McIntyre David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06/30/2020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Avita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RCEL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2">
            <w:col w:w="4720" w:space="280"/>
            <w:col w:w="5940"/>
          </w:cols>
          <w:pgMar w:left="480" w:top="236" w:right="479" w:bottom="1037"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AVITA THERAPEUTICS,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28159 AVENUE STANFORD,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220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VALENCIA CA</w:t>
            </w:r>
          </w:p>
        </w:tc>
        <w:tc>
          <w:tcPr>
            <w:tcW w:w="860" w:type="dxa"/>
            <w:vAlign w:val="bottom"/>
          </w:tcPr>
          <w:p>
            <w:pPr>
              <w:jc w:val="right"/>
              <w:spacing w:after="0"/>
              <w:rPr>
                <w:sz w:val="20"/>
                <w:szCs w:val="20"/>
                <w:color w:val="auto"/>
              </w:rPr>
            </w:pPr>
            <w:r>
              <w:rPr>
                <w:rFonts w:ascii="Arial" w:cs="Arial" w:eastAsia="Arial" w:hAnsi="Arial"/>
                <w:sz w:val="20"/>
                <w:szCs w:val="20"/>
                <w:color w:val="0000FF"/>
              </w:rPr>
              <w:t>91355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037"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0000FF"/>
                <w:w w:val="83"/>
              </w:rPr>
              <w:t>200</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7"/>
              </w:rPr>
              <w:t>Stock Options (Right to Buy)</w:t>
            </w:r>
            <w:r>
              <w:rPr>
                <w:rFonts w:ascii="Arial" w:cs="Arial" w:eastAsia="Arial" w:hAnsi="Arial"/>
                <w:sz w:val="25"/>
                <w:szCs w:val="25"/>
                <w:color w:val="008000"/>
                <w:w w:val="97"/>
                <w:vertAlign w:val="superscript"/>
              </w:rPr>
              <w:t>(1)</w:t>
            </w:r>
          </w:p>
        </w:tc>
        <w:tc>
          <w:tcPr>
            <w:tcW w:w="128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87"/>
              </w:rPr>
              <w:t>11/22/2029</w:t>
            </w:r>
          </w:p>
        </w:tc>
        <w:tc>
          <w:tcPr>
            <w:tcW w:w="1740" w:type="dxa"/>
            <w:vAlign w:val="bottom"/>
            <w:tcBorders>
              <w:bottom w:val="single" w:sz="8" w:color="2C2C2C"/>
            </w:tcBorders>
          </w:tcPr>
          <w:p>
            <w:pPr>
              <w:jc w:val="center"/>
              <w:ind w:left="35"/>
              <w:spacing w:after="0"/>
              <w:rPr>
                <w:sz w:val="20"/>
                <w:szCs w:val="20"/>
                <w:color w:val="auto"/>
              </w:rPr>
            </w:pPr>
            <w:r>
              <w:rPr>
                <w:rFonts w:ascii="Arial" w:cs="Arial" w:eastAsia="Arial" w:hAnsi="Arial"/>
                <w:sz w:val="20"/>
                <w:szCs w:val="20"/>
                <w:color w:val="0000FF"/>
                <w:w w:val="89"/>
              </w:rPr>
              <w:t>Common Stock</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20"/>
                <w:szCs w:val="20"/>
                <w:color w:val="0000FF"/>
              </w:rPr>
              <w:t>67,500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80"/>
              <w:spacing w:after="0" w:line="359" w:lineRule="exact"/>
              <w:rPr>
                <w:sz w:val="20"/>
                <w:szCs w:val="20"/>
                <w:color w:val="auto"/>
              </w:rPr>
            </w:pPr>
            <w:r>
              <w:rPr>
                <w:rFonts w:ascii="Arial" w:cs="Arial" w:eastAsia="Arial" w:hAnsi="Arial"/>
                <w:sz w:val="39"/>
                <w:szCs w:val="39"/>
                <w:color w:val="0000FF"/>
                <w:vertAlign w:val="subscript"/>
              </w:rPr>
              <w:t>38</w:t>
            </w:r>
            <w:r>
              <w:rPr>
                <w:rFonts w:ascii="Arial" w:cs="Arial" w:eastAsia="Arial" w:hAnsi="Arial"/>
                <w:sz w:val="13"/>
                <w:szCs w:val="13"/>
                <w:color w:val="008000"/>
              </w:rPr>
              <w:t>(3)</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w w:val="97"/>
              </w:rPr>
              <w:t>Stock Options (Right to Buy)</w:t>
            </w:r>
            <w:r>
              <w:rPr>
                <w:rFonts w:ascii="Arial" w:cs="Arial" w:eastAsia="Arial" w:hAnsi="Arial"/>
                <w:sz w:val="25"/>
                <w:szCs w:val="25"/>
                <w:color w:val="008000"/>
                <w:w w:val="97"/>
                <w:vertAlign w:val="superscript"/>
              </w:rPr>
              <w:t>(1)</w:t>
            </w:r>
          </w:p>
        </w:tc>
        <w:tc>
          <w:tcPr>
            <w:tcW w:w="128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3"/>
                <w:szCs w:val="13"/>
                <w:color w:val="008000"/>
              </w:rPr>
              <w:t>(4)</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0000FF"/>
                <w:w w:val="87"/>
              </w:rPr>
              <w:t>11/22/2029</w:t>
            </w:r>
          </w:p>
        </w:tc>
        <w:tc>
          <w:tcPr>
            <w:tcW w:w="1740" w:type="dxa"/>
            <w:vAlign w:val="bottom"/>
            <w:tcBorders>
              <w:bottom w:val="single" w:sz="8" w:color="2C2C2C"/>
            </w:tcBorders>
          </w:tcPr>
          <w:p>
            <w:pPr>
              <w:jc w:val="center"/>
              <w:ind w:left="35"/>
              <w:spacing w:after="0"/>
              <w:rPr>
                <w:sz w:val="20"/>
                <w:szCs w:val="20"/>
                <w:color w:val="auto"/>
              </w:rPr>
            </w:pPr>
            <w:r>
              <w:rPr>
                <w:rFonts w:ascii="Arial" w:cs="Arial" w:eastAsia="Arial" w:hAnsi="Arial"/>
                <w:sz w:val="20"/>
                <w:szCs w:val="20"/>
                <w:color w:val="0000FF"/>
                <w:w w:val="89"/>
              </w:rPr>
              <w:t>Common Stock</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20"/>
                <w:szCs w:val="20"/>
                <w:color w:val="0000FF"/>
              </w:rPr>
              <w:t>45,000</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280"/>
              <w:spacing w:after="0" w:line="359" w:lineRule="exact"/>
              <w:rPr>
                <w:sz w:val="20"/>
                <w:szCs w:val="20"/>
                <w:color w:val="auto"/>
              </w:rPr>
            </w:pPr>
            <w:r>
              <w:rPr>
                <w:rFonts w:ascii="Arial" w:cs="Arial" w:eastAsia="Arial" w:hAnsi="Arial"/>
                <w:sz w:val="39"/>
                <w:szCs w:val="39"/>
                <w:color w:val="0000FF"/>
                <w:vertAlign w:val="subscript"/>
              </w:rPr>
              <w:t>38</w:t>
            </w:r>
            <w:r>
              <w:rPr>
                <w:rFonts w:ascii="Arial" w:cs="Arial" w:eastAsia="Arial" w:hAnsi="Arial"/>
                <w:sz w:val="13"/>
                <w:szCs w:val="13"/>
                <w:color w:val="008000"/>
              </w:rPr>
              <w:t>(3)</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-2066290</wp:posOffset>
            </wp:positionV>
            <wp:extent cx="6946900" cy="192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24685"/>
                    </a:xfrm>
                    <a:prstGeom prst="rect">
                      <a:avLst/>
                    </a:prstGeom>
                    <a:noFill/>
                  </pic:spPr>
                </pic:pic>
              </a:graphicData>
            </a:graphic>
          </wp:anchor>
        </w:drawing>
      </w:r>
    </w:p>
    <w:p>
      <w:pPr>
        <w:spacing w:after="0" w:line="15" w:lineRule="exact"/>
        <w:rPr>
          <w:sz w:val="24"/>
          <w:szCs w:val="24"/>
          <w:color w:val="auto"/>
        </w:rPr>
      </w:pPr>
    </w:p>
    <w:p>
      <w:pPr>
        <w:jc w:val="both"/>
        <w:ind w:left="40" w:right="14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were originally exercisable for ordinary shares of Avita Medical, Ltd. ("Predecessor"). Pursuant to the scheme of arrangement completed on June 30, 2020, the Stock Options became exercisable for shares of Common Stock of the Issuer in the ratio of one share of Common Stock for every 100 ordinary shares of Predecessor for which the Stock Options would otherwise be exercisable.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become exercisable in four equal annual installments beginning of November 22, 2020.</w:t>
      </w:r>
    </w:p>
    <w:p>
      <w:pPr>
        <w:spacing w:after="0" w:line="52" w:lineRule="exact"/>
        <w:rPr>
          <w:rFonts w:ascii="Arial" w:cs="Arial" w:eastAsia="Arial" w:hAnsi="Arial"/>
          <w:sz w:val="15"/>
          <w:szCs w:val="15"/>
          <w:color w:val="008000"/>
        </w:rPr>
      </w:pPr>
    </w:p>
    <w:p>
      <w:pPr>
        <w:jc w:val="both"/>
        <w:ind w:left="40" w:right="1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exercise price was converted from A$5.6, which reflects the 100:1 consolidation ratio applied in converting ordinary shares of Predecessor to shares of the Issuer's Common Stock, using the exchange rate as in effect on the date of grant (November 22, 2019). The actual exercise price will be the Australian dollar amount regardless of the exchange rate on the date of grant or of exercise.</w:t>
      </w:r>
    </w:p>
    <w:p>
      <w:pPr>
        <w:spacing w:after="0" w:line="35"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These Stock Options became exercisable based on performance-based vesting criteria.</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Donna Shiroma,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07/10/2020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7"/>
              </w:rPr>
              <w:t>power of attorney</w:t>
            </w:r>
          </w:p>
        </w:tc>
        <w:tc>
          <w:tcPr>
            <w:tcW w:w="360" w:type="dxa"/>
            <w:vAlign w:val="bottom"/>
            <w:tcBorders>
              <w:top w:val="single" w:sz="8" w:color="auto"/>
              <w:bottom w:val="single" w:sz="8" w:color="auto"/>
            </w:tcBorders>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037"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30"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Donna Shiroma of AVITA Therapeutics, Inc. (the "Company") and Coleman Wombwell of K&amp;L Gates LLP, signing individually, the undersigned's true and lawful attorneys in fact and agents to:</w:t>
      </w:r>
    </w:p>
    <w:p>
      <w:pPr>
        <w:spacing w:after="0" w:line="231" w:lineRule="exact"/>
        <w:rPr>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4" w:lineRule="exact"/>
        <w:rPr>
          <w:rFonts w:ascii="Courier New" w:cs="Courier New" w:eastAsia="Courier New" w:hAnsi="Courier New"/>
          <w:sz w:val="20"/>
          <w:szCs w:val="20"/>
          <w:color w:val="auto"/>
        </w:rPr>
      </w:pPr>
    </w:p>
    <w:p>
      <w:pPr>
        <w:ind w:right="1640"/>
        <w:spacing w:after="0" w:line="26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207" w:lineRule="exact"/>
        <w:rPr>
          <w:rFonts w:ascii="Courier New" w:cs="Courier New" w:eastAsia="Courier New" w:hAnsi="Courier New"/>
          <w:sz w:val="20"/>
          <w:szCs w:val="20"/>
          <w:color w:val="auto"/>
        </w:rPr>
      </w:pPr>
    </w:p>
    <w:p>
      <w:pPr>
        <w:ind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4" w:lineRule="exact"/>
        <w:rPr>
          <w:rFonts w:ascii="Courier New" w:cs="Courier New" w:eastAsia="Courier New" w:hAnsi="Courier New"/>
          <w:sz w:val="20"/>
          <w:szCs w:val="20"/>
          <w:color w:val="auto"/>
        </w:rPr>
      </w:pPr>
    </w:p>
    <w:p>
      <w:pPr>
        <w:ind w:right="1420"/>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4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6" w:lineRule="exact"/>
        <w:rPr>
          <w:rFonts w:ascii="Courier New" w:cs="Courier New" w:eastAsia="Courier New" w:hAnsi="Courier New"/>
          <w:sz w:val="20"/>
          <w:szCs w:val="20"/>
          <w:color w:val="auto"/>
        </w:rPr>
      </w:pPr>
    </w:p>
    <w:p>
      <w:pPr>
        <w:ind w:right="2820"/>
        <w:spacing w:after="0" w:line="284"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9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spacing w:after="0" w:line="1" w:lineRule="exact"/>
        <w:rPr>
          <w:rFonts w:ascii="Courier New" w:cs="Courier New" w:eastAsia="Courier New" w:hAnsi="Courier New"/>
          <w:sz w:val="18"/>
          <w:szCs w:val="18"/>
          <w:color w:val="auto"/>
        </w:rPr>
      </w:pPr>
    </w:p>
    <w:p>
      <w:pPr>
        <w:ind w:right="142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32"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such attorney in fact full power and authority to do and perform any and every act and thing whatsoever requisite, necessary,</w:t>
      </w:r>
    </w:p>
    <w:p>
      <w:pPr>
        <w:spacing w:after="0" w:line="2" w:lineRule="exact"/>
        <w:rPr>
          <w:sz w:val="20"/>
          <w:szCs w:val="20"/>
          <w:color w:val="auto"/>
        </w:rPr>
      </w:pPr>
    </w:p>
    <w:p>
      <w:pPr>
        <w:ind w:right="1420"/>
        <w:spacing w:after="0" w:line="267" w:lineRule="auto"/>
        <w:rPr>
          <w:sz w:val="20"/>
          <w:szCs w:val="20"/>
          <w:color w:val="auto"/>
        </w:rPr>
      </w:pPr>
      <w:r>
        <w:rPr>
          <w:rFonts w:ascii="Courier New" w:cs="Courier New" w:eastAsia="Courier New" w:hAnsi="Courier New"/>
          <w:sz w:val="18"/>
          <w:szCs w:val="18"/>
          <w:color w:val="auto"/>
        </w:rPr>
        <w:t>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their substitutes,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34" w:lineRule="exact"/>
        <w:rPr>
          <w:sz w:val="20"/>
          <w:szCs w:val="20"/>
          <w:color w:val="auto"/>
        </w:rPr>
      </w:pPr>
    </w:p>
    <w:p>
      <w:pPr>
        <w:ind w:right="480"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 in fact or (c) as to any attorney-in-fact individually, until such attorney-in-fact is no longer employed by the Company or K&amp;L Gates LLP, as applicable.</w:t>
      </w:r>
    </w:p>
    <w:p>
      <w:pPr>
        <w:spacing w:after="0" w:line="232"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22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20"/>
          <w:szCs w:val="20"/>
          <w:color w:val="auto"/>
        </w:rPr>
        <w:t>June 19, 2020</w:t>
      </w:r>
    </w:p>
    <w:p>
      <w:pPr>
        <w:spacing w:after="0" w:line="200" w:lineRule="exact"/>
        <w:rPr>
          <w:sz w:val="20"/>
          <w:szCs w:val="20"/>
          <w:color w:val="auto"/>
        </w:rPr>
      </w:pPr>
    </w:p>
    <w:p>
      <w:pPr>
        <w:spacing w:after="0" w:line="24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David McIntyre</w:t>
      </w:r>
    </w:p>
    <w:p>
      <w:pPr>
        <w:spacing w:after="0" w:line="238" w:lineRule="auto"/>
        <w:tabs>
          <w:tab w:leader="none" w:pos="920" w:val="left"/>
        </w:tabs>
        <w:rPr>
          <w:sz w:val="20"/>
          <w:szCs w:val="20"/>
          <w:color w:val="auto"/>
        </w:rPr>
      </w:pPr>
      <w:r>
        <w:rPr>
          <w:rFonts w:ascii="Courier New" w:cs="Courier New" w:eastAsia="Courier New" w:hAnsi="Courier New"/>
          <w:sz w:val="20"/>
          <w:szCs w:val="20"/>
          <w:color w:val="auto"/>
        </w:rPr>
        <w:t>Name:</w:t>
      </w:r>
      <w:r>
        <w:rPr>
          <w:sz w:val="20"/>
          <w:szCs w:val="20"/>
          <w:color w:val="auto"/>
        </w:rPr>
        <w:tab/>
      </w:r>
      <w:r>
        <w:rPr>
          <w:rFonts w:ascii="Courier New" w:cs="Courier New" w:eastAsia="Courier New" w:hAnsi="Courier New"/>
          <w:sz w:val="20"/>
          <w:szCs w:val="20"/>
          <w:color w:val="auto"/>
        </w:rPr>
        <w:t>David McIntyre</w:t>
      </w:r>
    </w:p>
    <w:sectPr>
      <w:pgSz w:w="11900" w:h="16838" w:orient="portrait"/>
      <w:cols w:equalWidth="0" w:num="1">
        <w:col w:w="10660"/>
      </w:cols>
      <w:pgMar w:left="480" w:top="136" w:right="759" w:bottom="10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404254" TargetMode="External"/><Relationship Id="rId11"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2020-07-10T15:24:14Z</dcterms:created>
  <dcterms:modified xsi:type="dcterms:W3CDTF">2020-07-10T15:24:14Z</dcterms:modified>
</cp:coreProperties>
</file>