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26670</wp:posOffset>
            </wp:positionV>
            <wp:extent cx="6969760" cy="1720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0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McGee Kathy M</w:t>
        </w:r>
        <w:r>
          <w:rPr>
            <w:rFonts w:ascii="Arial" w:cs="Arial" w:eastAsia="Arial" w:hAnsi="Arial"/>
            <w:sz w:val="20"/>
            <w:szCs w:val="20"/>
            <w:color w:val="0000EE"/>
          </w:rPr>
          <w:t>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AVITA MEDICAL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28159 AVENUE STANFORD, SUITE 220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AVITA Medical,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RCEL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1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1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21.88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128,000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03/04/2031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128,000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128,000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-2552065</wp:posOffset>
            </wp:positionV>
            <wp:extent cx="7034530" cy="2689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68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33,000 of these Stock Options vest in four equal annual installments beginning on January 4, 2022 and the remaining 95,000 Stock Options vest based on performance-based vesting criteria.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Donna Shiroma, by power of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03/08/2021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468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3441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5186" TargetMode="External"/><Relationship Id="rId14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2021-03-08T15:44:56Z</dcterms:created>
  <dcterms:modified xsi:type="dcterms:W3CDTF">2021-03-08T15:44:56Z</dcterms:modified>
</cp:coreProperties>
</file>