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May 13, 2021, Avita Medical, Inc. (the “Company”), issued a press release announcing preliminary unaudited results for the third quarter ended March 31, 2021 and certain other business updates (the “Business Update Press Release”). A copy of the press release is furnished herewith as Exhibit 99.1 to this report.</w:t>
      </w:r>
    </w:p>
    <w:p>
      <w:pPr>
        <w:spacing w:after="0" w:line="18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information under this Item 2.02 and in Exhibit 99.1 is preliminary, has not been audited and is subject to change upon completion of the Company’s closing procedures. The information disclosed under this Item 2.02, including Exhibit 99.1 hereto,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4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42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4460" w:type="dxa"/>
            <w:vAlign w:val="bottom"/>
            <w:tcBorders>
              <w:bottom w:val="single" w:sz="8" w:color="0000EE"/>
            </w:tcBorders>
            <w:gridSpan w:val="2"/>
          </w:tcPr>
          <w:p>
            <w:pPr>
              <w:spacing w:after="0" w:line="169"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AVITA Medical Reports Third Quarter 2021 Financial Results</w:t>
              </w:r>
            </w:hyperlink>
          </w:p>
        </w:tc>
        <w:tc>
          <w:tcPr>
            <w:tcW w:w="0" w:type="dxa"/>
            <w:vAlign w:val="bottom"/>
          </w:tcPr>
          <w:p>
            <w:pPr>
              <w:spacing w:after="0"/>
              <w:rPr>
                <w:sz w:val="1"/>
                <w:szCs w:val="1"/>
                <w:color w:val="auto"/>
              </w:rPr>
            </w:pPr>
          </w:p>
        </w:tc>
      </w:tr>
    </w:tbl>
    <w:p>
      <w:pPr>
        <w:sectPr>
          <w:pgSz w:w="11900" w:h="16838" w:orient="portrait"/>
          <w:cols w:equalWidth="0" w:num="1">
            <w:col w:w="10740"/>
          </w:cols>
          <w:pgMar w:left="440" w:top="270" w:right="7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AVITA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Donna Shiroma</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Donna Shiroma</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171450</wp:posOffset>
            </wp:positionV>
            <wp:extent cx="1628775"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87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Reports Third Quarter 2021 Financial Results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VALENCIA, Calif, May 13, 2021 and MELBOURNE, Australia, May 14, 2021 </w:t>
      </w:r>
      <w:r>
        <w:rPr>
          <w:rFonts w:ascii="Arial" w:cs="Arial" w:eastAsia="Arial" w:hAnsi="Arial"/>
          <w:sz w:val="17"/>
          <w:szCs w:val="17"/>
          <w:color w:val="auto"/>
        </w:rPr>
        <w:t>— AVITA Medical, Inc. (NASDAQ: RCEL, ASX:AVH)</w:t>
      </w:r>
      <w:r>
        <w:rPr>
          <w:rFonts w:ascii="Arial" w:cs="Arial" w:eastAsia="Arial" w:hAnsi="Arial"/>
          <w:sz w:val="17"/>
          <w:szCs w:val="17"/>
          <w:b w:val="1"/>
          <w:bCs w:val="1"/>
          <w:color w:val="auto"/>
        </w:rPr>
        <w:t xml:space="preserve"> (Company)</w:t>
      </w:r>
      <w:r>
        <w:rPr>
          <w:rFonts w:ascii="Arial" w:cs="Arial" w:eastAsia="Arial" w:hAnsi="Arial"/>
          <w:sz w:val="17"/>
          <w:szCs w:val="17"/>
          <w:color w:val="auto"/>
        </w:rPr>
        <w:t>, a regenerative medicine company that is developing and commercializing a technology platform that enables point-of-care autologous skin</w:t>
      </w:r>
      <w:r>
        <w:rPr>
          <w:rFonts w:ascii="Arial" w:cs="Arial" w:eastAsia="Arial" w:hAnsi="Arial"/>
          <w:sz w:val="17"/>
          <w:szCs w:val="17"/>
          <w:b w:val="1"/>
          <w:bCs w:val="1"/>
          <w:color w:val="auto"/>
        </w:rPr>
        <w:t xml:space="preserve"> </w:t>
      </w:r>
      <w:r>
        <w:rPr>
          <w:rFonts w:ascii="Arial" w:cs="Arial" w:eastAsia="Arial" w:hAnsi="Arial"/>
          <w:sz w:val="17"/>
          <w:szCs w:val="17"/>
          <w:color w:val="auto"/>
        </w:rPr>
        <w:t>restoration for multiple unmet needs, today reported financial results for its third quarter of fiscal year 2021, ended March 31,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35"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Reported RECELL</w:t>
      </w:r>
      <w:r>
        <w:rPr>
          <w:rFonts w:ascii="Arial" w:cs="Arial" w:eastAsia="Arial" w:hAnsi="Arial"/>
          <w:sz w:val="14"/>
          <w:szCs w:val="14"/>
          <w:color w:val="auto"/>
        </w:rPr>
        <w:t>®</w:t>
      </w:r>
      <w:r>
        <w:rPr>
          <w:rFonts w:ascii="Arial" w:cs="Arial" w:eastAsia="Arial" w:hAnsi="Arial"/>
          <w:sz w:val="17"/>
          <w:szCs w:val="17"/>
          <w:color w:val="auto"/>
        </w:rPr>
        <w:t xml:space="preserve"> revenue of $8.8 million in the third quarter of 2021, a 126% increase over the same quarter in the prior year</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Commercial metrics:</w:t>
      </w:r>
    </w:p>
    <w:p>
      <w:pPr>
        <w:spacing w:after="0" w:line="130" w:lineRule="exact"/>
        <w:rPr>
          <w:rFonts w:ascii="Arial" w:cs="Arial" w:eastAsia="Arial" w:hAnsi="Arial"/>
          <w:sz w:val="18"/>
          <w:szCs w:val="18"/>
          <w:color w:val="auto"/>
        </w:rPr>
      </w:pPr>
    </w:p>
    <w:p>
      <w:pPr>
        <w:ind w:left="1420" w:right="480" w:hanging="331"/>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Procedural volumes were 492 in the third quarter of 2021, compared with 408 in the same period last year, and 487 in the prior quarter ended December 31, 2020;</w:t>
      </w:r>
    </w:p>
    <w:p>
      <w:pPr>
        <w:spacing w:after="0" w:line="75" w:lineRule="exact"/>
        <w:rPr>
          <w:rFonts w:ascii="Arial" w:cs="Arial" w:eastAsia="Arial" w:hAnsi="Arial"/>
          <w:sz w:val="18"/>
          <w:szCs w:val="18"/>
          <w:color w:val="auto"/>
        </w:rPr>
      </w:pPr>
    </w:p>
    <w:p>
      <w:pPr>
        <w:ind w:left="1420" w:right="240" w:hanging="331"/>
        <w:spacing w:after="0" w:line="277" w:lineRule="auto"/>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Added 6 new burn center accounts in the third quarter 2021 for a total of 99 accounts, or a penetration rate of 73% of the 136 total U.S. burn centers;</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Of the approximate 300 total U.S. burn surgeons:</w:t>
      </w:r>
    </w:p>
    <w:p>
      <w:pPr>
        <w:spacing w:after="0" w:line="130" w:lineRule="exact"/>
        <w:rPr>
          <w:rFonts w:ascii="Arial" w:cs="Arial" w:eastAsia="Arial" w:hAnsi="Arial"/>
          <w:sz w:val="18"/>
          <w:szCs w:val="18"/>
          <w:color w:val="auto"/>
        </w:rPr>
      </w:pPr>
    </w:p>
    <w:p>
      <w:pPr>
        <w:ind w:left="2080" w:right="100" w:hanging="545"/>
        <w:spacing w:after="0" w:line="277" w:lineRule="auto"/>
        <w:tabs>
          <w:tab w:leader="none" w:pos="2080" w:val="left"/>
        </w:tabs>
        <w:numPr>
          <w:ilvl w:val="2"/>
          <w:numId w:val="2"/>
        </w:numPr>
        <w:rPr>
          <w:rFonts w:ascii="Arial" w:cs="Arial" w:eastAsia="Arial" w:hAnsi="Arial"/>
          <w:sz w:val="18"/>
          <w:szCs w:val="18"/>
          <w:color w:val="auto"/>
        </w:rPr>
      </w:pPr>
      <w:r>
        <w:rPr>
          <w:rFonts w:ascii="Arial" w:cs="Arial" w:eastAsia="Arial" w:hAnsi="Arial"/>
          <w:sz w:val="18"/>
          <w:szCs w:val="18"/>
          <w:color w:val="auto"/>
        </w:rPr>
        <w:t>244 U.S. burn surgeons have been trained and certified with RECELL</w:t>
      </w:r>
      <w:r>
        <w:rPr>
          <w:rFonts w:ascii="Arial" w:cs="Arial" w:eastAsia="Arial" w:hAnsi="Arial"/>
          <w:sz w:val="15"/>
          <w:szCs w:val="15"/>
          <w:color w:val="auto"/>
        </w:rPr>
        <w:t>®</w:t>
      </w:r>
      <w:r>
        <w:rPr>
          <w:rFonts w:ascii="Arial" w:cs="Arial" w:eastAsia="Arial" w:hAnsi="Arial"/>
          <w:sz w:val="18"/>
          <w:szCs w:val="18"/>
          <w:color w:val="auto"/>
        </w:rPr>
        <w:t xml:space="preserve"> through the third quarter of 2021, for a penetration rate of 81%; and</w:t>
      </w:r>
    </w:p>
    <w:p>
      <w:pPr>
        <w:spacing w:after="0" w:line="75" w:lineRule="exact"/>
        <w:rPr>
          <w:rFonts w:ascii="Arial" w:cs="Arial" w:eastAsia="Arial" w:hAnsi="Arial"/>
          <w:sz w:val="18"/>
          <w:szCs w:val="18"/>
          <w:color w:val="auto"/>
        </w:rPr>
      </w:pPr>
    </w:p>
    <w:p>
      <w:pPr>
        <w:ind w:left="2080" w:hanging="545"/>
        <w:spacing w:after="0"/>
        <w:tabs>
          <w:tab w:leader="none" w:pos="2080" w:val="left"/>
        </w:tabs>
        <w:numPr>
          <w:ilvl w:val="2"/>
          <w:numId w:val="2"/>
        </w:numPr>
        <w:rPr>
          <w:rFonts w:ascii="Arial" w:cs="Arial" w:eastAsia="Arial" w:hAnsi="Arial"/>
          <w:sz w:val="18"/>
          <w:szCs w:val="18"/>
          <w:color w:val="auto"/>
        </w:rPr>
      </w:pPr>
      <w:r>
        <w:rPr>
          <w:rFonts w:ascii="Arial" w:cs="Arial" w:eastAsia="Arial" w:hAnsi="Arial"/>
          <w:sz w:val="18"/>
          <w:szCs w:val="18"/>
          <w:color w:val="auto"/>
        </w:rPr>
        <w:t>147 burn surgeons used RECELL</w:t>
      </w:r>
      <w:r>
        <w:rPr>
          <w:rFonts w:ascii="Arial" w:cs="Arial" w:eastAsia="Arial" w:hAnsi="Arial"/>
          <w:sz w:val="15"/>
          <w:szCs w:val="15"/>
          <w:color w:val="auto"/>
        </w:rPr>
        <w:t>®</w:t>
      </w:r>
      <w:r>
        <w:rPr>
          <w:rFonts w:ascii="Arial" w:cs="Arial" w:eastAsia="Arial" w:hAnsi="Arial"/>
          <w:sz w:val="18"/>
          <w:szCs w:val="18"/>
          <w:color w:val="auto"/>
        </w:rPr>
        <w:t xml:space="preserve"> in the third quarter of 2021, for a penetration rate of nearly 50%.</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made steady progress over the last quarter as we continued to drive RECELL</w:t>
      </w:r>
      <w:r>
        <w:rPr>
          <w:rFonts w:ascii="Arial" w:cs="Arial" w:eastAsia="Arial" w:hAnsi="Arial"/>
          <w:sz w:val="14"/>
          <w:szCs w:val="14"/>
          <w:color w:val="auto"/>
        </w:rPr>
        <w:t>®</w:t>
      </w:r>
      <w:r>
        <w:rPr>
          <w:rFonts w:ascii="Arial" w:cs="Arial" w:eastAsia="Arial" w:hAnsi="Arial"/>
          <w:sz w:val="17"/>
          <w:szCs w:val="17"/>
          <w:color w:val="auto"/>
        </w:rPr>
        <w:t xml:space="preserve"> usage in our established hospital burn center base with an increasing focus on smaller burns, and we continued to expand our physician training and outreach programs. As pandemic headwinds abate, we plan to leverage our highly experienced burns sales force and strong relationships built to date with the burn practitioner community to increase hospital access and to penetrate deeper into our existing accounts, resulting in additional procedures and engaging more burn practitioners,” said Dr. Mike Perry, AVITA Medical Chief Executive Officer. “Our three pivotal clinical trials in vitiligo, trauma, and pediatric burns are continuing on schedule and we expect to see expanded indications for RECELL</w:t>
      </w:r>
      <w:r>
        <w:rPr>
          <w:rFonts w:ascii="Arial" w:cs="Arial" w:eastAsia="Arial" w:hAnsi="Arial"/>
          <w:sz w:val="14"/>
          <w:szCs w:val="14"/>
          <w:color w:val="auto"/>
        </w:rPr>
        <w:t>®</w:t>
      </w:r>
      <w:r>
        <w:rPr>
          <w:rFonts w:ascii="Arial" w:cs="Arial" w:eastAsia="Arial" w:hAnsi="Arial"/>
          <w:sz w:val="17"/>
          <w:szCs w:val="17"/>
          <w:color w:val="auto"/>
        </w:rPr>
        <w:t xml:space="preserve"> coming online, allowing us to serve an ever-growing population of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Revenue in the third quarter ended March 31, 2021 was $8.8 million, compared to $3.9 million in the corresponding period ended March 31, 2020, and compared to $5.1 million in the prior quarter ended December 31, 2020. In the third quarter ended March 2021, RECELL</w:t>
      </w:r>
      <w:r>
        <w:rPr>
          <w:rFonts w:ascii="Arial" w:cs="Arial" w:eastAsia="Arial" w:hAnsi="Arial"/>
          <w:sz w:val="13"/>
          <w:szCs w:val="13"/>
          <w:color w:val="auto"/>
        </w:rPr>
        <w:t>®</w:t>
      </w:r>
      <w:r>
        <w:rPr>
          <w:rFonts w:ascii="Arial" w:cs="Arial" w:eastAsia="Arial" w:hAnsi="Arial"/>
          <w:sz w:val="16"/>
          <w:szCs w:val="16"/>
          <w:color w:val="auto"/>
        </w:rPr>
        <w:t xml:space="preserve"> commercial revenues were $4.6 million, while RECELL</w:t>
      </w:r>
      <w:r>
        <w:rPr>
          <w:rFonts w:ascii="Arial" w:cs="Arial" w:eastAsia="Arial" w:hAnsi="Arial"/>
          <w:sz w:val="13"/>
          <w:szCs w:val="13"/>
          <w:color w:val="auto"/>
        </w:rPr>
        <w:t>®</w:t>
      </w:r>
      <w:r>
        <w:rPr>
          <w:rFonts w:ascii="Arial" w:cs="Arial" w:eastAsia="Arial" w:hAnsi="Arial"/>
          <w:sz w:val="16"/>
          <w:szCs w:val="16"/>
          <w:color w:val="auto"/>
        </w:rPr>
        <w:t xml:space="preserve"> revenues associated with the U.S. Department of Health and Human Services’ Biomedical Advanced Research and Development Authority within the Office of the Assistant Secretary for Preparedness and Response (“BARDA”) were $4.1 million. Revenues associated with BARDA were attributable to the purchase of RECELL</w:t>
      </w:r>
      <w:r>
        <w:rPr>
          <w:rFonts w:ascii="Arial" w:cs="Arial" w:eastAsia="Arial" w:hAnsi="Arial"/>
          <w:sz w:val="13"/>
          <w:szCs w:val="13"/>
          <w:color w:val="auto"/>
        </w:rPr>
        <w:t>®</w:t>
      </w:r>
      <w:r>
        <w:rPr>
          <w:rFonts w:ascii="Arial" w:cs="Arial" w:eastAsia="Arial" w:hAnsi="Arial"/>
          <w:sz w:val="16"/>
          <w:szCs w:val="16"/>
          <w:color w:val="auto"/>
        </w:rPr>
        <w:t xml:space="preserve"> units for emergency preparedness by BARDA. RECELL</w:t>
      </w:r>
      <w:r>
        <w:rPr>
          <w:rFonts w:ascii="Arial" w:cs="Arial" w:eastAsia="Arial" w:hAnsi="Arial"/>
          <w:sz w:val="13"/>
          <w:szCs w:val="13"/>
          <w:color w:val="auto"/>
        </w:rPr>
        <w:t>®</w:t>
      </w:r>
      <w:r>
        <w:rPr>
          <w:rFonts w:ascii="Arial" w:cs="Arial" w:eastAsia="Arial" w:hAnsi="Arial"/>
          <w:sz w:val="16"/>
          <w:szCs w:val="16"/>
          <w:color w:val="auto"/>
        </w:rPr>
        <w:t xml:space="preserve"> commercial revenues in the third quarter ended March 31, 2021 compared to the corresponding period ended March 31, 2020, increased $0.7 million, or 19%.</w:t>
      </w:r>
    </w:p>
    <w:p>
      <w:pPr>
        <w:spacing w:after="0" w:line="97"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AVITA Medical, Inc. | 28159 Avenue Stanford, Suite 220 Valencia, CA 91355</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Gross margin was 76% for the third quarter of 2021, compared with 84% in the same quarter last year. Lower third quarter gross margins resulted from a lower RECELL</w:t>
      </w:r>
      <w:r>
        <w:rPr>
          <w:rFonts w:ascii="Arial" w:cs="Arial" w:eastAsia="Arial" w:hAnsi="Arial"/>
          <w:sz w:val="15"/>
          <w:szCs w:val="15"/>
          <w:color w:val="auto"/>
        </w:rPr>
        <w:t>®</w:t>
      </w:r>
      <w:r>
        <w:rPr>
          <w:rFonts w:ascii="Arial" w:cs="Arial" w:eastAsia="Arial" w:hAnsi="Arial"/>
          <w:sz w:val="18"/>
          <w:szCs w:val="18"/>
          <w:color w:val="auto"/>
        </w:rPr>
        <w:t xml:space="preserve"> price point for units that were purchased under contract with BARDA. AVITA’s contract with BARDA was negotiated prior to the establishment of a higher price point achieved in the RECELL</w:t>
      </w:r>
      <w:r>
        <w:rPr>
          <w:rFonts w:ascii="Arial" w:cs="Arial" w:eastAsia="Arial" w:hAnsi="Arial"/>
          <w:sz w:val="15"/>
          <w:szCs w:val="15"/>
          <w:color w:val="auto"/>
        </w:rPr>
        <w:t>®</w:t>
      </w:r>
      <w:r>
        <w:rPr>
          <w:rFonts w:ascii="Arial" w:cs="Arial" w:eastAsia="Arial" w:hAnsi="Arial"/>
          <w:sz w:val="18"/>
          <w:szCs w:val="18"/>
          <w:color w:val="auto"/>
        </w:rPr>
        <w:t xml:space="preserve"> commercialization in the United States.</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Operating expenses were $13.2 million for the third quarter of 2021, compared with $19.7 million in the same quarter last year. The decrease in quarter over quarter expenses is primarily attributable to lower stock-based compensation along with lower sales and marketing expenses, partially offset by higher costs in research and development. Lower stock-based compensation was driven by higher share-based compensation expenses in the prior year associated with certain performance milestones being met. The decrease in sales and marketing expense in the current quarter is primarily due to reduced travel to burn centers and industry conferences necessitated by COVID-19 related travel restrictions, partially offset by higher prior year costs incurred with the RECELL</w:t>
      </w:r>
      <w:r>
        <w:rPr>
          <w:rFonts w:ascii="Arial" w:cs="Arial" w:eastAsia="Arial" w:hAnsi="Arial"/>
          <w:sz w:val="13"/>
          <w:szCs w:val="13"/>
          <w:color w:val="auto"/>
        </w:rPr>
        <w:t>®</w:t>
      </w:r>
      <w:r>
        <w:rPr>
          <w:rFonts w:ascii="Arial" w:cs="Arial" w:eastAsia="Arial" w:hAnsi="Arial"/>
          <w:sz w:val="16"/>
          <w:szCs w:val="16"/>
          <w:color w:val="auto"/>
        </w:rPr>
        <w:t xml:space="preserve"> product launch. Higher research and development expenses have resulted from a ramping up of clinical trial related activities for treatment of vitiligo as well as other research and developments costs to further expand the Company’s pipeline.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Net loss was $6.0 million for the third quarter of 2021 and net loss per share was $0.26 on a weighted-average basic and diluted share count of</w:t>
      </w:r>
    </w:p>
    <w:p>
      <w:pPr>
        <w:spacing w:after="0" w:line="35"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22.7 million, compared to $15.0 million and a net loss per share of $0.71 on a weighted-average basic and diluted share count of 21.2 million in the same period of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Cash was $114.9 million as of March 31, 2021, which includes $64.0M net proceeds from our capital issuance closed in the third quarter of 2021.</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Revenue Guidance</w:t>
      </w:r>
    </w:p>
    <w:p>
      <w:pPr>
        <w:spacing w:after="0" w:line="135" w:lineRule="exact"/>
        <w:rPr>
          <w:sz w:val="20"/>
          <w:szCs w:val="20"/>
          <w:color w:val="auto"/>
        </w:rPr>
      </w:pPr>
    </w:p>
    <w:p>
      <w:pPr>
        <w:ind w:left="960" w:right="5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expected to be in the range of $8.2-$8.6 million, consisting of $5.0-5.3 million of commercial RECELL</w:t>
      </w:r>
      <w:r>
        <w:rPr>
          <w:rFonts w:ascii="Arial" w:cs="Arial" w:eastAsia="Arial" w:hAnsi="Arial"/>
          <w:sz w:val="15"/>
          <w:szCs w:val="15"/>
          <w:color w:val="auto"/>
        </w:rPr>
        <w:t>®</w:t>
      </w:r>
      <w:r>
        <w:rPr>
          <w:rFonts w:ascii="Arial" w:cs="Arial" w:eastAsia="Arial" w:hAnsi="Arial"/>
          <w:sz w:val="18"/>
          <w:szCs w:val="18"/>
          <w:color w:val="auto"/>
        </w:rPr>
        <w:t xml:space="preserve"> revenue and $3.2-3.3 million of RECELL</w:t>
      </w:r>
      <w:r>
        <w:rPr>
          <w:rFonts w:ascii="Arial" w:cs="Arial" w:eastAsia="Arial" w:hAnsi="Arial"/>
          <w:sz w:val="15"/>
          <w:szCs w:val="15"/>
          <w:color w:val="auto"/>
        </w:rPr>
        <w:t>®</w:t>
      </w:r>
      <w:r>
        <w:rPr>
          <w:rFonts w:ascii="Arial" w:cs="Arial" w:eastAsia="Arial" w:hAnsi="Arial"/>
          <w:sz w:val="18"/>
          <w:szCs w:val="18"/>
          <w:color w:val="auto"/>
        </w:rPr>
        <w:t xml:space="preserve"> revenue associated with BARDA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will host a conference call to discuss the third quarter financial results after market close on Thursday, May 13, 2021 at 1:30 p.m. Pacific Time / 4:30 p.m. Eastern Time (being 6.30 a.m. Australian Eastern Daylight Time on Friday, May 14, 2021). The conference call can be accessed live over the phone for (833) 614-1538 U.S. callers or for (706) 634-6548 international callers, using conference ID:5490156. The live webinar can be accessed at https://ir.avitamedical.com.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AVITA Medical, Inc. is a regenerative medicine company with a technology platform positioned to address unmet medical needs in burns, chronic wounds, and aesthetics indications. AVITA Medical Inc.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4"/>
          <w:szCs w:val="14"/>
          <w:color w:val="auto"/>
        </w:rPr>
        <w:t>®</w:t>
      </w:r>
      <w:r>
        <w:rPr>
          <w:rFonts w:ascii="Arial" w:cs="Arial" w:eastAsia="Arial" w:hAnsi="Arial"/>
          <w:sz w:val="17"/>
          <w:szCs w:val="17"/>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09"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AVITA Medical, Inc. | 28159 Avenue Stanford, Suite 220 Valencia, CA 91355</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000"/>
          </w:cols>
          <w:pgMar w:left="440" w:top="274" w:right="459" w:bottom="1440" w:gutter="0" w:footer="0" w:header="0"/>
        </w:sectPr>
      </w:pPr>
    </w:p>
    <w:bookmarkStart w:id="5" w:name="page6"/>
    <w:bookmarkEnd w:id="5"/>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w:t>
      </w:r>
      <w:r>
        <w:rPr>
          <w:rFonts w:ascii="Arial" w:cs="Arial" w:eastAsia="Arial" w:hAnsi="Arial"/>
          <w:sz w:val="14"/>
          <w:szCs w:val="14"/>
          <w:color w:val="auto"/>
        </w:rPr>
        <w:t>®</w:t>
      </w:r>
      <w:r>
        <w:rPr>
          <w:rFonts w:ascii="Arial" w:cs="Arial" w:eastAsia="Arial" w:hAnsi="Arial"/>
          <w:sz w:val="17"/>
          <w:szCs w:val="17"/>
          <w:color w:val="auto"/>
        </w:rPr>
        <w:t xml:space="preserve"> System is indicated for use in the treatment of acute thermal burns in patients 18 years and older. The RECELL</w:t>
      </w:r>
      <w:r>
        <w:rPr>
          <w:rFonts w:ascii="Arial" w:cs="Arial" w:eastAsia="Arial" w:hAnsi="Arial"/>
          <w:sz w:val="14"/>
          <w:szCs w:val="14"/>
          <w:color w:val="auto"/>
        </w:rPr>
        <w:t>®</w:t>
      </w:r>
      <w:r>
        <w:rPr>
          <w:rFonts w:ascii="Arial" w:cs="Arial" w:eastAsia="Arial" w:hAnsi="Arial"/>
          <w:sz w:val="17"/>
          <w:szCs w:val="17"/>
          <w:color w:val="auto"/>
        </w:rPr>
        <w:t xml:space="preserve">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w:t>
      </w:r>
      <w:r>
        <w:rPr>
          <w:rFonts w:ascii="Arial" w:cs="Arial" w:eastAsia="Arial" w:hAnsi="Arial"/>
          <w:sz w:val="14"/>
          <w:szCs w:val="14"/>
          <w:color w:val="auto"/>
        </w:rPr>
        <w:t>®</w:t>
      </w:r>
      <w:r>
        <w:rPr>
          <w:rFonts w:ascii="Arial" w:cs="Arial" w:eastAsia="Arial" w:hAnsi="Arial"/>
          <w:sz w:val="17"/>
          <w:szCs w:val="17"/>
          <w:color w:val="auto"/>
        </w:rPr>
        <w:t xml:space="preserve">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w:t>
      </w:r>
      <w:r>
        <w:rPr>
          <w:rFonts w:ascii="Arial" w:cs="Arial" w:eastAsia="Arial" w:hAnsi="Arial"/>
          <w:sz w:val="14"/>
          <w:szCs w:val="14"/>
          <w:color w:val="auto"/>
        </w:rPr>
        <w:t>®</w:t>
      </w:r>
      <w:r>
        <w:rPr>
          <w:rFonts w:ascii="Arial" w:cs="Arial" w:eastAsia="Arial" w:hAnsi="Arial"/>
          <w:sz w:val="17"/>
          <w:szCs w:val="17"/>
          <w:color w:val="auto"/>
        </w:rPr>
        <w:t xml:space="preserve">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international markets, our products are marketed under the RECELL</w:t>
      </w:r>
      <w:r>
        <w:rPr>
          <w:rFonts w:ascii="Arial" w:cs="Arial" w:eastAsia="Arial" w:hAnsi="Arial"/>
          <w:sz w:val="14"/>
          <w:szCs w:val="14"/>
          <w:color w:val="auto"/>
        </w:rPr>
        <w:t>®</w:t>
      </w:r>
      <w:r>
        <w:rPr>
          <w:rFonts w:ascii="Arial" w:cs="Arial" w:eastAsia="Arial" w:hAnsi="Arial"/>
          <w:sz w:val="17"/>
          <w:szCs w:val="17"/>
          <w:color w:val="auto"/>
        </w:rPr>
        <w:t xml:space="preserve"> System brand to promote skin healing in a wide range of applications including burns, chronic wounds and aesthetics. The RECELL</w:t>
      </w:r>
      <w:r>
        <w:rPr>
          <w:rFonts w:ascii="Arial" w:cs="Arial" w:eastAsia="Arial" w:hAnsi="Arial"/>
          <w:sz w:val="14"/>
          <w:szCs w:val="14"/>
          <w:color w:val="auto"/>
        </w:rPr>
        <w:t>®</w:t>
      </w:r>
      <w:r>
        <w:rPr>
          <w:rFonts w:ascii="Arial" w:cs="Arial" w:eastAsia="Arial" w:hAnsi="Arial"/>
          <w:sz w:val="17"/>
          <w:szCs w:val="17"/>
          <w:color w:val="auto"/>
        </w:rPr>
        <w:t xml:space="preserve">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including, but not limited to the ongoing COVID-19 pandemic which are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117"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AVITA Medical, Inc. | 28159 Avenue Stanford, Suite 220 Valencia, CA 91355</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000"/>
          </w:cols>
          <w:pgMar w:left="440" w:top="274"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4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4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Christy Curran</w:t>
            </w:r>
          </w:p>
        </w:tc>
        <w:tc>
          <w:tcPr>
            <w:tcW w:w="4080" w:type="dxa"/>
            <w:vAlign w:val="bottom"/>
            <w:gridSpan w:val="2"/>
          </w:tcPr>
          <w:p>
            <w:pPr>
              <w:ind w:left="1720"/>
              <w:spacing w:after="0"/>
              <w:rPr>
                <w:sz w:val="20"/>
                <w:szCs w:val="20"/>
                <w:color w:val="auto"/>
              </w:rPr>
            </w:pPr>
            <w:r>
              <w:rPr>
                <w:rFonts w:ascii="Arial" w:cs="Arial" w:eastAsia="Arial" w:hAnsi="Arial"/>
                <w:sz w:val="18"/>
                <w:szCs w:val="18"/>
                <w:color w:val="auto"/>
              </w:rPr>
              <w:t>Caroline Corner</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Phone +1 615 414 8668</w:t>
            </w:r>
          </w:p>
        </w:tc>
        <w:tc>
          <w:tcPr>
            <w:tcW w:w="4080" w:type="dxa"/>
            <w:vAlign w:val="bottom"/>
            <w:gridSpan w:val="2"/>
          </w:tcPr>
          <w:p>
            <w:pPr>
              <w:ind w:left="17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gridSpan w:val="2"/>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1800" w:type="dxa"/>
            <w:vAlign w:val="bottom"/>
          </w:tcPr>
          <w:p>
            <w:pPr>
              <w:spacing w:after="0"/>
              <w:rPr>
                <w:sz w:val="16"/>
                <w:szCs w:val="16"/>
                <w:color w:val="auto"/>
              </w:rPr>
            </w:pPr>
          </w:p>
        </w:tc>
        <w:tc>
          <w:tcPr>
            <w:tcW w:w="4080" w:type="dxa"/>
            <w:vAlign w:val="bottom"/>
            <w:gridSpan w:val="2"/>
          </w:tcPr>
          <w:p>
            <w:pPr>
              <w:ind w:left="17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461"/>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17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Rudi Michelson</w:t>
            </w: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Mobile +61 (0)411 402 737</w:t>
            </w: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0"/>
        </w:trPr>
        <w:tc>
          <w:tcPr>
            <w:tcW w:w="4020" w:type="dxa"/>
            <w:vAlign w:val="bottom"/>
            <w:gridSpan w:val="3"/>
          </w:tcPr>
          <w:p>
            <w:pPr>
              <w:spacing w:after="0" w:line="190" w:lineRule="exact"/>
              <w:rPr>
                <w:sz w:val="20"/>
                <w:szCs w:val="20"/>
                <w:color w:val="auto"/>
              </w:rPr>
            </w:pPr>
            <w:r>
              <w:rPr>
                <w:rFonts w:ascii="Arial" w:cs="Arial" w:eastAsia="Arial" w:hAnsi="Arial"/>
                <w:sz w:val="18"/>
                <w:szCs w:val="18"/>
                <w:color w:val="auto"/>
              </w:rPr>
              <w:t>rudim@monsoon.com.au</w:t>
            </w:r>
          </w:p>
        </w:tc>
        <w:tc>
          <w:tcPr>
            <w:tcW w:w="17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Arial" w:cs="Arial" w:eastAsia="Arial" w:hAnsi="Arial"/>
                <w:sz w:val="18"/>
                <w:szCs w:val="18"/>
                <w:color w:val="auto"/>
                <w:w w:val="99"/>
              </w:rPr>
              <w:t># # #</w:t>
            </w:r>
          </w:p>
        </w:tc>
        <w:tc>
          <w:tcPr>
            <w:tcW w:w="23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0160"/>
        <w:spacing w:after="0"/>
        <w:rPr>
          <w:sz w:val="20"/>
          <w:szCs w:val="20"/>
          <w:color w:val="auto"/>
        </w:rPr>
      </w:pPr>
      <w:r>
        <w:rPr>
          <w:rFonts w:ascii="Arial" w:cs="Arial" w:eastAsia="Arial" w:hAnsi="Arial"/>
          <w:sz w:val="16"/>
          <w:szCs w:val="16"/>
          <w:color w:val="auto"/>
        </w:rPr>
        <w:t>PR2021050</w:t>
      </w:r>
    </w:p>
    <w:p>
      <w:pPr>
        <w:spacing w:after="0" w:line="181"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AVITA Medical, Inc. | 28159 Avenue Stanford, Suite 220 Valencia, CA 91355</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2021</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30,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Cash</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114,879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73,639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BARDA receivables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3,250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Prepaids and other current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123,711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128,087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wages and fringe benefits</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2,472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(Note 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$0.0001 par value per share, 200,000,000 shares authorized, 24,842,883 and 21,467,912 shares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at March 31, 2021 and June 30, 2020, respectively</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7"/>
              </w:rPr>
              <w:t>Preferred stock, $0.0001 par value per share, 10,000,000 shares authorized, no shares issued or outstanding at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March 31, 2021 and June 30, 2020</w:t>
            </w:r>
          </w:p>
        </w:tc>
        <w:tc>
          <w:tcPr>
            <w:tcW w:w="2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327,447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8,271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(216,778)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(194,913)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128,087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tcPr>
          <w:p>
            <w:pPr>
              <w:spacing w:after="0"/>
              <w:rPr>
                <w:sz w:val="20"/>
                <w:szCs w:val="20"/>
                <w:color w:val="auto"/>
              </w:rPr>
            </w:pPr>
            <w:r>
              <w:rPr>
                <w:rFonts w:ascii="Arial" w:cs="Arial" w:eastAsia="Arial" w:hAnsi="Arial"/>
                <w:sz w:val="18"/>
                <w:szCs w:val="18"/>
                <w:color w:val="auto"/>
              </w:rPr>
              <w:t>AVITA Medical, Inc. | 28159 Avenue Stanford, Suite 220 Valencia, CA 91355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Page 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8"/>
          </w:tcPr>
          <w:p>
            <w:pPr>
              <w:jc w:val="right"/>
              <w:ind w:right="581"/>
              <w:spacing w:after="0"/>
              <w:rPr>
                <w:sz w:val="20"/>
                <w:szCs w:val="20"/>
                <w:color w:val="auto"/>
              </w:rPr>
            </w:pPr>
            <w:r>
              <w:rPr>
                <w:rFonts w:ascii="Arial" w:cs="Arial" w:eastAsia="Arial" w:hAnsi="Arial"/>
                <w:sz w:val="14"/>
                <w:szCs w:val="14"/>
                <w:b w:val="1"/>
                <w:bCs w:val="1"/>
                <w:color w:val="auto"/>
                <w:w w:val="96"/>
              </w:rPr>
              <w:t>Three months ended March 31,</w:t>
            </w:r>
          </w:p>
        </w:tc>
        <w:tc>
          <w:tcPr>
            <w:tcW w:w="100" w:type="dxa"/>
            <w:vAlign w:val="bottom"/>
          </w:tcPr>
          <w:p>
            <w:pPr>
              <w:spacing w:after="0"/>
              <w:rPr>
                <w:sz w:val="14"/>
                <w:szCs w:val="14"/>
                <w:color w:val="auto"/>
              </w:rPr>
            </w:pPr>
          </w:p>
        </w:tc>
        <w:tc>
          <w:tcPr>
            <w:tcW w:w="2260" w:type="dxa"/>
            <w:vAlign w:val="bottom"/>
            <w:gridSpan w:val="11"/>
          </w:tcPr>
          <w:p>
            <w:pPr>
              <w:jc w:val="right"/>
              <w:ind w:right="241"/>
              <w:spacing w:after="0"/>
              <w:rPr>
                <w:sz w:val="20"/>
                <w:szCs w:val="20"/>
                <w:color w:val="auto"/>
              </w:rPr>
            </w:pPr>
            <w:r>
              <w:rPr>
                <w:rFonts w:ascii="Arial" w:cs="Arial" w:eastAsia="Arial" w:hAnsi="Arial"/>
                <w:sz w:val="14"/>
                <w:szCs w:val="14"/>
                <w:b w:val="1"/>
                <w:bCs w:val="1"/>
                <w:color w:val="auto"/>
                <w:w w:val="96"/>
              </w:rPr>
              <w:t>Nine months ended March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18,928</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28"/>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(3,896)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15,032</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BARDA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Sales and marketing expenses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28"/>
              <w:spacing w:after="0"/>
              <w:rPr>
                <w:sz w:val="20"/>
                <w:szCs w:val="20"/>
                <w:color w:val="auto"/>
              </w:rPr>
            </w:pPr>
            <w:r>
              <w:rPr>
                <w:rFonts w:ascii="Arial" w:cs="Arial" w:eastAsia="Arial" w:hAnsi="Arial"/>
                <w:sz w:val="18"/>
                <w:szCs w:val="18"/>
                <w:color w:val="auto"/>
              </w:rPr>
              <w:t>(4,375)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(10,514)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(11,446)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(12,787)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(23,316)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28"/>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(10,844)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(19,657)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(38,483)</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(41,338)</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(15,406)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(21,836)</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(29,656)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89"/>
              </w:rPr>
              <w:t>15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(15,048)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(21,834)</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(29,116)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(15,048)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(21,865)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(29,116)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(0.71)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8"/>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22,734,335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8"/>
              <w:spacing w:after="0"/>
              <w:rPr>
                <w:sz w:val="20"/>
                <w:szCs w:val="20"/>
                <w:color w:val="auto"/>
              </w:rPr>
            </w:pPr>
            <w:r>
              <w:rPr>
                <w:rFonts w:ascii="Arial" w:cs="Arial" w:eastAsia="Arial" w:hAnsi="Arial"/>
                <w:sz w:val="18"/>
                <w:szCs w:val="18"/>
                <w:color w:val="auto"/>
                <w:w w:val="88"/>
              </w:rPr>
              <w:t>21,215,246</w:t>
            </w:r>
          </w:p>
        </w:tc>
        <w:tc>
          <w:tcPr>
            <w:tcW w:w="220" w:type="dxa"/>
            <w:vAlign w:val="bottom"/>
          </w:tcPr>
          <w:p>
            <w:pPr>
              <w:spacing w:after="0"/>
              <w:rPr>
                <w:sz w:val="18"/>
                <w:szCs w:val="18"/>
                <w:color w:val="auto"/>
              </w:rPr>
            </w:pPr>
          </w:p>
        </w:tc>
        <w:tc>
          <w:tcPr>
            <w:tcW w:w="940" w:type="dxa"/>
            <w:vAlign w:val="bottom"/>
            <w:gridSpan w:val="6"/>
          </w:tcPr>
          <w:p>
            <w:pPr>
              <w:jc w:val="right"/>
              <w:spacing w:after="0"/>
              <w:rPr>
                <w:sz w:val="20"/>
                <w:szCs w:val="20"/>
                <w:color w:val="auto"/>
              </w:rPr>
            </w:pPr>
            <w:r>
              <w:rPr>
                <w:rFonts w:ascii="Arial" w:cs="Arial" w:eastAsia="Arial" w:hAnsi="Arial"/>
                <w:sz w:val="18"/>
                <w:szCs w:val="18"/>
                <w:color w:val="auto"/>
                <w:w w:val="95"/>
              </w:rPr>
              <w:t>21,948,132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jc w:val="right"/>
              <w:ind w:right="41"/>
              <w:spacing w:after="0"/>
              <w:rPr>
                <w:sz w:val="20"/>
                <w:szCs w:val="20"/>
                <w:color w:val="auto"/>
              </w:rPr>
            </w:pPr>
            <w:r>
              <w:rPr>
                <w:rFonts w:ascii="Arial" w:cs="Arial" w:eastAsia="Arial" w:hAnsi="Arial"/>
                <w:sz w:val="18"/>
                <w:szCs w:val="18"/>
                <w:color w:val="auto"/>
                <w:w w:val="86"/>
              </w:rPr>
              <w:t>19,932,947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22,734,335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w w:val="88"/>
              </w:rPr>
              <w:t>21,215,246</w:t>
            </w:r>
          </w:p>
        </w:tc>
        <w:tc>
          <w:tcPr>
            <w:tcW w:w="2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5"/>
              </w:rPr>
              <w:t>21,948,132</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w w:val="86"/>
              </w:rPr>
              <w:t>19,932,947</w:t>
            </w: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w w:val="89"/>
              </w:rPr>
              <w:t>Total operating expenses include impact of share-based compensation as follows: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7"/>
          </w:tcPr>
          <w:p>
            <w:pPr>
              <w:jc w:val="right"/>
              <w:ind w:right="14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2021</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(238)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ind w:right="8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(8,641)</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(11,541)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4"/>
            <w:shd w:val="clear" w:color="auto" w:fill="CCEEFF"/>
          </w:tcPr>
          <w:p>
            <w:pPr>
              <w:jc w:val="right"/>
              <w:ind w:right="8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(9,048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(4,253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00" w:type="dxa"/>
            <w:vAlign w:val="bottom"/>
          </w:tcPr>
          <w:p>
            <w:pPr>
              <w:spacing w:after="0"/>
              <w:rPr>
                <w:sz w:val="20"/>
                <w:szCs w:val="20"/>
                <w:color w:val="auto"/>
              </w:rPr>
            </w:pPr>
            <w:r>
              <w:rPr>
                <w:rFonts w:ascii="Arial" w:cs="Arial" w:eastAsia="Arial" w:hAnsi="Arial"/>
                <w:sz w:val="18"/>
                <w:szCs w:val="18"/>
                <w:color w:val="auto"/>
                <w:w w:val="96"/>
              </w:rPr>
              <w:t>AVITA Medical, Inc. | 28159 Avenue Stanford, Suite 220 Valencia, CA 91355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Page 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2021-05-24T15:49:00Z</dcterms:created>
  <dcterms:modified xsi:type="dcterms:W3CDTF">2021-05-24T15:49:00Z</dcterms:modified>
</cp:coreProperties>
</file>