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November 27, 2019</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jc w:val="center"/>
        <w:ind w:right="-4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tabs>
          <w:tab w:leader="none" w:pos="886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-3175</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620"/>
          </w:cols>
          <w:pgMar w:left="440" w:top="368" w:right="8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AVITA MEDICAL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40" w:type="dxa"/>
            <w:vAlign w:val="bottom"/>
            <w:vMerge w:val="restart"/>
          </w:tcPr>
          <w:p>
            <w:pPr>
              <w:spacing w:after="0"/>
              <w:rPr>
                <w:sz w:val="20"/>
                <w:szCs w:val="20"/>
                <w:color w:val="auto"/>
              </w:rPr>
            </w:pPr>
            <w:r>
              <w:rPr>
                <w:rFonts w:ascii="Arial" w:cs="Arial" w:eastAsia="Arial" w:hAnsi="Arial"/>
                <w:sz w:val="18"/>
                <w:szCs w:val="18"/>
                <w:color w:val="auto"/>
              </w:rPr>
              <w:t>Explanatory Note</w:t>
            </w: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040" w:type="dxa"/>
            <w:vAlign w:val="bottom"/>
            <w:vMerge w:val="continue"/>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Signatures</w:t>
            </w:r>
          </w:p>
        </w:tc>
        <w:tc>
          <w:tcPr>
            <w:tcW w:w="940" w:type="dxa"/>
            <w:vAlign w:val="bottom"/>
          </w:tcPr>
          <w:p>
            <w:pPr>
              <w:jc w:val="right"/>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Press Release: AVITA Medical Names David McIntyre as Chief Financial Officer</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Avita Medical Limited (the “Company”) published an announcement (the “Public Notice”) to the Australian Securities Exchange on November 18, 2019 titled “AVITA Medical Names David McIntyre as Chief Financial Officer”. A copy of the Public Notice is attached as an exhibit to this report on Form 6-K.</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Perry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Michael Perry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27, 2019</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26936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93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Names David McIntyre as Chief Financial Officer</w:t>
      </w:r>
    </w:p>
    <w:p>
      <w:pPr>
        <w:spacing w:after="0" w:line="256" w:lineRule="exact"/>
        <w:rPr>
          <w:sz w:val="20"/>
          <w:szCs w:val="20"/>
          <w:color w:val="auto"/>
        </w:rPr>
      </w:pPr>
    </w:p>
    <w:p>
      <w:pPr>
        <w:ind w:left="440" w:hanging="436"/>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Appointment Enhances Executive Leadership Team as AVITA Medical Broadens Access to Investors and Continues Growth Trajectory</w:t>
      </w:r>
    </w:p>
    <w:p>
      <w:pPr>
        <w:spacing w:after="0" w:line="142" w:lineRule="exact"/>
        <w:rPr>
          <w:rFonts w:ascii="Arial" w:cs="Arial" w:eastAsia="Arial" w:hAnsi="Arial"/>
          <w:sz w:val="17"/>
          <w:szCs w:val="17"/>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Interim CFO Tim Rooney Remains with Company as 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Valencia, Calif., USA, and Melbourne, Australia, 18 November 2019 </w:t>
      </w:r>
      <w:r>
        <w:rPr>
          <w:rFonts w:ascii="Arial" w:cs="Arial" w:eastAsia="Arial" w:hAnsi="Arial"/>
          <w:sz w:val="18"/>
          <w:szCs w:val="18"/>
          <w:color w:val="auto"/>
        </w:rPr>
        <w:t>— AVITA Medical (ASX: AVH, NASDAQ: RCEL), a regenerative medicine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technology platform positioned to address unmet medical needs in therapeutic skin restoration, announced today the appointment of David McIntyre as Chief Financial Officer (CFO) effective November 18, 2019. Mr. McIntyre will assume responsibility for overseeing the global finance and investor relations functions and will be based in AVITA’s Valencia office in California. Interim CFO Tim Rooney will continue in his role as AVITA Medical’s Chief Administrative Officer with responsibility for global operations and supply chain management, program management, human resources, and information technology.</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“David’s extensive background in global finance, operations and law, in combination with his experience as a senior executive and corporate advisor with life sciences and device companies listed on multiple stock exchanges, strengthens our leadership team at a pivotal time,” said Dr. Mike Perry, AVITA Medical’s Chief Executive Officer. “I want to thank Tim for his service as interim CFO and am delighted to have David on board as we position the company for continued growth, building on the successful U.S. commercial launch of the RECELL</w:t>
      </w:r>
      <w:r>
        <w:rPr>
          <w:rFonts w:ascii="Arial" w:cs="Arial" w:eastAsia="Arial" w:hAnsi="Arial"/>
          <w:sz w:val="15"/>
          <w:szCs w:val="15"/>
          <w:color w:val="auto"/>
        </w:rPr>
        <w:t>®</w:t>
      </w:r>
      <w:r>
        <w:rPr>
          <w:rFonts w:ascii="Arial" w:cs="Arial" w:eastAsia="Arial" w:hAnsi="Arial"/>
          <w:sz w:val="18"/>
          <w:szCs w:val="18"/>
          <w:color w:val="auto"/>
        </w:rPr>
        <w:t xml:space="preserve"> System and further developing our pipeline across multiple indications.”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seasoned executive with more than 20 years of experience, Mr. McIntyre has served in senior financial, legal and operational roles across multinational and growth-stage entities. Most recently, Mr. McIntyre served as a Partner with Apple Tree Partners (ATP), a multibillion-dollar venture capture and growth equity fund focussed exclusively on life sciences. At ATP Mr. McIntyre was responsible for ATP’s medical device portfolio, together with various operating and Board functions, including acting as Executive Vice President, Chief Financial Officer and Head of Technical Operations at Braeburn, Inc.</w:t>
      </w:r>
    </w:p>
    <w:p>
      <w:pPr>
        <w:spacing w:after="0" w:line="18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Prior to ATP, Mr. McIntyre was Executive Vice President, Chief Financial Officer and Chief Operating Officer at HeartWare</w:t>
      </w:r>
      <w:r>
        <w:rPr>
          <w:rFonts w:ascii="Arial" w:cs="Arial" w:eastAsia="Arial" w:hAnsi="Arial"/>
          <w:sz w:val="14"/>
          <w:szCs w:val="14"/>
          <w:color w:val="auto"/>
        </w:rPr>
        <w:t>®</w:t>
      </w:r>
      <w:r>
        <w:rPr>
          <w:rFonts w:ascii="Arial" w:cs="Arial" w:eastAsia="Arial" w:hAnsi="Arial"/>
          <w:sz w:val="17"/>
          <w:szCs w:val="17"/>
          <w:color w:val="auto"/>
        </w:rPr>
        <w:t xml:space="preserve"> International, Inc. (previously ASX:HIN; NASDAQ: HTWR) where he oversaw HeartWare’s financial, supply chain and operating functions as it transitioned from pre-clinical stage through commercialization across more than 20 countries. Prior to HeartWare, Mr. McIntyre practiced as a senior attorney in private practice specializing in corporate, mergers and acquisitions and equity capital markets with Baker &amp; McKenzie and KPMG as well as holding various senior financial roles in multi-national companies, including within the Rio Tinto Group of companies.</w:t>
      </w:r>
    </w:p>
    <w:p>
      <w:pPr>
        <w:spacing w:after="0" w:line="173"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Mr. McIntyre holds a Bachelor of Economics (Accounting) from the University of Sydney (Australia), a Bachelor of Law from the University of Technology, Sydney (Australia) and a Master of Business Administration (Fuqua Scholar) from Duke University. He is also a Certified Practicing Accountant (CPA) and is admitted as a Legal Practitioner of the Supreme Court of New South Wales (in Australia).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AVITA MEDICAL LIMITED</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REGENERATIVE EPIDERMAL SUSPENSION</w:t>
      </w:r>
      <w:r>
        <w:rPr>
          <w:rFonts w:ascii="Arial" w:cs="Arial" w:eastAsia="Arial" w:hAnsi="Arial"/>
          <w:sz w:val="15"/>
          <w:szCs w:val="15"/>
          <w:color w:val="auto"/>
        </w:rPr>
        <w:t>™</w:t>
      </w:r>
      <w:r>
        <w:rPr>
          <w:rFonts w:ascii="Arial" w:cs="Arial" w:eastAsia="Arial" w:hAnsi="Arial"/>
          <w:sz w:val="18"/>
          <w:szCs w:val="18"/>
          <w:color w:val="auto"/>
        </w:rPr>
        <w:t xml:space="preserve"> (RES</w:t>
      </w:r>
      <w:r>
        <w:rPr>
          <w:rFonts w:ascii="Arial" w:cs="Arial" w:eastAsia="Arial" w:hAnsi="Arial"/>
          <w:sz w:val="15"/>
          <w:szCs w:val="15"/>
          <w:color w:val="auto"/>
        </w:rPr>
        <w:t>™</w:t>
      </w:r>
      <w:r>
        <w:rPr>
          <w:rFonts w:ascii="Arial" w:cs="Arial" w:eastAsia="Arial" w:hAnsi="Arial"/>
          <w:sz w:val="18"/>
          <w:szCs w:val="18"/>
          <w:color w:val="auto"/>
        </w:rPr>
        <w:t>),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ectPr>
          <w:pgSz w:w="11900" w:h="16838" w:orient="portrait"/>
          <w:cols w:equalWidth="0" w:num="1">
            <w:col w:w="11000"/>
          </w:cols>
          <w:pgMar w:left="440"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w:t>
            </w:r>
          </w:p>
        </w:tc>
        <w:tc>
          <w:tcPr>
            <w:tcW w:w="2360" w:type="dxa"/>
            <w:vAlign w:val="bottom"/>
          </w:tcPr>
          <w:p>
            <w:pPr>
              <w:spacing w:after="0"/>
              <w:rPr>
                <w:sz w:val="20"/>
                <w:szCs w:val="20"/>
                <w:color w:val="auto"/>
              </w:rPr>
            </w:pPr>
          </w:p>
        </w:tc>
      </w:tr>
      <w:tr>
        <w:trPr>
          <w:trHeight w:val="441"/>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Sam Brown, Inc.</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Christy Curran</w:t>
            </w:r>
          </w:p>
        </w:tc>
        <w:tc>
          <w:tcPr>
            <w:tcW w:w="2360" w:type="dxa"/>
            <w:vAlign w:val="bottom"/>
          </w:tcPr>
          <w:p>
            <w:pPr>
              <w:spacing w:after="0"/>
              <w:rPr>
                <w:sz w:val="20"/>
                <w:szCs w:val="20"/>
                <w:color w:val="auto"/>
              </w:rPr>
            </w:pPr>
            <w:r>
              <w:rPr>
                <w:rFonts w:ascii="Arial" w:cs="Arial" w:eastAsia="Arial" w:hAnsi="Arial"/>
                <w:sz w:val="18"/>
                <w:szCs w:val="18"/>
                <w:color w:val="auto"/>
              </w:rPr>
              <w:t>Caroline Corner</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Phone +1 615 414 8668</w:t>
            </w:r>
          </w:p>
        </w:tc>
        <w:tc>
          <w:tcPr>
            <w:tcW w:w="2360" w:type="dxa"/>
            <w:vAlign w:val="bottom"/>
          </w:tcPr>
          <w:p>
            <w:pPr>
              <w:spacing w:after="0"/>
              <w:rPr>
                <w:sz w:val="20"/>
                <w:szCs w:val="20"/>
                <w:color w:val="auto"/>
              </w:rPr>
            </w:pPr>
            <w:r>
              <w:rPr>
                <w:rFonts w:ascii="Arial" w:cs="Arial" w:eastAsia="Arial" w:hAnsi="Arial"/>
                <w:sz w:val="18"/>
                <w:szCs w:val="18"/>
                <w:color w:val="auto"/>
              </w:rPr>
              <w:t>Phone +1 415 202 5678</w:t>
            </w:r>
          </w:p>
        </w:tc>
      </w:tr>
      <w:tr>
        <w:trPr>
          <w:trHeight w:val="190"/>
        </w:trPr>
        <w:tc>
          <w:tcPr>
            <w:tcW w:w="5740" w:type="dxa"/>
            <w:vAlign w:val="bottom"/>
            <w:gridSpan w:val="3"/>
          </w:tcPr>
          <w:p>
            <w:pPr>
              <w:spacing w:after="0" w:line="190" w:lineRule="exact"/>
              <w:rPr>
                <w:sz w:val="20"/>
                <w:szCs w:val="20"/>
                <w:color w:val="auto"/>
              </w:rPr>
            </w:pPr>
            <w:r>
              <w:rPr>
                <w:rFonts w:ascii="Arial" w:cs="Arial" w:eastAsia="Arial" w:hAnsi="Arial"/>
                <w:sz w:val="18"/>
                <w:szCs w:val="18"/>
                <w:color w:val="auto"/>
              </w:rPr>
              <w:t>christycurran@sambrown.com</w:t>
            </w:r>
          </w:p>
        </w:tc>
        <w:tc>
          <w:tcPr>
            <w:tcW w:w="2360" w:type="dxa"/>
            <w:vAlign w:val="bottom"/>
          </w:tcPr>
          <w:p>
            <w:pPr>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434"/>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O.U.S Media</w:t>
            </w:r>
          </w:p>
        </w:tc>
        <w:tc>
          <w:tcPr>
            <w:tcW w:w="35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20"/>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Monsoon Communications</w:t>
            </w:r>
          </w:p>
        </w:tc>
        <w:tc>
          <w:tcPr>
            <w:tcW w:w="2360" w:type="dxa"/>
            <w:vAlign w:val="bottom"/>
          </w:tcPr>
          <w:p>
            <w:pPr>
              <w:spacing w:after="0"/>
              <w:rPr>
                <w:sz w:val="19"/>
                <w:szCs w:val="19"/>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Rudi Michelson</w:t>
            </w:r>
          </w:p>
        </w:tc>
        <w:tc>
          <w:tcPr>
            <w:tcW w:w="236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236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Mobile +61 (0)411 402 737</w:t>
            </w:r>
          </w:p>
        </w:tc>
        <w:tc>
          <w:tcPr>
            <w:tcW w:w="2360" w:type="dxa"/>
            <w:vAlign w:val="bottom"/>
          </w:tcPr>
          <w:p>
            <w:pPr>
              <w:spacing w:after="0"/>
              <w:rPr>
                <w:sz w:val="18"/>
                <w:szCs w:val="18"/>
                <w:color w:val="auto"/>
              </w:rPr>
            </w:pPr>
          </w:p>
        </w:tc>
      </w:tr>
      <w:tr>
        <w:trPr>
          <w:trHeight w:val="190"/>
        </w:trPr>
        <w:tc>
          <w:tcPr>
            <w:tcW w:w="5740" w:type="dxa"/>
            <w:vAlign w:val="bottom"/>
            <w:gridSpan w:val="3"/>
          </w:tcPr>
          <w:p>
            <w:pPr>
              <w:spacing w:after="0" w:line="190" w:lineRule="exact"/>
              <w:rPr>
                <w:sz w:val="20"/>
                <w:szCs w:val="20"/>
                <w:color w:val="auto"/>
              </w:rPr>
            </w:pPr>
            <w:r>
              <w:rPr>
                <w:rFonts w:ascii="Arial" w:cs="Arial" w:eastAsia="Arial" w:hAnsi="Arial"/>
                <w:sz w:val="18"/>
                <w:szCs w:val="18"/>
                <w:color w:val="auto"/>
              </w:rPr>
              <w:t>rudim@monsoon.com.au</w:t>
            </w:r>
          </w:p>
        </w:tc>
        <w:tc>
          <w:tcPr>
            <w:tcW w:w="2360" w:type="dxa"/>
            <w:vAlign w:val="bottom"/>
          </w:tcPr>
          <w:p>
            <w:pPr>
              <w:spacing w:after="0"/>
              <w:rPr>
                <w:sz w:val="16"/>
                <w:szCs w:val="16"/>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PR 20191118</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2019-11-27T16:29:58Z</dcterms:created>
  <dcterms:modified xsi:type="dcterms:W3CDTF">2019-11-27T16:29:58Z</dcterms:modified>
</cp:coreProperties>
</file>