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1980" w:type="dxa"/>
            <w:vAlign w:val="bottom"/>
            <w:gridSpan w:val="2"/>
            <w:vMerge w:val="restart"/>
          </w:tcPr>
          <w:p>
            <w:pPr>
              <w:ind w:left="40"/>
              <w:spacing w:after="0" w:line="262" w:lineRule="exact"/>
              <w:rPr>
                <w:rFonts w:ascii="Arial" w:cs="Arial" w:eastAsia="Arial" w:hAnsi="Arial"/>
                <w:sz w:val="24"/>
                <w:szCs w:val="24"/>
                <w:u w:val="single" w:color="auto"/>
                <w:color w:val="0000EE"/>
                <w:w w:val="97"/>
              </w:rPr>
            </w:pPr>
            <w:hyperlink r:id="rId10">
              <w:r>
                <w:rPr>
                  <w:rFonts w:ascii="Arial" w:cs="Arial" w:eastAsia="Arial" w:hAnsi="Arial"/>
                  <w:sz w:val="24"/>
                  <w:szCs w:val="24"/>
                  <w:u w:val="single" w:color="auto"/>
                  <w:color w:val="0000EE"/>
                  <w:w w:val="97"/>
                </w:rPr>
                <w:t>McDonald Damien</w:t>
              </w:r>
            </w:hyperlink>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98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74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06/30/2020</w:t>
            </w:r>
          </w:p>
        </w:tc>
        <w:tc>
          <w:tcPr>
            <w:tcW w:w="0" w:type="dxa"/>
            <w:vAlign w:val="bottom"/>
          </w:tcPr>
          <w:p>
            <w:pPr>
              <w:spacing w:after="0"/>
              <w:rPr>
                <w:sz w:val="1"/>
                <w:szCs w:val="1"/>
                <w:color w:val="auto"/>
              </w:rPr>
            </w:pPr>
          </w:p>
        </w:tc>
      </w:tr>
      <w:tr>
        <w:trPr>
          <w:trHeight w:val="344"/>
        </w:trPr>
        <w:tc>
          <w:tcPr>
            <w:tcW w:w="740" w:type="dxa"/>
            <w:vAlign w:val="bottom"/>
          </w:tcPr>
          <w:p>
            <w:pPr>
              <w:ind w:left="40"/>
              <w:spacing w:after="0"/>
              <w:rPr>
                <w:sz w:val="20"/>
                <w:szCs w:val="20"/>
                <w:color w:val="auto"/>
              </w:rPr>
            </w:pPr>
            <w:r>
              <w:rPr>
                <w:rFonts w:ascii="Arial" w:cs="Arial" w:eastAsia="Arial" w:hAnsi="Arial"/>
                <w:sz w:val="15"/>
                <w:szCs w:val="15"/>
                <w:color w:val="auto"/>
              </w:rPr>
              <w:t>(Last)</w:t>
            </w:r>
          </w:p>
        </w:tc>
        <w:tc>
          <w:tcPr>
            <w:tcW w:w="1240" w:type="dxa"/>
            <w:vAlign w:val="bottom"/>
          </w:tcPr>
          <w:p>
            <w:pPr>
              <w:ind w:left="320"/>
              <w:spacing w:after="0"/>
              <w:rPr>
                <w:sz w:val="20"/>
                <w:szCs w:val="20"/>
                <w:color w:val="auto"/>
              </w:rPr>
            </w:pPr>
            <w:r>
              <w:rPr>
                <w:rFonts w:ascii="Arial" w:cs="Arial" w:eastAsia="Arial" w:hAnsi="Arial"/>
                <w:sz w:val="15"/>
                <w:szCs w:val="15"/>
                <w:color w:val="auto"/>
              </w:rPr>
              <w:t>(First)</w:t>
            </w:r>
          </w:p>
        </w:tc>
        <w:tc>
          <w:tcPr>
            <w:tcW w:w="840" w:type="dxa"/>
            <w:vAlign w:val="bottom"/>
          </w:tcPr>
          <w:p>
            <w:pPr>
              <w:ind w:left="12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100" w:type="dxa"/>
            <w:vAlign w:val="bottom"/>
            <w:gridSpan w:val="4"/>
          </w:tcPr>
          <w:p>
            <w:pPr>
              <w:ind w:left="40"/>
              <w:spacing w:after="0"/>
              <w:rPr>
                <w:sz w:val="20"/>
                <w:szCs w:val="20"/>
                <w:color w:val="auto"/>
              </w:rPr>
            </w:pPr>
            <w:r>
              <w:rPr>
                <w:rFonts w:ascii="Arial" w:cs="Arial" w:eastAsia="Arial" w:hAnsi="Arial"/>
                <w:sz w:val="20"/>
                <w:szCs w:val="20"/>
                <w:color w:val="0000FF"/>
                <w:w w:val="98"/>
              </w:rPr>
              <w:t>C/O AVITA THERAPUETICS, INC.</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28159 AVENUE STANFORD, SUITE</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220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5"/>
                <w:szCs w:val="15"/>
                <w:color w:val="auto"/>
              </w:rPr>
            </w:pPr>
          </w:p>
        </w:tc>
      </w:tr>
      <w:tr>
        <w:trPr>
          <w:trHeight w:val="269"/>
        </w:trPr>
        <w:tc>
          <w:tcPr>
            <w:tcW w:w="1720" w:type="dxa"/>
            <w:vAlign w:val="bottom"/>
          </w:tcPr>
          <w:p>
            <w:pPr>
              <w:ind w:left="40"/>
              <w:spacing w:after="0"/>
              <w:rPr>
                <w:sz w:val="20"/>
                <w:szCs w:val="20"/>
                <w:color w:val="auto"/>
              </w:rPr>
            </w:pPr>
            <w:r>
              <w:rPr>
                <w:rFonts w:ascii="Arial" w:cs="Arial" w:eastAsia="Arial" w:hAnsi="Arial"/>
                <w:sz w:val="20"/>
                <w:szCs w:val="20"/>
                <w:color w:val="0000FF"/>
              </w:rPr>
              <w:t>VALENCIA CA</w:t>
            </w:r>
          </w:p>
        </w:tc>
        <w:tc>
          <w:tcPr>
            <w:tcW w:w="860" w:type="dxa"/>
            <w:vAlign w:val="bottom"/>
          </w:tcPr>
          <w:p>
            <w:pPr>
              <w:jc w:val="right"/>
              <w:spacing w:after="0"/>
              <w:rPr>
                <w:sz w:val="20"/>
                <w:szCs w:val="20"/>
                <w:color w:val="auto"/>
              </w:rPr>
            </w:pPr>
            <w:r>
              <w:rPr>
                <w:rFonts w:ascii="Arial" w:cs="Arial" w:eastAsia="Arial" w:hAnsi="Arial"/>
                <w:sz w:val="20"/>
                <w:szCs w:val="20"/>
                <w:color w:val="0000FF"/>
              </w:rPr>
              <w:t>91355</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Avita Therapeutics,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RCEL</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Arial" w:cs="Arial" w:eastAsia="Arial" w:hAnsi="Arial"/>
                <w:sz w:val="20"/>
                <w:szCs w:val="20"/>
                <w:color w:val="0000FF"/>
              </w:rPr>
              <w:t>16,310</w:t>
            </w:r>
            <w:r>
              <w:rPr>
                <w:rFonts w:ascii="Arial" w:cs="Arial" w:eastAsia="Arial" w:hAnsi="Arial"/>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Arial" w:cs="Arial" w:eastAsia="Arial" w:hAnsi="Arial"/>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140" w:firstLine="5"/>
        <w:spacing w:after="0" w:line="238"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Reflects 81,550 of the Issuer's CHESS Depositary Interests ("CDIs"). CDIs are units of beneficial ownership in shares of common stock of the Issuer that are publicly traded on the Australian Securities Exchange (the "ASX") and held by CHESS Depositary Nominees Pty, Limited, a subsidiary of ASX Limited, the company that operates the ASX. Five CDIs are equivalent to one share of Common Stock and have all the rights and privileges of Common Stock. The Reporting Person holds 81,550 CDIs, which translate into 16,310 of the shares of Common Stock set forth above.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Donna Shiroma, by</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07/10/2020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top w:val="single" w:sz="8" w:color="auto"/>
              <w:bottom w:val="single" w:sz="8" w:color="auto"/>
            </w:tcBorders>
            <w:vMerge w:val="restart"/>
          </w:tcPr>
          <w:p>
            <w:pPr>
              <w:spacing w:after="0" w:line="220" w:lineRule="exact"/>
              <w:rPr>
                <w:sz w:val="20"/>
                <w:szCs w:val="20"/>
                <w:color w:val="auto"/>
              </w:rPr>
            </w:pPr>
            <w:r>
              <w:rPr>
                <w:rFonts w:ascii="Arial" w:cs="Arial" w:eastAsia="Arial" w:hAnsi="Arial"/>
                <w:sz w:val="20"/>
                <w:szCs w:val="20"/>
                <w:color w:val="0000FF"/>
                <w:w w:val="87"/>
              </w:rPr>
              <w:t>power of attorney</w:t>
            </w:r>
          </w:p>
        </w:tc>
        <w:tc>
          <w:tcPr>
            <w:tcW w:w="360" w:type="dxa"/>
            <w:vAlign w:val="bottom"/>
            <w:tcBorders>
              <w:top w:val="single" w:sz="8" w:color="auto"/>
              <w:bottom w:val="single" w:sz="8" w:color="auto"/>
            </w:tcBorders>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30" w:lineRule="exact"/>
        <w:rPr>
          <w:sz w:val="20"/>
          <w:szCs w:val="20"/>
          <w:color w:val="auto"/>
        </w:rPr>
      </w:pPr>
    </w:p>
    <w:p>
      <w:pPr>
        <w:ind w:right="1300"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Donna Shiroma of AVITA Therapeutics, Inc. (the "Company") and Coleman Wombwell of K&amp;L Gates LLP, signing individually, the undersigned's true and lawful attorneys in fact and agents to:</w:t>
      </w:r>
    </w:p>
    <w:p>
      <w:pPr>
        <w:spacing w:after="0" w:line="231" w:lineRule="exact"/>
        <w:rPr>
          <w:sz w:val="20"/>
          <w:szCs w:val="20"/>
          <w:color w:val="auto"/>
        </w:rPr>
      </w:pPr>
    </w:p>
    <w:p>
      <w:pPr>
        <w:ind w:firstLine="937"/>
        <w:spacing w:after="0" w:line="236"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w:t>
      </w:r>
    </w:p>
    <w:p>
      <w:pPr>
        <w:spacing w:after="0" w:line="4" w:lineRule="exact"/>
        <w:rPr>
          <w:rFonts w:ascii="Courier New" w:cs="Courier New" w:eastAsia="Courier New" w:hAnsi="Courier New"/>
          <w:sz w:val="20"/>
          <w:szCs w:val="20"/>
          <w:color w:val="auto"/>
        </w:rPr>
      </w:pPr>
    </w:p>
    <w:p>
      <w:pPr>
        <w:ind w:right="1640"/>
        <w:spacing w:after="0" w:line="269"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207" w:lineRule="exact"/>
        <w:rPr>
          <w:rFonts w:ascii="Courier New" w:cs="Courier New" w:eastAsia="Courier New" w:hAnsi="Courier New"/>
          <w:sz w:val="20"/>
          <w:szCs w:val="20"/>
          <w:color w:val="auto"/>
        </w:rPr>
      </w:pPr>
    </w:p>
    <w:p>
      <w:pPr>
        <w:ind w:firstLine="937"/>
        <w:spacing w:after="0" w:line="236"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 Forms 3, 4 and 5 (including amendments thereto and joint</w:t>
      </w:r>
    </w:p>
    <w:p>
      <w:pPr>
        <w:spacing w:after="0" w:line="4" w:lineRule="exact"/>
        <w:rPr>
          <w:rFonts w:ascii="Courier New" w:cs="Courier New" w:eastAsia="Courier New" w:hAnsi="Courier New"/>
          <w:sz w:val="20"/>
          <w:szCs w:val="20"/>
          <w:color w:val="auto"/>
        </w:rPr>
      </w:pPr>
    </w:p>
    <w:p>
      <w:pPr>
        <w:ind w:right="1420"/>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filing agreements in connection therewith) in accordance with Section 16(a) of the Exchange Act and the rules thereunder in the undersigned's capacity as an officer, director or beneficial owner of more than 10% of a registered class of securities of the Company;</w:t>
      </w:r>
    </w:p>
    <w:p>
      <w:pPr>
        <w:spacing w:after="0" w:line="230" w:lineRule="exact"/>
        <w:rPr>
          <w:rFonts w:ascii="Courier New" w:cs="Courier New" w:eastAsia="Courier New" w:hAnsi="Courier New"/>
          <w:sz w:val="20"/>
          <w:szCs w:val="20"/>
          <w:color w:val="auto"/>
        </w:rPr>
      </w:pPr>
    </w:p>
    <w:p>
      <w:pPr>
        <w:ind w:right="240" w:firstLine="937"/>
        <w:spacing w:after="0" w:line="236"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3, 4 or 5 (including amendments thereto and joint filing agreements in connection</w:t>
      </w:r>
    </w:p>
    <w:p>
      <w:pPr>
        <w:spacing w:after="0" w:line="6" w:lineRule="exact"/>
        <w:rPr>
          <w:rFonts w:ascii="Courier New" w:cs="Courier New" w:eastAsia="Courier New" w:hAnsi="Courier New"/>
          <w:sz w:val="20"/>
          <w:szCs w:val="20"/>
          <w:color w:val="auto"/>
        </w:rPr>
      </w:pPr>
    </w:p>
    <w:p>
      <w:pPr>
        <w:ind w:right="2820"/>
        <w:spacing w:after="0" w:line="28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therewith) and file such forms with the SEC and any stock exchange, self-regulatory association or any similar authority; and</w:t>
      </w:r>
    </w:p>
    <w:p>
      <w:pPr>
        <w:spacing w:after="0" w:line="19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w:t>
      </w:r>
    </w:p>
    <w:p>
      <w:pPr>
        <w:spacing w:after="0" w:line="1" w:lineRule="exact"/>
        <w:rPr>
          <w:rFonts w:ascii="Courier New" w:cs="Courier New" w:eastAsia="Courier New" w:hAnsi="Courier New"/>
          <w:sz w:val="18"/>
          <w:szCs w:val="18"/>
          <w:color w:val="auto"/>
        </w:rPr>
      </w:pPr>
    </w:p>
    <w:p>
      <w:pPr>
        <w:ind w:right="142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2"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The undersigned hereby grants to such attorney in fact full power and authority to do and perform any and every act and thing whatsoever requisite, necessary,</w:t>
      </w:r>
    </w:p>
    <w:p>
      <w:pPr>
        <w:spacing w:after="0" w:line="2" w:lineRule="exact"/>
        <w:rPr>
          <w:sz w:val="20"/>
          <w:szCs w:val="20"/>
          <w:color w:val="auto"/>
        </w:rPr>
      </w:pPr>
    </w:p>
    <w:p>
      <w:pPr>
        <w:ind w:right="1420"/>
        <w:spacing w:after="0" w:line="267" w:lineRule="auto"/>
        <w:rPr>
          <w:sz w:val="20"/>
          <w:szCs w:val="20"/>
          <w:color w:val="auto"/>
        </w:rPr>
      </w:pPr>
      <w:r>
        <w:rPr>
          <w:rFonts w:ascii="Courier New" w:cs="Courier New" w:eastAsia="Courier New" w:hAnsi="Courier New"/>
          <w:sz w:val="18"/>
          <w:szCs w:val="18"/>
          <w:color w:val="auto"/>
        </w:rPr>
        <w:t>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34"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spacing w:after="0" w:line="2"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Company and the foregoing attorneys in fact or (c) as to any attorney-in-fact individually, until such attorney-in-fact is no longer employed by the Company or K&amp;L Gates LLP, as applicable.</w:t>
      </w:r>
    </w:p>
    <w:p>
      <w:pPr>
        <w:spacing w:after="0" w:line="232"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22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20"/>
          <w:szCs w:val="20"/>
          <w:color w:val="auto"/>
        </w:rPr>
        <w:t>June 21, 2020</w:t>
      </w:r>
    </w:p>
    <w:p>
      <w:pPr>
        <w:spacing w:after="0" w:line="200" w:lineRule="exact"/>
        <w:rPr>
          <w:sz w:val="20"/>
          <w:szCs w:val="20"/>
          <w:color w:val="auto"/>
        </w:rPr>
      </w:pPr>
    </w:p>
    <w:p>
      <w:pPr>
        <w:spacing w:after="0" w:line="24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Damien McDonald</w:t>
      </w:r>
    </w:p>
    <w:p>
      <w:pPr>
        <w:spacing w:after="0" w:line="238" w:lineRule="auto"/>
        <w:tabs>
          <w:tab w:leader="none" w:pos="92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20"/>
          <w:szCs w:val="20"/>
          <w:color w:val="auto"/>
        </w:rPr>
        <w:t>Damien McDonald</w:t>
      </w:r>
    </w:p>
    <w:sectPr>
      <w:pgSz w:w="11900" w:h="16838" w:orient="portrait"/>
      <w:cols w:equalWidth="0" w:num="1">
        <w:col w:w="10660"/>
      </w:cols>
      <w:pgMar w:left="480" w:top="136" w:right="759" w:bottom="105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86894" TargetMode="External"/><Relationship Id="rId11"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2020-07-10T15:21:52Z</dcterms:created>
  <dcterms:modified xsi:type="dcterms:W3CDTF">2020-07-10T15:21:52Z</dcterms:modified>
</cp:coreProperties>
</file>