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85-1021707</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ind w:left="704"/>
        <w:spacing w:after="0"/>
        <w:rPr>
          <w:sz w:val="20"/>
          <w:szCs w:val="20"/>
          <w:color w:val="auto"/>
        </w:rPr>
      </w:pPr>
      <w:r>
        <w:rPr>
          <w:rFonts w:ascii="Times New Roman" w:cs="Times New Roman" w:eastAsia="Times New Roman" w:hAnsi="Times New Roman"/>
          <w:sz w:val="17"/>
          <w:szCs w:val="17"/>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661.367.9170</w:t>
      </w:r>
    </w:p>
    <w:p>
      <w:pPr>
        <w:spacing w:after="0" w:line="31" w:lineRule="exact"/>
        <w:rPr>
          <w:sz w:val="24"/>
          <w:szCs w:val="24"/>
          <w:color w:val="auto"/>
        </w:rPr>
      </w:pPr>
    </w:p>
    <w:p>
      <w:pPr>
        <w:sectPr>
          <w:pgSz w:w="11900" w:h="16838" w:orient="portrait"/>
          <w:cols w:equalWidth="0" w:num="2">
            <w:col w:w="7124" w:space="720"/>
            <w:col w:w="318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1" w:lineRule="exact"/>
        <w:rPr>
          <w:sz w:val="24"/>
          <w:szCs w:val="24"/>
          <w:color w:val="auto"/>
        </w:rPr>
      </w:pPr>
    </w:p>
    <w:p>
      <w:pPr>
        <w:sectPr>
          <w:pgSz w:w="11900" w:h="16838" w:orient="portrait"/>
          <w:cols w:equalWidth="0" w:num="2">
            <w:col w:w="6004" w:space="720"/>
            <w:col w:w="430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RCEL</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 Item 8.01 Other Events.</w:t>
      </w:r>
    </w:p>
    <w:p>
      <w:pPr>
        <w:spacing w:after="0" w:line="121"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On November 10, 2022, AVITA Medical, Inc. (the “Company”), reported financial results for its third quarter 2022, and certain other business updates. A webcast of the event is available on the Company’s website under Investor Events and Presentations. In conjunction with the report, the Company released a press release attached hereto as Exhibit 99.1.</w:t>
      </w:r>
    </w:p>
    <w:p>
      <w:pPr>
        <w:spacing w:after="0" w:line="176"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The information under Item 2.02, Item 8.01, and Exhibit 99.1 is preliminary, has not been audited, and is subject to change. The information disclosed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30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34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4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AVITA Medical Reports Third Quarter 2022 Financial Results</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8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80"/>
          </w:cols>
          <w:pgMar w:left="440" w:top="293"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2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18415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Donna Shiroma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33731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3731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AVITA Medical Reports Third Quarter 2022 Financial Results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VALENCIA, Calif. and MELBOURNE, Australia, Nov. 10, 2022 (GLOBE NEWSWIRE) — AVITA Medical, Inc. (NASDAQ: RCEL, ASX: AVH) (the</w:t>
      </w:r>
    </w:p>
    <w:p>
      <w:pPr>
        <w:spacing w:after="0" w:line="39"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regenerative medicine company leading the development and commercialization of first-in-class devices and autologous cellular therapies for skin restoration, today reported financial results for the third quarter ended September 30, 2022.</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Highlights and Recent Updates:</w:t>
      </w:r>
    </w:p>
    <w:p>
      <w:pPr>
        <w:spacing w:after="0" w:line="135" w:lineRule="exact"/>
        <w:rPr>
          <w:sz w:val="20"/>
          <w:szCs w:val="20"/>
          <w:color w:val="auto"/>
        </w:rPr>
      </w:pPr>
    </w:p>
    <w:p>
      <w:pPr>
        <w:ind w:left="960" w:right="74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commercial revenue, which excludes BARDA revenue, of $9.0 million, a 30% increase compared to $6.9 million in the corresponding period in the prior year</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total revenue, which includes BARDA revenue, of $9.1 million compared to $7.0 million in the corresponding period in the prior year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was 83%</w:t>
      </w:r>
    </w:p>
    <w:p>
      <w:pPr>
        <w:spacing w:after="0" w:line="130" w:lineRule="exact"/>
        <w:rPr>
          <w:rFonts w:ascii="Times New Roman" w:cs="Times New Roman" w:eastAsia="Times New Roman" w:hAnsi="Times New Roman"/>
          <w:sz w:val="18"/>
          <w:szCs w:val="18"/>
          <w:color w:val="auto"/>
        </w:rPr>
      </w:pPr>
    </w:p>
    <w:p>
      <w:pPr>
        <w:ind w:left="960" w:right="120" w:hanging="424"/>
        <w:spacing w:after="0" w:line="213"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Topline results from its pivotal randomized controlled trial evaluating the safety and effectiveness of the RECELL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for healing of soft tissue repair with reduced donor skin</w:t>
      </w:r>
    </w:p>
    <w:p>
      <w:pPr>
        <w:spacing w:after="0" w:line="104"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Co-primary endpoints were met for superiority relative to donor skin sparing and for non-inferiority relative to healing</w:t>
      </w:r>
    </w:p>
    <w:p>
      <w:pPr>
        <w:spacing w:after="0" w:line="130" w:lineRule="exact"/>
        <w:rPr>
          <w:rFonts w:ascii="Times New Roman" w:cs="Times New Roman" w:eastAsia="Times New Roman" w:hAnsi="Times New Roman"/>
          <w:sz w:val="18"/>
          <w:szCs w:val="18"/>
          <w:color w:val="auto"/>
        </w:rPr>
      </w:pPr>
    </w:p>
    <w:p>
      <w:pPr>
        <w:ind w:left="960" w:right="900" w:hanging="424"/>
        <w:spacing w:after="0" w:line="213"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Topline results from its pivotal randomized controlled trial evaluating the safety and effectiveness of the RECELL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for repigmentation for stable vitiligo</w:t>
      </w:r>
    </w:p>
    <w:p>
      <w:pPr>
        <w:spacing w:after="0" w:line="104"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Super-superiority was established for the primary endpoint</w:t>
      </w:r>
    </w:p>
    <w:p>
      <w:pPr>
        <w:spacing w:after="0" w:line="130"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plans U.S. Food and Drug Administration (FDA) submissions for soft tissue repair and vitiligo indications in December 2022</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Breakthrough Device designation provided by the FDA for the RECELL System for soft tissue repair and vitiligo</w:t>
      </w:r>
    </w:p>
    <w:p>
      <w:pPr>
        <w:spacing w:after="0" w:line="130" w:lineRule="exact"/>
        <w:rPr>
          <w:rFonts w:ascii="Times New Roman" w:cs="Times New Roman" w:eastAsia="Times New Roman" w:hAnsi="Times New Roman"/>
          <w:sz w:val="18"/>
          <w:szCs w:val="18"/>
          <w:color w:val="auto"/>
        </w:rPr>
      </w:pPr>
    </w:p>
    <w:p>
      <w:pPr>
        <w:ind w:left="960" w:right="20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Japanese MHLW (Ministry of Health, Labor, and Welfare) granted the RECELL System marketing approval with pricing to end-customers equivalent to our U.S. pricing. Our partner in Japan, COSMOTEC, an M3 Company, will launch commercial RECELL in Japan in Q4 2022</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2022, the Company had $88.2 million in cash, cash equivalents, and marketable securities, with no debt</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“Over the next 24 to 36 months, our growth is expected to be driven by the burns and soft tissue repair markets,” said Jim Corbett, AVITA Medical Chief Executive Officer. “Soft tissue repair will expand our hospital and treating physician call points by nearly three times. We are prepared to make the necessary investment in our commercial organization to support this expansion. This market opportunity expansion and the related revenue growth is the number one priority of AVITA Medical.”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 Financial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commercial revenue, which excludes BARDA revenue, increased by 30% or $2.1 million to $9.0 million in the three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compared to $6.9 million in the corresponding period in the prior year. Total revenue, which includes BARDA revenue, increased 30%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million to $9.1 million compared to $7.0 million in the corresponding period in the prior year. The growth in commercial revenues was largely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driven by deeper penetration within individual customer accounts along with the commencement of commercial sales with our partner COSMOTEC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margin decreased by 2% to 83% compared to the corresponding period in the prior year.</w:t>
      </w:r>
    </w:p>
    <w:p>
      <w:pPr>
        <w:spacing w:after="0" w:line="225"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Total operating expenses increased by 16% or $2.0 million to $14.2 million compared to $12.3 million in the corresponding period in the prior year. The increase in operating expenses is attributable to higher compensation costs, pre-commercialization costs, research and development expenses, partially offset by lower share-based compensation expenses. Higher compensation costs were primarily a result of an expansion of our commercial team along with an increase in commissions which resulted from an increase in commercial revenues. In addition, we incurred severance costs in the current quarter associated with the termination of a former executive employee. Higher pre-commercialization costs are driven by activities related to future RECELL launches in soft tissue reconstruction and vitiligo. Increased research and development expenses resulted from ongoing development of next generation devices for an automated preparation of Spray-On Skin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Cells. Higher research and development expenses were partially offset by lower clinical trial expenses for soft tissue reconstruction and vitiligo as trial participants were in less costly follow-up phases this period compared to more costly recruitment and treatment phases in the prior period. Share-based compensation expense was lower in the current period as certain performance milestones were met in the prior period, and there was a reversal in the current period of previously recognized expense for unvested awards related to the termination of an executive officer.</w:t>
      </w:r>
    </w:p>
    <w:p>
      <w:pPr>
        <w:spacing w:after="0" w:line="203"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Net loss decreased by 6% or $0.4 million to $5.6 million, or $0.22 per share, compared to a net loss of $5.9 million, or $0.24 per share, in the corresponding period of the prior year.</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Adjusted EBITDA* loss increased by 2% or $84 thousand to $4.0 million, compared to a loss of $3.9 million in the corresponding period in the prior year. A table reconciling non-GAAP measures is included in this press release for reference.</w:t>
      </w:r>
    </w:p>
    <w:p>
      <w:pPr>
        <w:sectPr>
          <w:pgSz w:w="11900" w:h="16838" w:orient="portrait"/>
          <w:cols w:equalWidth="0" w:num="1">
            <w:col w:w="11020"/>
          </w:cols>
          <w:pgMar w:left="440" w:top="117" w:right="439" w:bottom="343"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2022 Revenue Guidance</w:t>
      </w:r>
    </w:p>
    <w:p>
      <w:pPr>
        <w:spacing w:after="0" w:line="121"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Turning to guidance, full year 2022 commercial revenue (excluding BARDA revenues) is expected to be $33.0-34.0 million, an increase from our prior guidance of $30 million, and an approximate 33% increase year-over-year. We continue to project BARDA revenues of approximately $0.3 million in calendar year 2022.</w:t>
      </w:r>
    </w:p>
    <w:p>
      <w:pPr>
        <w:spacing w:after="0" w:line="203" w:lineRule="exact"/>
        <w:rPr>
          <w:sz w:val="20"/>
          <w:szCs w:val="20"/>
          <w:color w:val="auto"/>
        </w:rPr>
      </w:pPr>
    </w:p>
    <w:p>
      <w:pPr>
        <w:ind w:left="224" w:right="100" w:hanging="224"/>
        <w:spacing w:after="0" w:line="282" w:lineRule="auto"/>
        <w:tabs>
          <w:tab w:leader="none" w:pos="2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See the appendix to this release for a discussion of non-GAAP financial measures, including a reconciliation to the most closely correlated GAAP measure.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Webcast and Conference Call Information</w:t>
      </w:r>
    </w:p>
    <w:p>
      <w:pPr>
        <w:spacing w:after="0" w:line="121"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 xml:space="preserve">The Company will host a conference call to discuss the third quarter financial results after NASDAQ market close on Thursday, November 10, 2022, at 1:30 p.m. Pacific Time (being Friday, November 11, 2022, at 8:30 a.m. Australian Eastern Daylight Time). To access the live call via telephone, please register in advance using the link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Upon registering, each participant will receive an email confirmation with dial-in numbers and a unique personal PIN that can be used to join the call. The live webinar can be accessed at </w:t>
      </w:r>
      <w:r>
        <w:rPr>
          <w:rFonts w:ascii="Times New Roman" w:cs="Times New Roman" w:eastAsia="Times New Roman" w:hAnsi="Times New Roman"/>
          <w:sz w:val="18"/>
          <w:szCs w:val="18"/>
          <w:u w:val="single" w:color="auto"/>
          <w:color w:val="auto"/>
        </w:rPr>
        <w:t>https://ir.avitamedical.com</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Authorized for release by the Chief Financial Officer of AVITA Medical, Inc.</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AVITA MEDICAL, INC.</w:t>
      </w:r>
    </w:p>
    <w:p>
      <w:pPr>
        <w:spacing w:after="0" w:line="121" w:lineRule="exact"/>
        <w:rPr>
          <w:sz w:val="20"/>
          <w:szCs w:val="20"/>
          <w:color w:val="auto"/>
        </w:rPr>
      </w:pPr>
    </w:p>
    <w:p>
      <w:pPr>
        <w:ind w:left="4" w:right="40"/>
        <w:spacing w:after="0" w:line="221" w:lineRule="auto"/>
        <w:rPr>
          <w:sz w:val="20"/>
          <w:szCs w:val="20"/>
          <w:color w:val="auto"/>
        </w:rPr>
      </w:pPr>
      <w:r>
        <w:rPr>
          <w:rFonts w:ascii="Times New Roman" w:cs="Times New Roman" w:eastAsia="Times New Roman" w:hAnsi="Times New Roman"/>
          <w:sz w:val="18"/>
          <w:szCs w:val="18"/>
          <w:color w:val="auto"/>
        </w:rPr>
        <w:t>AVITA Medical is a regenerative medicine company leading the development and commercialization of devices and autologous cellular therapies for skin restoration. The RECELL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technology platform, approved by the FDA for the treatment of acute thermal burns in both adults and children, harnesses the regenerative properties of a patient’s own skin to create Spray-On Skin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cells. Delivered at the point-of-care, RECELL enables improved clinical outcomes and validated cost savings. RECELL is the catalyst of a new treatment paradigm and AVITA Medical is leveraging its proven and differentiated capabilities to develop first-in-class cellular therapies for multiple indications, including soft tissue repair and repigmentation of stable vitiligo lesions.</w:t>
      </w:r>
    </w:p>
    <w:p>
      <w:pPr>
        <w:spacing w:after="0" w:line="199"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AVITA Medical’s first U.S. product, the RECELL System, was approved by the U.S. Food and Drug Administration (FDA) in September 2018. The RECELL System is approved for acute partial-thickness thermal burn wounds in patients 18 years of age and older or application in combination with meshed autografting for acute full-thickness thermal burn wounds in pediatric and adult patients. In February 2022, the FDA reviewed and approved the PMA supplement for RECELL Autologous Cell Harvesting Device, an enhanced RECELL System aimed at providing clinicians a more efficient user experience and simplified workflow.</w:t>
      </w:r>
    </w:p>
    <w:p>
      <w:pPr>
        <w:spacing w:after="0" w:line="183" w:lineRule="exact"/>
        <w:rPr>
          <w:sz w:val="20"/>
          <w:szCs w:val="20"/>
          <w:color w:val="auto"/>
        </w:rPr>
      </w:pPr>
    </w:p>
    <w:p>
      <w:pPr>
        <w:ind w:left="4" w:right="40"/>
        <w:spacing w:after="0" w:line="238" w:lineRule="auto"/>
        <w:rPr>
          <w:sz w:val="20"/>
          <w:szCs w:val="20"/>
          <w:color w:val="auto"/>
        </w:rPr>
      </w:pPr>
      <w:r>
        <w:rPr>
          <w:rFonts w:ascii="Times New Roman" w:cs="Times New Roman" w:eastAsia="Times New Roman" w:hAnsi="Times New Roman"/>
          <w:sz w:val="18"/>
          <w:szCs w:val="18"/>
          <w:color w:val="auto"/>
        </w:rPr>
        <w:t>The RECELL System is used to prepare Spray-On Skin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15,000 patients globally, reinforce that the RECELL System is a significant advancement over the current standard of care for burn patients and offers benefits in clinical outcomes and cost savings. Healthcare professionals should read the INSTRUCTIONS FOR USE - RECELL Autologous Cell Harvesting Device (</w:t>
      </w:r>
      <w:r>
        <w:rPr>
          <w:rFonts w:ascii="Times New Roman" w:cs="Times New Roman" w:eastAsia="Times New Roman" w:hAnsi="Times New Roman"/>
          <w:sz w:val="18"/>
          <w:szCs w:val="18"/>
          <w:u w:val="single" w:color="auto"/>
          <w:color w:val="auto"/>
        </w:rPr>
        <w:t>https://recellsystem.com</w:t>
      </w:r>
      <w:r>
        <w:rPr>
          <w:rFonts w:ascii="Times New Roman" w:cs="Times New Roman" w:eastAsia="Times New Roman" w:hAnsi="Times New Roman"/>
          <w:sz w:val="18"/>
          <w:szCs w:val="18"/>
          <w:color w:val="auto"/>
        </w:rPr>
        <w:t>) for a full description of indications for use and important safety information including contraindications, warnings, and precautions.</w:t>
      </w:r>
    </w:p>
    <w:p>
      <w:pPr>
        <w:spacing w:after="0" w:line="200"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In international markets, our products are approved under the RECELL System brand to promote skin healing in a wide range of applications including burns, soft tissue repair, vitiligo, and aesthetics. The RECELL System is TGA-registered in Australia, received CE-mark approval in Europe and has PMDA approval in Japan.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To learn more, visit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Use of non-GAAP Measure</w:t>
      </w:r>
    </w:p>
    <w:p>
      <w:pPr>
        <w:spacing w:after="0" w:line="1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AVITA Medical’s reported earnings are prepared in accordance with generally accepted accounting principles in the United States, or GAAP, and represent earnings as reported to the Securities and Exchange Commission. AVITA Medical has provided in this release certain financial information that has not been prepared in accordance with GAAP. AVITA Medical’s management believes that the non-GAAP adjusted EBITDA described in the release, which includes adjustments for specific items that are generally not indicative of our core operations, provides additional information that is useful to investors in understanding AVITA Medical’s underlying performance, business and performance trends, and helps facilitate period-to-period comparisons and comparisons of its financial measures with other companies in AVITA Medical’s industry. However, the non-GAAP financial measures that AVITA Medical uses may differ from measures that other companies may use. Non-GAAP financial measures are not required to be uniformly applied, are not audited and should not be considered in isolation or as substitutes for results prepared in accordance with GAAP.</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press release is subject to risks and uncertainties that could cause actual results to differ materially from those expressed or implied by such statement. Applicable risks and uncertainties include, among others, the timing and realization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 looking statements in this press release speak only as of the date of this release, and we undertake no obligation to update or revise any of these statements.</w:t>
      </w:r>
    </w:p>
    <w:p>
      <w:pPr>
        <w:sectPr>
          <w:pgSz w:w="11900" w:h="16838" w:orient="portrait"/>
          <w:cols w:equalWidth="0" w:num="1">
            <w:col w:w="11004"/>
          </w:cols>
          <w:pgMar w:left="436" w:top="266" w:right="45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FOR FURTHER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&amp;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Ekeberg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+1 661 904 9269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investor@avitamedical.com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media@avitamedical.com</w:t>
      </w:r>
    </w:p>
    <w:p>
      <w:pPr>
        <w:sectPr>
          <w:pgSz w:w="11900" w:h="16838" w:orient="portrait"/>
          <w:cols w:equalWidth="0" w:num="1">
            <w:col w:w="10019"/>
          </w:cols>
          <w:pgMar w:left="440" w:top="117" w:right="1440"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AVITA MEDICAL,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780" w:type="dxa"/>
            <w:vAlign w:val="bottom"/>
          </w:tcPr>
          <w:p>
            <w:pPr>
              <w:spacing w:after="0"/>
              <w:rPr>
                <w:sz w:val="12"/>
                <w:szCs w:val="12"/>
                <w:color w:val="auto"/>
              </w:rPr>
            </w:pPr>
          </w:p>
        </w:tc>
        <w:tc>
          <w:tcPr>
            <w:tcW w:w="13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2022</w:t>
            </w:r>
          </w:p>
        </w:tc>
        <w:tc>
          <w:tcPr>
            <w:tcW w:w="64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2"/>
                <w:szCs w:val="12"/>
                <w:color w:val="auto"/>
              </w:rPr>
            </w:pPr>
          </w:p>
        </w:tc>
      </w:tr>
      <w:tr>
        <w:trPr>
          <w:trHeight w:val="196"/>
        </w:trPr>
        <w:tc>
          <w:tcPr>
            <w:tcW w:w="7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23,613</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55,511</w:t>
            </w: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60,559</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29,649</w:t>
            </w:r>
          </w:p>
        </w:tc>
      </w:tr>
      <w:tr>
        <w:trPr>
          <w:trHeight w:val="21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3,553</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3,118</w:t>
            </w: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BARDA receivables</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792</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w:t>
            </w:r>
          </w:p>
        </w:tc>
      </w:tr>
      <w:tr>
        <w:trPr>
          <w:trHeight w:val="21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1,041</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1,213</w:t>
            </w: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2,132</w:t>
            </w:r>
          </w:p>
        </w:tc>
      </w:tr>
      <w:tr>
        <w:trPr>
          <w:trHeight w:val="27"/>
        </w:trPr>
        <w:tc>
          <w:tcPr>
            <w:tcW w:w="77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92,132</w:t>
            </w:r>
          </w:p>
        </w:tc>
      </w:tr>
      <w:tr>
        <w:trPr>
          <w:trHeight w:val="21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3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4,012</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19,692</w:t>
            </w: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Plant and equipment, net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1,226</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1,262</w:t>
            </w:r>
          </w:p>
        </w:tc>
      </w:tr>
      <w:tr>
        <w:trPr>
          <w:trHeight w:val="21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1,029</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1,544</w:t>
            </w: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Corporate-owned life insurance asset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948</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449</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548</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638</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99,932</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116,015</w:t>
            </w:r>
          </w:p>
        </w:tc>
        <w:tc>
          <w:tcPr>
            <w:tcW w:w="120" w:type="dxa"/>
            <w:vAlign w:val="bottom"/>
          </w:tcPr>
          <w:p>
            <w:pPr>
              <w:spacing w:after="0"/>
              <w:rPr>
                <w:sz w:val="20"/>
                <w:szCs w:val="20"/>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3,118</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2,708</w:t>
            </w: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wages and fringe benefits</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4,776</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5,363</w:t>
            </w:r>
          </w:p>
        </w:tc>
      </w:tr>
      <w:tr>
        <w:trPr>
          <w:trHeight w:val="21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1,619</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1,075</w:t>
            </w: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9,513</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9,146</w:t>
            </w:r>
          </w:p>
        </w:tc>
      </w:tr>
      <w:tr>
        <w:trPr>
          <w:trHeight w:val="21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Non-qualified deferred compensation plan liability</w:t>
            </w:r>
          </w:p>
        </w:tc>
        <w:tc>
          <w:tcPr>
            <w:tcW w:w="3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1,016</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740</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952</w:t>
            </w:r>
          </w:p>
        </w:tc>
      </w:tr>
      <w:tr>
        <w:trPr>
          <w:trHeight w:val="21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3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918</w:t>
            </w: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11,391</w:t>
            </w:r>
          </w:p>
        </w:tc>
        <w:tc>
          <w:tcPr>
            <w:tcW w:w="120" w:type="dxa"/>
            <w:vAlign w:val="bottom"/>
          </w:tcPr>
          <w:p>
            <w:pPr>
              <w:spacing w:after="0"/>
              <w:rPr>
                <w:sz w:val="20"/>
                <w:szCs w:val="20"/>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Non-qualified deferred compensation plan share awards</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Contingencies (Note 12)</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77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200,000,000 shares authorized, 25,030,902 and</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24,925,743 shares issued and outstanding at September 30, 2022 and December 31, 2021,</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3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r>
      <w:tr>
        <w:trPr>
          <w:trHeight w:val="198"/>
        </w:trPr>
        <w:tc>
          <w:tcPr>
            <w:tcW w:w="77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10,000,000 shares authorized, no shares issued</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or outstanding at September 30, 2022 and December 31, 2021</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 common stock held by the non-qualified deferred compensation plan</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337,995</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332,484</w:t>
            </w:r>
          </w:p>
        </w:tc>
      </w:tr>
      <w:tr>
        <w:trPr>
          <w:trHeight w:val="21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7,350</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8,060</w:t>
            </w:r>
          </w:p>
        </w:tc>
      </w:tr>
      <w:tr>
        <w:trPr>
          <w:trHeight w:val="216"/>
        </w:trPr>
        <w:tc>
          <w:tcPr>
            <w:tcW w:w="7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(257,235)</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(235,923)</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87,986</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104,624</w:t>
            </w:r>
          </w:p>
        </w:tc>
        <w:tc>
          <w:tcPr>
            <w:tcW w:w="120" w:type="dxa"/>
            <w:vAlign w:val="bottom"/>
          </w:tcPr>
          <w:p>
            <w:pPr>
              <w:spacing w:after="0"/>
              <w:rPr>
                <w:sz w:val="20"/>
                <w:szCs w:val="20"/>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99,932</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116,015</w:t>
            </w: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7" w:name="page8"/>
    <w:bookmarkEnd w:id="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AVITA MEDICAL,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Three-Months Ended</w:t>
            </w:r>
          </w:p>
        </w:tc>
        <w:tc>
          <w:tcPr>
            <w:tcW w:w="80" w:type="dxa"/>
            <w:vAlign w:val="bottom"/>
          </w:tcPr>
          <w:p>
            <w:pPr>
              <w:spacing w:after="0"/>
              <w:rPr>
                <w:sz w:val="13"/>
                <w:szCs w:val="13"/>
                <w:color w:val="auto"/>
              </w:rPr>
            </w:pPr>
          </w:p>
        </w:tc>
        <w:tc>
          <w:tcPr>
            <w:tcW w:w="230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Nine-Months Ended</w:t>
            </w: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6"/>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230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(1,088)</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(5,287)</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20,802</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BARDA income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(5,411)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(3,518)</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(11,313)</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(5,349)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(16,046)</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(3,799)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(3,388)</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(11,471)</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(14,214)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(12,255)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(44,058)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(38,830)</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(5,584)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(5,942)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(21,300)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(16,640)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(5,588)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(5,948)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(21,312)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(16,663)</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(0.85)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25,006,995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8"/>
              </w:rPr>
              <w:t>24,905,403</w:t>
            </w: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24,972,331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24,174,811</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25,006,995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8"/>
              </w:rPr>
              <w:t>24,905,403</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24,972,331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24,174,811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include impact of share-based compensation as follows: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9"/>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420" w:type="dxa"/>
            <w:vAlign w:val="bottom"/>
            <w:gridSpan w:val="8"/>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220" w:type="dxa"/>
            <w:vAlign w:val="bottom"/>
            <w:vMerge w:val="continue"/>
          </w:tcPr>
          <w:p>
            <w:pPr>
              <w:spacing w:after="0"/>
              <w:rPr>
                <w:sz w:val="15"/>
                <w:szCs w:val="15"/>
                <w:color w:val="auto"/>
              </w:rPr>
            </w:pPr>
          </w:p>
        </w:tc>
        <w:tc>
          <w:tcPr>
            <w:tcW w:w="2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9"/>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1420" w:type="dxa"/>
            <w:vAlign w:val="bottom"/>
            <w:gridSpan w:val="8"/>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408</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$ 1,022</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761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1,251</w:t>
            </w: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4,071</w:t>
            </w:r>
          </w:p>
        </w:tc>
        <w:tc>
          <w:tcPr>
            <w:tcW w:w="8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3,353</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3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c>
          <w:tcPr>
            <w:tcW w:w="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689</w:t>
            </w:r>
          </w:p>
        </w:tc>
        <w:tc>
          <w:tcPr>
            <w:tcW w:w="8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$ 1,436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2"/>
              </w:rPr>
              <w:t>$ 5,782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$ 4,585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0180" w:type="dxa"/>
            <w:vAlign w:val="bottom"/>
            <w:gridSpan w:val="16"/>
          </w:tcPr>
          <w:p>
            <w:pPr>
              <w:ind w:left="1560"/>
              <w:spacing w:after="0"/>
              <w:rPr>
                <w:sz w:val="20"/>
                <w:szCs w:val="20"/>
                <w:color w:val="auto"/>
              </w:rPr>
            </w:pPr>
            <w:r>
              <w:rPr>
                <w:rFonts w:ascii="Times New Roman" w:cs="Times New Roman" w:eastAsia="Times New Roman" w:hAnsi="Times New Roman"/>
                <w:sz w:val="18"/>
                <w:szCs w:val="18"/>
                <w:b w:val="1"/>
                <w:bCs w:val="1"/>
                <w:color w:val="auto"/>
              </w:rPr>
              <w:t>Reconciliation of reported Net Loss (GAAP) to Adjusted EBIDTA (NON-GAAP) Measure – Unaudited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560" w:type="dxa"/>
            <w:vAlign w:val="bottom"/>
          </w:tcPr>
          <w:p>
            <w:pPr>
              <w:spacing w:after="0"/>
              <w:rPr>
                <w:sz w:val="24"/>
                <w:szCs w:val="24"/>
                <w:color w:val="auto"/>
              </w:rPr>
            </w:pPr>
          </w:p>
        </w:tc>
        <w:tc>
          <w:tcPr>
            <w:tcW w:w="1580" w:type="dxa"/>
            <w:vAlign w:val="bottom"/>
            <w:gridSpan w:val="10"/>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gridSpan w:val="9"/>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220" w:type="dxa"/>
            <w:vAlign w:val="bottom"/>
            <w:vMerge w:val="continue"/>
          </w:tcPr>
          <w:p>
            <w:pPr>
              <w:spacing w:after="0"/>
              <w:rPr>
                <w:sz w:val="15"/>
                <w:szCs w:val="15"/>
                <w:color w:val="auto"/>
              </w:rPr>
            </w:pPr>
          </w:p>
        </w:tc>
        <w:tc>
          <w:tcPr>
            <w:tcW w:w="2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9"/>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1420" w:type="dxa"/>
            <w:vAlign w:val="bottom"/>
            <w:gridSpan w:val="8"/>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4"/>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$(5,588)</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 (5,948)</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$(21,312)</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$(16,663)</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32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w:t>
            </w:r>
          </w:p>
        </w:tc>
        <w:tc>
          <w:tcPr>
            <w:tcW w:w="4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c>
          <w:tcPr>
            <w:tcW w:w="6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Amortization</w:t>
            </w:r>
          </w:p>
        </w:tc>
        <w:tc>
          <w:tcPr>
            <w:tcW w:w="3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Share-based expense</w:t>
            </w:r>
          </w:p>
        </w:tc>
        <w:tc>
          <w:tcPr>
            <w:tcW w:w="32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1,436</w:t>
            </w:r>
          </w:p>
        </w:tc>
        <w:tc>
          <w:tcPr>
            <w:tcW w:w="60" w:type="dxa"/>
            <w:vAlign w:val="bottom"/>
          </w:tcPr>
          <w:p>
            <w:pPr>
              <w:spacing w:after="0"/>
              <w:rPr>
                <w:sz w:val="18"/>
                <w:szCs w:val="18"/>
                <w:color w:val="auto"/>
              </w:rPr>
            </w:pPr>
          </w:p>
        </w:tc>
        <w:tc>
          <w:tcPr>
            <w:tcW w:w="80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1,842</w:t>
            </w:r>
          </w:p>
        </w:tc>
        <w:tc>
          <w:tcPr>
            <w:tcW w:w="4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5,782</w:t>
            </w:r>
          </w:p>
        </w:tc>
        <w:tc>
          <w:tcPr>
            <w:tcW w:w="6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5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25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(4,004)</w:t>
            </w:r>
          </w:p>
        </w:tc>
        <w:tc>
          <w:tcPr>
            <w:tcW w:w="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 (3,917)</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(15,070)</w:t>
            </w:r>
          </w:p>
        </w:tc>
        <w:tc>
          <w:tcPr>
            <w:tcW w:w="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(11,517)</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4"/>
      </w:cols>
      <w:pgMar w:left="436"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ldblquote"/>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2022-11-14T09:45:31Z</dcterms:created>
  <dcterms:modified xsi:type="dcterms:W3CDTF">2022-11-14T09:45:31Z</dcterms:modified>
</cp:coreProperties>
</file>