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Medical,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85-1021707</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28" w:lineRule="exact"/>
        <w:rPr>
          <w:sz w:val="24"/>
          <w:szCs w:val="24"/>
          <w:color w:val="auto"/>
        </w:rPr>
      </w:pPr>
    </w:p>
    <w:p>
      <w:pPr>
        <w:ind w:left="704"/>
        <w:spacing w:after="0"/>
        <w:rPr>
          <w:sz w:val="20"/>
          <w:szCs w:val="20"/>
          <w:color w:val="auto"/>
        </w:rPr>
      </w:pPr>
      <w:r>
        <w:rPr>
          <w:rFonts w:ascii="Times New Roman" w:cs="Times New Roman" w:eastAsia="Times New Roman" w:hAnsi="Times New Roman"/>
          <w:sz w:val="17"/>
          <w:szCs w:val="17"/>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661.367.9170</w:t>
      </w:r>
    </w:p>
    <w:p>
      <w:pPr>
        <w:spacing w:after="0" w:line="31" w:lineRule="exact"/>
        <w:rPr>
          <w:sz w:val="24"/>
          <w:szCs w:val="24"/>
          <w:color w:val="auto"/>
        </w:rPr>
      </w:pPr>
    </w:p>
    <w:p>
      <w:pPr>
        <w:sectPr>
          <w:pgSz w:w="11900" w:h="16838" w:orient="portrait"/>
          <w:cols w:equalWidth="0" w:num="2">
            <w:col w:w="7124" w:space="720"/>
            <w:col w:w="318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1" w:lineRule="exact"/>
        <w:rPr>
          <w:sz w:val="24"/>
          <w:szCs w:val="24"/>
          <w:color w:val="auto"/>
        </w:rPr>
      </w:pPr>
    </w:p>
    <w:p>
      <w:pPr>
        <w:sectPr>
          <w:pgSz w:w="11900" w:h="16838" w:orient="portrait"/>
          <w:cols w:equalWidth="0" w:num="2">
            <w:col w:w="6004" w:space="720"/>
            <w:col w:w="430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On August 11, 2022, AVITA Medical, Inc. (the “Company”) issued a press release announcing financial results for its second quarter ended June 30, 2022, as well as certain additional business information. A copy of the press release is attached hereto as Exhibit 99.1.</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Also on August 11, 2022, the Company issued a press release announcing topline results from its pivotal randomized, controlled trial evaluating the safety and effectiveness of the RECELL System combined with meshed autograft for reduction of donor skin harvesting in soft tissue reconstruction. A copy of the press release is attached hereto as Exhibit 99.2.</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The information under Item 2.02, Item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a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AVITA Medical Reports Second Quarter 2022 Financial Results</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AVITA Medical Announces Topline Results from Pivotal Trial in Patients with Soft-Tissue Injuries using the RECELL</w:t>
      </w:r>
      <w:r>
        <w:rPr>
          <w:rFonts w:ascii="Times New Roman" w:cs="Times New Roman" w:eastAsia="Times New Roman" w:hAnsi="Times New Roman"/>
          <w:sz w:val="25"/>
          <w:szCs w:val="25"/>
          <w:u w:val="single" w:color="auto"/>
          <w:color w:val="0000EE"/>
          <w:vertAlign w:val="superscript"/>
        </w:rPr>
        <w:t>®</w:t>
      </w:r>
      <w:r>
        <w:rPr>
          <w:rFonts w:ascii="Times New Roman" w:cs="Times New Roman" w:eastAsia="Times New Roman" w:hAnsi="Times New Roman"/>
          <w:sz w:val="17"/>
          <w:szCs w:val="17"/>
          <w:u w:val="single" w:color="auto"/>
          <w:color w:val="0000EE"/>
        </w:rPr>
        <w:t xml:space="preserve"> System</w:t>
      </w:r>
    </w:p>
    <w:p>
      <w:pPr>
        <w:spacing w:after="0" w:line="5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1000"/>
          </w:cols>
          <w:pgMar w:left="440"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2022</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AVITA MEDICAL, INC.</w:t>
      </w:r>
    </w:p>
    <w:p>
      <w:pPr>
        <w:spacing w:after="0" w:line="20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16"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Donna Shiroma</w:t>
      </w:r>
    </w:p>
    <w:p>
      <w:pPr>
        <w:spacing w:after="0" w:line="27"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General Counsel</w:t>
      </w:r>
    </w:p>
    <w:p>
      <w:pPr>
        <w:sectPr>
          <w:pgSz w:w="11900" w:h="16838" w:orient="portrait"/>
          <w:cols w:equalWidth="0" w:num="1">
            <w:col w:w="10700"/>
          </w:cols>
          <w:pgMar w:left="440" w:top="293" w:right="75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173990</wp:posOffset>
            </wp:positionV>
            <wp:extent cx="1628775"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287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Reports Second Quarter 2022 Financial Results</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VALENCIA, California, August 11, 2022 and MELBOURNE, Australia, August 12, 2022 </w:t>
      </w:r>
      <w:r>
        <w:rPr>
          <w:rFonts w:ascii="Times New Roman" w:cs="Times New Roman" w:eastAsia="Times New Roman" w:hAnsi="Times New Roman"/>
          <w:sz w:val="18"/>
          <w:szCs w:val="18"/>
          <w:color w:val="auto"/>
        </w:rPr>
        <w:t>— AVITA Medical, Inc. (NASDAQ: RCEL, ASX: AVH)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regenerative medicine company that is developing and commercializing a technology platform that enables point-of-care autologous skin restoration for multiple unmet needs, today reported financial results for its second quarter ended June 30, 2022.</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Highlights and Recent Updates:</w:t>
      </w:r>
    </w:p>
    <w:p>
      <w:pPr>
        <w:spacing w:after="0" w:line="135" w:lineRule="exact"/>
        <w:rPr>
          <w:sz w:val="20"/>
          <w:szCs w:val="20"/>
          <w:color w:val="auto"/>
        </w:rPr>
      </w:pPr>
    </w:p>
    <w:p>
      <w:pPr>
        <w:ind w:left="960" w:right="78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commercial revenue, which excludes BARDA revenue, of $8.2 million a 23% increase compared to $6.7 million in the corresponding period in the prior year</w:t>
      </w:r>
    </w:p>
    <w:p>
      <w:pPr>
        <w:spacing w:after="0" w:line="67" w:lineRule="exact"/>
        <w:rPr>
          <w:rFonts w:ascii="Times New Roman" w:cs="Times New Roman" w:eastAsia="Times New Roman" w:hAnsi="Times New Roman"/>
          <w:sz w:val="18"/>
          <w:szCs w:val="18"/>
          <w:color w:val="auto"/>
        </w:rPr>
      </w:pPr>
    </w:p>
    <w:p>
      <w:pPr>
        <w:ind w:left="960" w:right="360" w:hanging="424"/>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total revenue, which includes BARDA revenue, of $8.3 million compared to $10.3 million in the corresponding period in the prior year, which included $3.6 million in BARDA revenue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improved by 3% to 83% compared corresponding period in the prior year</w:t>
      </w:r>
    </w:p>
    <w:p>
      <w:pPr>
        <w:spacing w:after="0" w:line="130" w:lineRule="exact"/>
        <w:rPr>
          <w:rFonts w:ascii="Times New Roman" w:cs="Times New Roman" w:eastAsia="Times New Roman" w:hAnsi="Times New Roman"/>
          <w:sz w:val="18"/>
          <w:szCs w:val="18"/>
          <w:color w:val="auto"/>
        </w:rPr>
      </w:pPr>
    </w:p>
    <w:p>
      <w:pPr>
        <w:ind w:left="960" w:right="120" w:hanging="424"/>
        <w:spacing w:after="0" w:line="213"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results from its pivotal randomized controlled trial evaluating the safety and effectiveness of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for healing of soft tissue reconstruction with reduced donor skin</w:t>
      </w:r>
    </w:p>
    <w:p>
      <w:pPr>
        <w:spacing w:after="0" w:line="104"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2022, the Company had $91.1 million in cash, cash equivalents, and marketable securities, with no debt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to date Highlights:</w:t>
      </w:r>
    </w:p>
    <w:p>
      <w:pPr>
        <w:spacing w:after="0" w:line="135" w:lineRule="exact"/>
        <w:rPr>
          <w:sz w:val="20"/>
          <w:szCs w:val="20"/>
          <w:color w:val="auto"/>
        </w:rPr>
      </w:pPr>
    </w:p>
    <w:p>
      <w:pPr>
        <w:ind w:left="960" w:right="5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commercial revenue, which excludes BARDA revenue, of $15.7 million, a 39% increase compared to $11.3 million in the corresponding period in the prior year</w:t>
      </w:r>
    </w:p>
    <w:p>
      <w:pPr>
        <w:spacing w:after="0" w:line="67"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total revenue, which includes BARDA revenue, of $15.9 million compared to $19.1 million in the corresponding period in the prior year, which included $7.8 million in BARDA revenue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margin improved by 2% to 80% compared to the corresponding period in the prior year</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commercial team continued to drive further RECELL utilization and penetration within burn centers, and our clinical team advanced our soft tissue reconstruction and vitiligo trials,” said Dr. Mike Perry, AVITA Medical Chief Executive Officer. “We look forward to topline data from our vitiligo clinical trial in the second half of this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Financial Results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Our commercial revenue, which excludes BARDA revenue, was $8.2 million in the three months ended June 30, 2022, an increase of $1.5 million or 23%, compared to $6.7 million the corresponding period in the prior year. Total revenue, which includes BARDA revenue, was $8.3 million in the second quarter compared to $10.3 million in the corresponding period in the prior year which included $3.6 million in BARDA related revenue that resulted from our delivery of units to managed inventory for BARDA for emergency response preparedness. The growth in commercial revenues was largely driven by an increase in the number of customers ordering as well as the average order size for those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improved by 3% to 83% compared to the corresponding period in the prior year.</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operating expenses increased by 3% to $13.9 million compared to $13.4 million in the corresponding period in the prior year. The increase in operating expenses is primarily attributable to higher compensation costs, sales commissions, and professional fees, partially offset by lower clinical trial related expenses. Higher compensation costs resulted from an expansion of our commercial team, while higher commissions were driven by an increase in revenues. Higher professional fees are driven by an increase in pre-commercialization activities for RECELL launches in soft tissue reconstruction and vitiligo. Clinical trial expenses incurred in our soft tissue and vitiligo trials were lower during the period, as the trial participants were in the follow-up phase which is less costly than the earlier recruitment and treatment phase.</w:t>
      </w:r>
    </w:p>
    <w:p>
      <w:pPr>
        <w:spacing w:after="0" w:line="120"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r>
        <w:rPr>
          <w:sz w:val="20"/>
          <w:szCs w:val="20"/>
          <w:color w:val="auto"/>
        </w:rPr>
        <w:tab/>
      </w: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4" w:name="page5"/>
    <w:bookmarkEnd w:id="4"/>
    <w:p>
      <w:pPr>
        <w:ind w:right="8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loss increased by 33% or $1.5 million to $6.3 million, or $0.25 per share, compared to a net loss of $4.7 million, or $0.19 per share, in the corresponding period of the prior year.</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Adjusted EBITDA* loss increased by 51%, or $1.6 million to $4.7 million, over the $3.1 million recognized in the corresponding period in the prior year. A table reconciling non-GAAP measures is included in this press release for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Financial Results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commercial revenue, which excludes BARDA revenue, was $15.7 million in the six months ended June 30, 2022, an increase of $4.4 million or 39%, compared to $11.3 million in the corresponding period in the prior year. Total revenue, which includes BARDA revenue, was $15.9 million in the current year compared to $19.1 million in the corresponding period in the prior year which included $7.7 million in BARDA related revenue that resulted from our delivery of units to managed inventory for BARDA for emergency response preparedness. The growth in commercial revenues was largely driven by an increase in the number of customers ordering as well as the average order size for those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margin improved by 2% to 80% compared to the corresponding period in the prior year.</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operating expenses increased by 12% to $29.9 million compared to $26.6 million in the corresponding period in the prior year. The increase in operating expenses is primarily attributable to higher compensation costs and professional fees, partially offset by lower clinical trial related expenses. Higher compensation costs were primarily a result of increased share-based compensation expenses due to certain performance milestones being met, higher commissions driven by an increase in revenues, and an expansion of our commercial team. Increased professional fees were driven by an increase in pre-commercialization costs for RECELL launches in soft tissue reconstruction and vitiligo. Research and development expenses were lower relative to the prior year during which higher costs were incurred relating to recruitment and treatment for the soft tissue and vitiligo clinical trials.</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Net loss increased by 47% or $5.0 million to $15.7 million, or $0.63 per share, compared to a net loss of $10.7 million, or $0.45 per share, in the corresponding period of the prior year.</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Adjusted EBITDA* loss increased by 46%, or $3.5 million to $11.1 million, over the $7.6 million recognized in the corresponding period in the prior year. A table reconciling non-GAAP measures is included in this press release for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Calendar Year 2022 Revenue Guidance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Commercial revenues in calendar year 2022 are projected to be approximately $30 million, excluding BARDA revenues, which represents a 20% increase year-over year. We project BARDA revenues of approximately $0.3 million in calendar year 2022, as compared to $7.9 million in calendar year 2021, since we completed delivery of RECELL units into the national stockpile in 2021.</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*Adjusted EBITDA is a non-GAAP financial measure. See the appendix to this release for a discussion of non-GAAP financial measures, including a reconciliation to the most closely correlated GAAP measure.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and Conference Call Information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The Company will host a conference call to discuss the second quarter financial results after market close on Thursday August 11, 2022, at 2:00 p.m. Pacific Time / 5:00 p.m. Eastern Time (being 7.00 a.m. Australian Eastern Standard Time on Friday August 12, 2022). To access the live call via telephone, please register in advance using the link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Upon registering, each participant will receive an email confirmation with dial-in numbers and a unique personal PIN that can be used to join the call. The live webinar can be accessed at https://ir.avitamedical.com.</w:t>
      </w:r>
    </w:p>
    <w:p>
      <w:pPr>
        <w:spacing w:after="0" w:line="112"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r>
        <w:rPr>
          <w:sz w:val="20"/>
          <w:szCs w:val="20"/>
          <w:color w:val="auto"/>
        </w:rPr>
        <w:tab/>
      </w:r>
      <w:r>
        <w:rPr>
          <w:rFonts w:ascii="Times New Roman" w:cs="Times New Roman" w:eastAsia="Times New Roman" w:hAnsi="Times New Roman"/>
          <w:sz w:val="18"/>
          <w:szCs w:val="18"/>
          <w:color w:val="auto"/>
        </w:rPr>
        <w:t>Page 2</w:t>
      </w:r>
    </w:p>
    <w:p>
      <w:pPr>
        <w:sectPr>
          <w:pgSz w:w="11900" w:h="16838" w:orient="portrait"/>
          <w:cols w:equalWidth="0" w:num="1">
            <w:col w:w="11020"/>
          </w:cols>
          <w:pgMar w:left="440" w:top="270"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Authorized for release by the Chief Financial Officer of AVITA Medical,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60"/>
        <w:spacing w:after="0" w:line="224" w:lineRule="auto"/>
        <w:rPr>
          <w:sz w:val="20"/>
          <w:szCs w:val="20"/>
          <w:color w:val="auto"/>
        </w:rPr>
      </w:pPr>
      <w:r>
        <w:rPr>
          <w:rFonts w:ascii="Times New Roman" w:cs="Times New Roman" w:eastAsia="Times New Roman" w:hAnsi="Times New Roman"/>
          <w:sz w:val="18"/>
          <w:szCs w:val="18"/>
          <w:color w:val="auto"/>
        </w:rPr>
        <w:t>AVITA Medical, Inc. is a regenerative medicine company with a technology platform positioned to address unmet medical needs in burns, chronic wounds, and aesthetics indications. AVITA Medical Inc.’s patented, and proprietary collection and application technology provides innovative treatment solutions derived from the regenerative properties of a patient’s own skin. The Company’s lead product is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a device that enables healthcare professionals to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sample of the patient’s own skin to create an autologous suspension. The RES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Regenerative Epidermal Suspension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then sprayed onto the areas of the patient requiring treatment to regenerate natural healthy epidermis.</w:t>
      </w:r>
    </w:p>
    <w:p>
      <w:pPr>
        <w:spacing w:after="0" w:line="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international markets, our products are approved under the RECELL System brand to promote skin healing in a wide range of applications including burns, chronic wounds, and aesthetics. The RECELL System is TGA-registered in Australia, received CE-mark approval in Europe, and received Japan’s Pharmaceuticals and Medical Devices Act (PMDA) approval for burns in Japan.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u w:val="single" w:color="auto"/>
          <w:color w:val="auto"/>
        </w:rPr>
        <w:t>www.avitamedical.com</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Use of non-GAAP Measure</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AVITA Medical’s reported earnings are prepared in accordance with generally accepted accounting principles in the United States, or GAAP, and represent earnings as reported to the Securities and Exchange Commission. AVITA Medical has provided in this release certain financial information that has not been prepared in accordance with GAAP. AVITA Medical’s management believes that the non-GAAP adjusted EBITDA described in the release, which includes adjustments for specific items that are generally not indicative of our core operations, provides additional information that is useful to investors in understanding AVITA Medical’s underlying performance, business and performance trends, and helps facilitate period-to-period comparisons and comparisons of its financial measures with other companies in AVITA Medical’s industry. However, the non-GAAP financial measures that AVITA Medical uses may differ from measures that other companies may use. Non-GAAP financial measures are not required to be uniformly applied, are not audited and should not be considered in isolation or as substitutes for results prepared in accordance with GAAP.</w:t>
      </w:r>
    </w:p>
    <w:p>
      <w:pPr>
        <w:spacing w:after="0" w:line="124"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r>
        <w:rPr>
          <w:sz w:val="20"/>
          <w:szCs w:val="20"/>
          <w:color w:val="auto"/>
        </w:rPr>
        <w:tab/>
      </w:r>
      <w:r>
        <w:rPr>
          <w:rFonts w:ascii="Times New Roman" w:cs="Times New Roman" w:eastAsia="Times New Roman" w:hAnsi="Times New Roman"/>
          <w:sz w:val="18"/>
          <w:szCs w:val="18"/>
          <w:color w:val="auto"/>
        </w:rPr>
        <w:t>Page 3</w:t>
      </w:r>
    </w:p>
    <w:p>
      <w:pPr>
        <w:sectPr>
          <w:pgSz w:w="11900" w:h="16838" w:orient="portrait"/>
          <w:cols w:equalWidth="0" w:num="1">
            <w:col w:w="11020"/>
          </w:cols>
          <w:pgMar w:left="440" w:top="270"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315"/>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U.S. Media</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b w:val="1"/>
                <w:bCs w:val="1"/>
                <w:color w:val="auto"/>
              </w:rPr>
              <w:t>ICR Westwicke</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Christy Curran</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Phone +1 615 414 8668</w:t>
            </w:r>
          </w:p>
        </w:tc>
        <w:tc>
          <w:tcPr>
            <w:tcW w:w="388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Phone +1 415 202 5678</w:t>
            </w:r>
          </w:p>
        </w:tc>
      </w:tr>
      <w:tr>
        <w:trPr>
          <w:trHeight w:val="194"/>
        </w:trPr>
        <w:tc>
          <w:tcPr>
            <w:tcW w:w="22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4" w:lineRule="exact"/>
              <w:rPr>
                <w:sz w:val="20"/>
                <w:szCs w:val="20"/>
                <w:color w:val="auto"/>
              </w:rPr>
            </w:pPr>
            <w:r>
              <w:rPr>
                <w:rFonts w:ascii="Times New Roman" w:cs="Times New Roman" w:eastAsia="Times New Roman" w:hAnsi="Times New Roman"/>
                <w:sz w:val="18"/>
                <w:szCs w:val="18"/>
                <w:color w:val="auto"/>
                <w:w w:val="98"/>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Monsoon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Mobile +61 (0)411 402 737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rudim@monsoon.com.au</w:t>
      </w:r>
    </w:p>
    <w:p>
      <w:pPr>
        <w:spacing w:after="0" w:line="153" w:lineRule="exact"/>
        <w:rPr>
          <w:sz w:val="20"/>
          <w:szCs w:val="20"/>
          <w:color w:val="auto"/>
        </w:rPr>
      </w:pPr>
    </w:p>
    <w:p>
      <w:pPr>
        <w:spacing w:after="0"/>
        <w:tabs>
          <w:tab w:leader="none" w:pos="10500" w:val="left"/>
        </w:tabs>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r>
        <w:rPr>
          <w:sz w:val="20"/>
          <w:szCs w:val="20"/>
          <w:color w:val="auto"/>
        </w:rPr>
        <w:tab/>
      </w:r>
      <w:r>
        <w:rPr>
          <w:rFonts w:ascii="Times New Roman" w:cs="Times New Roman" w:eastAsia="Times New Roman" w:hAnsi="Times New Roman"/>
          <w:sz w:val="18"/>
          <w:szCs w:val="18"/>
          <w:color w:val="auto"/>
        </w:rPr>
        <w:t>Page 4</w:t>
      </w:r>
    </w:p>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8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840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2022</w:t>
            </w:r>
          </w:p>
        </w:tc>
        <w:tc>
          <w:tcPr>
            <w:tcW w:w="34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2021</w:t>
            </w:r>
          </w:p>
        </w:tc>
        <w:tc>
          <w:tcPr>
            <w:tcW w:w="140" w:type="dxa"/>
            <w:vAlign w:val="bottom"/>
            <w:gridSpan w:val="2"/>
          </w:tcPr>
          <w:p>
            <w:pPr>
              <w:spacing w:after="0"/>
              <w:rPr>
                <w:sz w:val="12"/>
                <w:szCs w:val="12"/>
                <w:color w:val="auto"/>
              </w:rPr>
            </w:pPr>
          </w:p>
        </w:tc>
      </w:tr>
      <w:tr>
        <w:trPr>
          <w:trHeight w:val="196"/>
        </w:trPr>
        <w:tc>
          <w:tcPr>
            <w:tcW w:w="84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34,737</w:t>
            </w: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55,511</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49,618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29,649</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3,118</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BARDA receivables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1,213</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c>
          <w:tcPr>
            <w:tcW w:w="20" w:type="dxa"/>
            <w:vAlign w:val="bottom"/>
          </w:tcPr>
          <w:p>
            <w:pPr>
              <w:spacing w:after="0"/>
              <w:rPr>
                <w:sz w:val="18"/>
                <w:szCs w:val="18"/>
                <w:color w:val="auto"/>
              </w:rPr>
            </w:pPr>
          </w:p>
        </w:tc>
      </w:tr>
      <w:tr>
        <w:trPr>
          <w:trHeight w:val="27"/>
        </w:trPr>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91,806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92,132</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 long-term</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6,743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19,692</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Plant and equipment,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1,262</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1,544</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w:t>
            </w:r>
          </w:p>
        </w:tc>
        <w:tc>
          <w:tcPr>
            <w:tcW w:w="20" w:type="dxa"/>
            <w:vAlign w:val="bottom"/>
          </w:tcPr>
          <w:p>
            <w:pPr>
              <w:spacing w:after="0"/>
              <w:rPr>
                <w:sz w:val="18"/>
                <w:szCs w:val="18"/>
                <w:color w:val="auto"/>
              </w:rPr>
            </w:pPr>
          </w:p>
        </w:tc>
      </w:tr>
      <w:tr>
        <w:trPr>
          <w:trHeight w:val="27"/>
        </w:trPr>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102,669</w:t>
            </w: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116,015</w:t>
            </w:r>
          </w:p>
        </w:tc>
        <w:tc>
          <w:tcPr>
            <w:tcW w:w="20" w:type="dxa"/>
            <w:vAlign w:val="bottom"/>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2,708</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wages and fringe benefits</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5,363</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1,075</w:t>
            </w:r>
          </w:p>
        </w:tc>
        <w:tc>
          <w:tcPr>
            <w:tcW w:w="20" w:type="dxa"/>
            <w:vAlign w:val="bottom"/>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918</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r>
      <w:tr>
        <w:trPr>
          <w:trHeight w:val="230"/>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9,946</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Non-qualified deferred compensation share awards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Contingencies (Note 12)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840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per share, 200,000,000 shares authorized, 25,003,088 and 24,925,743</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84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shares issued and outstanding at June 30, 2022 and December 31, 2021, respectively</w:t>
            </w:r>
          </w:p>
        </w:tc>
        <w:tc>
          <w:tcPr>
            <w:tcW w:w="14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0"/>
                <w:szCs w:val="20"/>
                <w:color w:val="auto"/>
              </w:rPr>
            </w:pPr>
          </w:p>
        </w:tc>
      </w:tr>
      <w:tr>
        <w:trPr>
          <w:trHeight w:val="198"/>
        </w:trPr>
        <w:tc>
          <w:tcPr>
            <w:tcW w:w="840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w:t>
            </w: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4"/>
        </w:trPr>
        <w:tc>
          <w:tcPr>
            <w:tcW w:w="84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outstanding at June 30, 2022 and December 31, 2021</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336,668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332,484</w:t>
            </w:r>
          </w:p>
        </w:tc>
        <w:tc>
          <w:tcPr>
            <w:tcW w:w="20" w:type="dxa"/>
            <w:vAlign w:val="bottom"/>
          </w:tcPr>
          <w:p>
            <w:pPr>
              <w:spacing w:after="0"/>
              <w:rPr>
                <w:sz w:val="18"/>
                <w:szCs w:val="18"/>
                <w:color w:val="auto"/>
              </w:rPr>
            </w:pPr>
          </w:p>
        </w:tc>
      </w:tr>
      <w:tr>
        <w:trPr>
          <w:trHeight w:val="21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7,536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8,060</w:t>
            </w:r>
          </w:p>
        </w:tc>
        <w:tc>
          <w:tcPr>
            <w:tcW w:w="20" w:type="dxa"/>
            <w:vAlign w:val="bottom"/>
          </w:tcPr>
          <w:p>
            <w:pPr>
              <w:spacing w:after="0"/>
              <w:rPr>
                <w:sz w:val="18"/>
                <w:szCs w:val="18"/>
                <w:color w:val="auto"/>
              </w:rPr>
            </w:pPr>
          </w:p>
        </w:tc>
      </w:tr>
      <w:tr>
        <w:trPr>
          <w:trHeight w:val="21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(251,647)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(235,923)</w:t>
            </w:r>
          </w:p>
        </w:tc>
        <w:tc>
          <w:tcPr>
            <w:tcW w:w="20" w:type="dxa"/>
            <w:vAlign w:val="bottom"/>
          </w:tcPr>
          <w:p>
            <w:pPr>
              <w:spacing w:after="0"/>
              <w:rPr>
                <w:sz w:val="18"/>
                <w:szCs w:val="18"/>
                <w:color w:val="auto"/>
              </w:rPr>
            </w:pPr>
          </w:p>
        </w:tc>
      </w:tr>
      <w:tr>
        <w:trPr>
          <w:trHeight w:val="27"/>
        </w:trPr>
        <w:tc>
          <w:tcPr>
            <w:tcW w:w="8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6"/>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92,560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104,624</w:t>
            </w:r>
          </w:p>
        </w:tc>
        <w:tc>
          <w:tcPr>
            <w:tcW w:w="20" w:type="dxa"/>
            <w:vAlign w:val="bottom"/>
          </w:tcPr>
          <w:p>
            <w:pPr>
              <w:spacing w:after="0"/>
              <w:rPr>
                <w:sz w:val="18"/>
                <w:szCs w:val="18"/>
                <w:color w:val="auto"/>
              </w:rPr>
            </w:pPr>
          </w:p>
        </w:tc>
      </w:tr>
      <w:tr>
        <w:trPr>
          <w:trHeight w:val="223"/>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102,669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5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Page 5</w:t>
            </w: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AVITA MEDICAL,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8"/>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00" w:type="dxa"/>
            <w:vAlign w:val="bottom"/>
            <w:gridSpan w:val="11"/>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(2,053)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BARDA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1,285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(5,332)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(4,146)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(7,795)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(5,275)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(10,697)</w:t>
            </w: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(3,059)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(6,679)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(8,083)</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(13,862)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(26,575)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(4,704)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(15,849)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(10,695)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(6,257)</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(10,698)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7"/>
        </w:trPr>
        <w:tc>
          <w:tcPr>
            <w:tcW w:w="5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(6,261)</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(15,724)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(10,715)</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(0.25)</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(0.63)</w:t>
            </w:r>
          </w:p>
        </w:tc>
        <w:tc>
          <w:tcPr>
            <w:tcW w:w="120" w:type="dxa"/>
            <w:vAlign w:val="bottom"/>
          </w:tcPr>
          <w:p>
            <w:pPr>
              <w:spacing w:after="0"/>
              <w:rPr>
                <w:sz w:val="18"/>
                <w:szCs w:val="18"/>
                <w:color w:val="auto"/>
              </w:rPr>
            </w:pP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24,971,243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8"/>
              </w:rPr>
              <w:t>24,860,738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w w:val="98"/>
              </w:rPr>
              <w:t>24,954,712</w:t>
            </w:r>
          </w:p>
        </w:tc>
        <w:tc>
          <w:tcPr>
            <w:tcW w:w="120" w:type="dxa"/>
            <w:vAlign w:val="bottom"/>
          </w:tcPr>
          <w:p>
            <w:pPr>
              <w:spacing w:after="0"/>
              <w:rPr>
                <w:sz w:val="18"/>
                <w:szCs w:val="18"/>
                <w:color w:val="auto"/>
              </w:rPr>
            </w:pPr>
          </w:p>
        </w:tc>
        <w:tc>
          <w:tcPr>
            <w:tcW w:w="108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23,803,460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24,971,243</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24,860,738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24,954,712</w:t>
            </w:r>
          </w:p>
        </w:tc>
        <w:tc>
          <w:tcPr>
            <w:tcW w:w="120" w:type="dxa"/>
            <w:vAlign w:val="bottom"/>
            <w:shd w:val="clear" w:color="auto" w:fill="CCEEFF"/>
          </w:tcPr>
          <w:p>
            <w:pPr>
              <w:spacing w:after="0"/>
              <w:rPr>
                <w:sz w:val="18"/>
                <w:szCs w:val="18"/>
                <w:color w:val="auto"/>
              </w:rPr>
            </w:pPr>
          </w:p>
        </w:tc>
        <w:tc>
          <w:tcPr>
            <w:tcW w:w="10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23,803,460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 Total operating expenses include impact of share-based compensation as follows:</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gridSpan w:val="8"/>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9"/>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Borders>
              <w:top w:val="single" w:sz="8" w:color="auto"/>
            </w:tcBorders>
            <w:gridSpan w:val="3"/>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44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2,743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Page 6</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Reconciliation of reported Net Loss (GAAP) to Adjusted EBIDTA (NON-GAAP) Measure –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2040" w:type="dxa"/>
            <w:vAlign w:val="bottom"/>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80" w:type="dxa"/>
            <w:vAlign w:val="bottom"/>
          </w:tcPr>
          <w:p>
            <w:pPr>
              <w:spacing w:after="0"/>
              <w:rPr>
                <w:sz w:val="15"/>
                <w:szCs w:val="15"/>
                <w:color w:val="auto"/>
              </w:rPr>
            </w:pPr>
          </w:p>
        </w:tc>
        <w:tc>
          <w:tcPr>
            <w:tcW w:w="186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70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(15,724)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(10,715)</w:t>
            </w:r>
          </w:p>
        </w:tc>
        <w:tc>
          <w:tcPr>
            <w:tcW w:w="12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 Amortization</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Share-based expense</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0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(4,702)</w:t>
            </w:r>
          </w:p>
        </w:tc>
        <w:tc>
          <w:tcPr>
            <w:tcW w:w="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(7,600)</w:t>
            </w:r>
          </w:p>
        </w:tc>
      </w:tr>
      <w:tr>
        <w:trPr>
          <w:trHeight w:val="20"/>
        </w:trPr>
        <w:tc>
          <w:tcPr>
            <w:tcW w:w="7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PR 08112022</w:t>
            </w:r>
          </w:p>
        </w:tc>
      </w:tr>
      <w:tr>
        <w:trPr>
          <w:trHeight w:val="365"/>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AVITA Medical, Inc. | 28159 Avenue Stanford, Suite 220 Valencia, CA 91355</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 7</w:t>
            </w:r>
          </w:p>
        </w:tc>
      </w:tr>
    </w:tbl>
    <w:p>
      <w:pPr>
        <w:sectPr>
          <w:pgSz w:w="11900" w:h="16838" w:orient="portrait"/>
          <w:cols w:equalWidth="0" w:num="1">
            <w:col w:w="11020"/>
          </w:cols>
          <w:pgMar w:left="440" w:top="266" w:right="4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28775" cy="651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2877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AVITA Medical Announces Topline Results from Pivotal Trial in Patients with Soft-Tissue Injuries using the RECELL</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System</w:t>
      </w:r>
    </w:p>
    <w:p>
      <w:pPr>
        <w:spacing w:after="0" w:line="63"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AVITA Medical plans to submit PMA supplement for this new indication to FDA by the end of 2022</w:t>
      </w:r>
    </w:p>
    <w:p>
      <w:pPr>
        <w:spacing w:after="0" w:line="20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VALENCIA, Calif. and MELBOURNE, Australia, 11 AUGUST 2022 </w:t>
      </w:r>
      <w:r>
        <w:rPr>
          <w:rFonts w:ascii="Times New Roman" w:cs="Times New Roman" w:eastAsia="Times New Roman" w:hAnsi="Times New Roman"/>
          <w:sz w:val="18"/>
          <w:szCs w:val="18"/>
          <w:color w:val="auto"/>
        </w:rPr>
        <w:t>— AVITA Medical, Inc. (NASDAQ: RCEL, ASX: AVH)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regenerative medicine company that is developing and commercializing a technology platform that enables point-of-care autologous skin restoration for multiple unmet needs, today announced topline results from its pivotal randomized, controlled trial evaluating the safety and effectiveness of the RECELL System combined with meshed autograft for reduction of donor skin harvesting in soft tissue reconstruction. Injuries considered for the clinical trial included any full-thickness acute skin defect, such as degloving or peeled back skin injuries, road rash, surgical wounds, and flesh-eating disease.</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“Soft-tissue injuries can be challenging to treat and I am very pleased with the outcomes using RECELL – especially the use of less donor skin when treating a variety of injuries,” said Dr. Steven E. Mapula, Assistant Professor of Surgery TCU and Division Chief of Plastic Surgery at John Peter Smith Hospital. “Following FDA approval, I look forward to utilizing RECELL broadly to help patients with a wide variety of soft-tissue injuries.”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study design included co-primary endpoints, based on pairwise comparisons where each subject received both RECELL used in combination with widely-meshed skin grafting and the Control treatment of conventional skin grafting; one endpoint had a hypothesis of superiority for donor skin sparing and the other co-primary endpoint had a hypothesis of non-inferiority for healing. Preliminary review of adverse events shows consistency with our years of prior RECELL experience, reinforcing the product’s compelling safety profile. The primary study outcomes are as follows:</w:t>
      </w:r>
    </w:p>
    <w:p>
      <w:pPr>
        <w:spacing w:after="0" w:line="85" w:lineRule="exact"/>
        <w:rPr>
          <w:sz w:val="20"/>
          <w:szCs w:val="20"/>
          <w:color w:val="auto"/>
        </w:rPr>
      </w:pPr>
    </w:p>
    <w:p>
      <w:pPr>
        <w:ind w:left="960" w:right="40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donor sparing endpoint was met, showing a superior ratio of treated injury area to donor site area (p&lt;0.001) with RECELL versus Control</w:t>
      </w:r>
    </w:p>
    <w:p>
      <w:pPr>
        <w:spacing w:after="0" w:line="67" w:lineRule="exact"/>
        <w:rPr>
          <w:rFonts w:ascii="Times New Roman" w:cs="Times New Roman" w:eastAsia="Times New Roman" w:hAnsi="Times New Roman"/>
          <w:sz w:val="18"/>
          <w:szCs w:val="18"/>
          <w:color w:val="auto"/>
        </w:rPr>
      </w:pPr>
    </w:p>
    <w:p>
      <w:pPr>
        <w:ind w:left="960" w:right="2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healing endpoint did not reach pre-specified statistical non-inferiority, however, observed values for healing with RECELL were the same or slightly better than Control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1</w:t>
      </w:r>
    </w:p>
    <w:p>
      <w:pPr>
        <w:sectPr>
          <w:pgSz w:w="11900" w:h="16838" w:orient="portrait"/>
          <w:cols w:equalWidth="0" w:num="1">
            <w:col w:w="11020"/>
          </w:cols>
          <w:pgMar w:left="440" w:top="117" w:right="439" w:bottom="1440" w:gutter="0" w:footer="0" w:header="0"/>
        </w:sectPr>
      </w:pPr>
    </w:p>
    <w:bookmarkStart w:id="11" w:name="page12"/>
    <w:bookmarkEnd w:id="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study has shown statistically superior donor sparing and comparable healing rates for RECELL treatment of soft tissue injuries and we are confident in moving forward with our plan for a PMA submission later this year,” said Dr. Mike Perry, Chief Executive Officer of AVITA Medical. “The RECELL System has been used to effectively treat serious burn injuries and we anticipate that the RECELL System will be well-positioned to treat patients with soft-tissue injuries, pending FDA review and approval.”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plans to submit detailed results from the trial for peer-reviewed publication.</w:t>
      </w:r>
    </w:p>
    <w:p>
      <w:pPr>
        <w:spacing w:after="0" w:line="225"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18"/>
          <w:szCs w:val="18"/>
          <w:color w:val="auto"/>
        </w:rPr>
        <w:t>Skin grafting is the standard of care for soft tissue reconstruction, including post-trauma and post-surgical skin reconstruction. Skin grafting requires the harvesting of donor skin, resulting in an additional wound to the patient. Significant pain, delayed healing, risk of infection, the need for multiple procedures, discoloration and scarring are associated with donor site wounds.</w:t>
      </w:r>
      <w:r>
        <w:rPr>
          <w:rFonts w:ascii="Times New Roman" w:cs="Times New Roman" w:eastAsia="Times New Roman" w:hAnsi="Times New Roman"/>
          <w:sz w:val="26"/>
          <w:szCs w:val="26"/>
          <w:color w:val="auto"/>
          <w:vertAlign w:val="superscript"/>
        </w:rPr>
        <w:t>i</w:t>
      </w:r>
      <w:r>
        <w:rPr>
          <w:rFonts w:ascii="Times New Roman" w:cs="Times New Roman" w:eastAsia="Times New Roman" w:hAnsi="Times New Roman"/>
          <w:sz w:val="18"/>
          <w:szCs w:val="18"/>
          <w:color w:val="auto"/>
        </w:rPr>
        <w:t xml:space="preserve"> The total addressable market (“TAM”) for soft tissue repair is approximately $1 billion and more than twice as large as the TAM for burns. Further, if FDA approved, the existing reimbursement codes utilized for burn treatment with the RECELL System will apply to this indication.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AVITA MEDICAL, INC.</w:t>
      </w:r>
    </w:p>
    <w:p>
      <w:pPr>
        <w:spacing w:after="0" w:line="121" w:lineRule="exact"/>
        <w:rPr>
          <w:sz w:val="20"/>
          <w:szCs w:val="20"/>
          <w:color w:val="auto"/>
        </w:rPr>
      </w:pPr>
    </w:p>
    <w:p>
      <w:pPr>
        <w:ind w:right="40"/>
        <w:spacing w:after="0" w:line="224" w:lineRule="auto"/>
        <w:rPr>
          <w:sz w:val="20"/>
          <w:szCs w:val="20"/>
          <w:color w:val="auto"/>
        </w:rPr>
      </w:pPr>
      <w:r>
        <w:rPr>
          <w:rFonts w:ascii="Times New Roman" w:cs="Times New Roman" w:eastAsia="Times New Roman" w:hAnsi="Times New Roman"/>
          <w:sz w:val="18"/>
          <w:szCs w:val="18"/>
          <w:color w:val="auto"/>
        </w:rPr>
        <w:t>AVITA Medical, Inc. is a regenerative medicine company with a technology platform positioned to address unmet medical needs in burns, chronic wounds, and aesthetics indications. AVITA Medical Inc.’s patented, and proprietary collection and application technology provides innovative treatment solutions derived from the regenerative properties of a patient’s own skin. The Company’s lead product is the RECELL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System, a device that enables healthcare professionals to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sample of the patient’s own skin to create an autologous suspension. The RES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Regenerative Epidermal Suspension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then sprayed onto the areas of the patient requiring treatment to regenerate natural healthy epidermis.</w:t>
      </w:r>
    </w:p>
    <w:p>
      <w:pPr>
        <w:spacing w:after="0" w:line="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AVITA Medicals’ first U.S. product, the RECELL System, was approved by the U.S. Food and Drug Administration (FDA) in September 2018. The RECELL System is approved for acute partial-thickness thermal burn wounds in patients 18 years of age and older or application in combination with meshed autografting for acute full-thickness thermal burn wounds in pediatric and adult patients. In February 2022, the FDA reviewed and approved the PMA supplement for RECELL Autologous Cell Harvesting Device, an enhanced RECELL System aimed at providing clinicians a more efficient user experience and simplified workflow.</w:t>
      </w:r>
    </w:p>
    <w:p>
      <w:pPr>
        <w:spacing w:after="0" w:line="183"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The RECELL System is used to prepare Spray-On Skin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15,000 patients globally, reinforce that the RECELL System is a significant advancement over the current standard of care for burn patients and offers benefits in clinical outcomes and cost savings. Healthcare professionals should read the INSTRUCTIONS FOR USE—RECELL Autologous Cell Harvesting Device (</w:t>
      </w:r>
      <w:r>
        <w:rPr>
          <w:rFonts w:ascii="Times New Roman" w:cs="Times New Roman" w:eastAsia="Times New Roman" w:hAnsi="Times New Roman"/>
          <w:sz w:val="18"/>
          <w:szCs w:val="18"/>
          <w:u w:val="single" w:color="auto"/>
          <w:color w:val="auto"/>
        </w:rPr>
        <w:t>https://recellsystem.com/</w:t>
      </w:r>
      <w:r>
        <w:rPr>
          <w:rFonts w:ascii="Times New Roman" w:cs="Times New Roman" w:eastAsia="Times New Roman" w:hAnsi="Times New Roman"/>
          <w:sz w:val="18"/>
          <w:szCs w:val="18"/>
          <w:color w:val="auto"/>
        </w:rPr>
        <w:t>) for a full description of indications for use and important safety information including contraindications, warnings, and precautions.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ectPr>
          <w:pgSz w:w="11900" w:h="16838" w:orient="portrait"/>
          <w:cols w:equalWidth="0" w:num="1">
            <w:col w:w="11000"/>
          </w:cols>
          <w:pgMar w:left="440" w:top="270" w:right="459" w:bottom="1440" w:gutter="0" w:footer="0" w:header="0"/>
        </w:sectPr>
      </w:pPr>
    </w:p>
    <w:bookmarkStart w:id="12" w:name="page13"/>
    <w:bookmarkEnd w:id="12"/>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international markets, our products are approved under the RECELL System brand to promote skin healing in a wide range of applications including burns, chronic wounds, and aesthetics. The RECELL System is TGA-registered in Australia, received CE-mark approval in Europe, and received Japan’s Pharmaceuticals and Medical Devices Act (PMDA) approval for burns in Japan.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and realization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This press release was authorized by the review committee of AVITA Medical,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ectPr>
          <w:pgSz w:w="11900" w:h="16838" w:orient="portrait"/>
          <w:cols w:equalWidth="0" w:num="1">
            <w:col w:w="10960"/>
          </w:cols>
          <w:pgMar w:left="440" w:top="270" w:right="499" w:bottom="1440" w:gutter="0" w:footer="0" w:header="0"/>
        </w:sectPr>
      </w:pPr>
    </w:p>
    <w:bookmarkStart w:id="13" w:name="page14"/>
    <w:bookmarkEnd w:id="13"/>
    <w:p>
      <w:pPr>
        <w:ind w:left="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FURTHER INFORMATION:</w:t>
      </w:r>
    </w:p>
    <w:p>
      <w:pPr>
        <w:sectPr>
          <w:pgSz w:w="11900" w:h="16838" w:orient="portrait"/>
          <w:cols w:equalWidth="0" w:num="1">
            <w:col w:w="11024"/>
          </w:cols>
          <w:pgMar w:left="436" w:top="266" w:right="439" w:bottom="1440" w:gutter="0" w:footer="0" w:header="0"/>
        </w:sectPr>
      </w:pP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U.S.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Sam Brown,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Christy Curran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Phone +1-615-414-8668</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christycurran@sambrown.com</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Westwicke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Corner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+1-415-202-5678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caroline.corner@westwicke.com</w:t>
      </w:r>
    </w:p>
    <w:p>
      <w:pPr>
        <w:spacing w:after="0" w:line="200" w:lineRule="exact"/>
        <w:rPr>
          <w:sz w:val="20"/>
          <w:szCs w:val="20"/>
          <w:color w:val="auto"/>
        </w:rPr>
      </w:pPr>
    </w:p>
    <w:p>
      <w:pPr>
        <w:sectPr>
          <w:pgSz w:w="11900" w:h="16838" w:orient="portrait"/>
          <w:cols w:equalWidth="0" w:num="2">
            <w:col w:w="5024" w:space="720"/>
            <w:col w:w="5280"/>
          </w:cols>
          <w:pgMar w:left="436" w:top="266" w:right="439" w:bottom="1440" w:gutter="0" w:footer="0" w:header="0"/>
          <w:type w:val="continuous"/>
        </w:sectPr>
      </w:pPr>
    </w:p>
    <w:p>
      <w:pPr>
        <w:spacing w:after="0" w:line="4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O.U.S.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Rudi Michelson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Phone +61 (0)3 9620 3333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Mobile +61 (0)411 402 737</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rudim@monsoon.com.au</w:t>
      </w:r>
    </w:p>
    <w:p>
      <w:pPr>
        <w:sectPr>
          <w:pgSz w:w="11900" w:h="16838" w:orient="portrait"/>
          <w:cols w:equalWidth="0" w:num="1">
            <w:col w:w="11024"/>
          </w:cols>
          <w:pgMar w:left="436" w:top="266" w:right="439" w:bottom="1440" w:gutter="0" w:footer="0" w:header="0"/>
          <w:type w:val="continuous"/>
        </w:sectPr>
      </w:pP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PR 08082022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right="400" w:hanging="424"/>
        <w:spacing w:after="0" w:line="208"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Ter Horst B, Chouhan G, Moiemen NS, Grover LM. Advances in keratinocyte delivery in burn wound care. Advanced drug delivery reviews. 2018 Jan 1; 123:18-32.</w:t>
      </w:r>
    </w:p>
    <w:p>
      <w:pPr>
        <w:spacing w:after="0" w:line="1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AVITA Medical Inc, 28159 Avenue Stanford, Valencia, CA 91355</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4</w:t>
      </w:r>
    </w:p>
    <w:sectPr>
      <w:pgSz w:w="11900" w:h="16838" w:orient="portrait"/>
      <w:cols w:equalWidth="0" w:num="1">
        <w:col w:w="11024"/>
      </w:cols>
      <w:pgMar w:left="436" w:top="26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2022-08-13T12:31:01Z</dcterms:created>
  <dcterms:modified xsi:type="dcterms:W3CDTF">2022-08-13T12:31:01Z</dcterms:modified>
</cp:coreProperties>
</file>