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157480</wp:posOffset>
            </wp:positionV>
            <wp:extent cx="1251585" cy="5829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582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AVITA MEDICAL LTD.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Level 7, 330 Collins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Melbourne VIC 3000 Australia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September 26, 2019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VIA EDGAR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4"/>
        <w:spacing w:after="0"/>
        <w:tabs>
          <w:tab w:leader="none" w:pos="40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Avita Medical Limited (CIK No. 0001762303)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Registration Statement on Form 20-F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Initially Submitted July 19, 2019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001-39059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" w:right="80" w:firstLine="44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461 promulgated under the Securities Act of 1933, as amended (the “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Act</w:t>
      </w:r>
      <w:r>
        <w:rPr>
          <w:rFonts w:ascii="Arial" w:cs="Arial" w:eastAsia="Arial" w:hAnsi="Arial"/>
          <w:sz w:val="18"/>
          <w:szCs w:val="18"/>
          <w:color w:val="auto"/>
        </w:rPr>
        <w:t>”), Avita Medical Limited (the “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 hereby respectfully requests acceleration of the effective date of the Company’s registration statement on Form 20-F, initially submitted to the U.S. Securities and Exchange Commission (the “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</w:t>
      </w:r>
      <w:r>
        <w:rPr>
          <w:rFonts w:ascii="Arial" w:cs="Arial" w:eastAsia="Arial" w:hAnsi="Arial"/>
          <w:sz w:val="18"/>
          <w:szCs w:val="18"/>
          <w:color w:val="auto"/>
        </w:rPr>
        <w:t>”) on July 19, 2019 and filed with the Commission on September 19, 2019 (as amended, the “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20-F Registration Statement</w:t>
      </w:r>
      <w:r>
        <w:rPr>
          <w:rFonts w:ascii="Arial" w:cs="Arial" w:eastAsia="Arial" w:hAnsi="Arial"/>
          <w:sz w:val="18"/>
          <w:szCs w:val="18"/>
          <w:color w:val="auto"/>
        </w:rPr>
        <w:t>”), so that it may become effective at 4:00 p.m., Eastern Time, on September 27, 2019, or as soon thereafter as practicable.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left="4" w:right="240" w:firstLine="4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 understands that The Bank of New York Mellon, as Depositary, has requested that the registration statement on Form F-6, submitted to the Commission on September 19, 2019 (File No.: 333-233853) be declared effective concurrently with the 20-F Registration Statement, and pursuant to Rule 461 promulgated under the Securities Act, the Company concurs with that request.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" w:right="60" w:firstLine="44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Should any member of the staff of the Commission have any questions or comments with respect to this request, please contact me at 661-367-9161 or via e-mail at troony@avitamedical.com or our outside legal counsel from K&amp;L Gates, LLP, Christopher Cunningham at 206-370-7639 or via email at chris.cunningham@klgates.com. The Company hereby authorizes each of Mr. Rooney and Mr. Cunningham (and either one of them) to orally modify or withdraw this request for acceleration.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Respectfully,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Avita Medical Limited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tbl>
      <w:tblPr>
        <w:tblLayout w:type="fixed"/>
        <w:tblInd w:w="662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38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Timothy Rooney</w:t>
            </w:r>
          </w:p>
        </w:tc>
      </w:tr>
      <w:tr>
        <w:trPr>
          <w:trHeight w:val="195"/>
        </w:trPr>
        <w:tc>
          <w:tcPr>
            <w:tcW w:w="52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Name:</w:t>
            </w:r>
          </w:p>
        </w:tc>
        <w:tc>
          <w:tcPr>
            <w:tcW w:w="3880" w:type="dxa"/>
            <w:vAlign w:val="bottom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Timothy Rooney</w:t>
            </w:r>
          </w:p>
        </w:tc>
      </w:tr>
      <w:tr>
        <w:trPr>
          <w:trHeight w:val="230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Acting Chief Financial Officer</w:t>
            </w:r>
          </w:p>
        </w:tc>
      </w:tr>
    </w:tbl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44" w:right="7400" w:hanging="444"/>
        <w:spacing w:after="0" w:line="277" w:lineRule="auto"/>
        <w:tabs>
          <w:tab w:leader="none" w:pos="436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Christopher Cunningham (K&amp;L Gates LLP) Jonathan Miner (K&amp;L Gates LLP)</w:t>
      </w:r>
    </w:p>
    <w:sectPr>
      <w:pgSz w:w="11900" w:h="16838" w:orient="portrait"/>
      <w:cols w:equalWidth="0" w:num="1">
        <w:col w:w="11024"/>
      </w:cols>
      <w:pgMar w:left="436" w:top="1367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2020-10-08T00:07:49Z</dcterms:created>
  <dcterms:modified xsi:type="dcterms:W3CDTF">2020-10-08T00:07:49Z</dcterms:modified>
</cp:coreProperties>
</file>