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90170</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81280</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06" w:lineRule="exact"/>
        <w:rPr>
          <w:sz w:val="24"/>
          <w:szCs w:val="24"/>
          <w:color w:val="auto"/>
        </w:rPr>
      </w:pPr>
    </w:p>
    <w:p>
      <w:pPr>
        <w:spacing w:after="0" w:line="207" w:lineRule="exact"/>
        <w:tabs>
          <w:tab w:leader="none" w:pos="1820" w:val="left"/>
          <w:tab w:leader="none" w:pos="3360" w:val="left"/>
          <w:tab w:leader="none" w:pos="65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2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32"/>
          <w:szCs w:val="32"/>
          <w:b w:val="1"/>
          <w:bCs w:val="1"/>
          <w:color w:val="auto"/>
        </w:rPr>
        <w:t>AVITA MEDICAL, INC.</w:t>
      </w:r>
    </w:p>
    <w:p>
      <w:pPr>
        <w:spacing w:after="0" w:line="4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90170</wp:posOffset>
            </wp:positionV>
            <wp:extent cx="332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111760</wp:posOffset>
            </wp:positionV>
            <wp:extent cx="6849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283210</wp:posOffset>
            </wp:positionV>
            <wp:extent cx="684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454660</wp:posOffset>
            </wp:positionV>
            <wp:extent cx="6849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634365</wp:posOffset>
            </wp:positionV>
            <wp:extent cx="6849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805815</wp:posOffset>
            </wp:positionV>
            <wp:extent cx="6849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986155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9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94055" cy="840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4055" cy="840105"/>
                    </a:xfrm>
                    <a:prstGeom prst="rect">
                      <a:avLst/>
                    </a:prstGeom>
                    <a:noFill/>
                  </pic:spPr>
                </pic:pic>
              </a:graphicData>
            </a:graphic>
          </wp:anchor>
        </w:drawing>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AVITA Medical, Inc.:</w:t>
      </w:r>
    </w:p>
    <w:p>
      <w:pPr>
        <w:spacing w:after="0" w:line="22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AVITA Medical, Inc. (the “Company”), a Delaware corporation, will be held on June 3, 2026, at 3:00 p.m. Pacific Daylight Time (being June 4, 2026, at 8:00 a.m. Australian Eastern Standard Time). The Annual Meeting will be held solely by means of remote communication via live webcast at meetnow.global/M6X5GPQ for the following purposes:</w:t>
      </w:r>
    </w:p>
    <w:p>
      <w:pPr>
        <w:spacing w:after="0" w:line="180" w:lineRule="exact"/>
        <w:rPr>
          <w:sz w:val="20"/>
          <w:szCs w:val="20"/>
          <w:color w:val="auto"/>
        </w:rPr>
      </w:pPr>
    </w:p>
    <w:p>
      <w:pPr>
        <w:ind w:left="900" w:right="320" w:hanging="44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To elect seven directors to serve for one-year terms on the Company’s board of directors (the “Board”) or until their respective successors have been duly elected and qualified;</w:t>
      </w:r>
    </w:p>
    <w:p>
      <w:pPr>
        <w:spacing w:after="0" w:line="161" w:lineRule="exact"/>
        <w:rPr>
          <w:rFonts w:ascii="Times New Roman" w:cs="Times New Roman" w:eastAsia="Times New Roman" w:hAnsi="Times New Roman"/>
          <w:sz w:val="18"/>
          <w:szCs w:val="18"/>
          <w:color w:val="auto"/>
        </w:rPr>
      </w:pPr>
    </w:p>
    <w:p>
      <w:pPr>
        <w:ind w:left="900" w:right="240" w:hanging="44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To ratify the appointment of Grant Thornton LLP as the Company’s independent registered public accounting firm for the fiscal year ending December 31, 2026;</w:t>
      </w:r>
    </w:p>
    <w:p>
      <w:pPr>
        <w:spacing w:after="0" w:line="188" w:lineRule="exact"/>
        <w:rPr>
          <w:rFonts w:ascii="Times New Roman" w:cs="Times New Roman" w:eastAsia="Times New Roman" w:hAnsi="Times New Roman"/>
          <w:sz w:val="18"/>
          <w:szCs w:val="18"/>
          <w:color w:val="auto"/>
        </w:rPr>
      </w:pPr>
    </w:p>
    <w:p>
      <w:pPr>
        <w:ind w:left="900" w:right="120" w:hanging="443"/>
        <w:spacing w:after="0" w:line="26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approve, for the purposes of ASX Listing Rule 10.17 of the Australian Securities Exchange (the “ASX”) and the Company’s Amended and Restated Bylaws (the “Company’s Bylaws”) and for all other purposes, that the maximum aggregate annual cash fee pool from which the non-executive Directors of the Company may be paid for their services on the Board be increased from US$750,000 per annum to US$900,000 per annum;</w:t>
      </w:r>
    </w:p>
    <w:p>
      <w:pPr>
        <w:spacing w:after="0" w:line="179" w:lineRule="exact"/>
        <w:rPr>
          <w:rFonts w:ascii="Times New Roman" w:cs="Times New Roman" w:eastAsia="Times New Roman" w:hAnsi="Times New Roman"/>
          <w:sz w:val="18"/>
          <w:szCs w:val="18"/>
          <w:color w:val="auto"/>
        </w:rPr>
      </w:pPr>
    </w:p>
    <w:p>
      <w:pPr>
        <w:ind w:left="900" w:right="60" w:hanging="44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To approve the grant of 22,214 restricted stock units to acquire shares of the Company’s common stock (“Common Stock”) and the grant of 16,133 options to acquire shares of Common Stock to Suzanne Crowe on the terms and conditions set out in this Proxy Statement, pursuant to and for the purposes of ASX Listing Rule 10.11;</w:t>
      </w:r>
    </w:p>
    <w:p>
      <w:pPr>
        <w:spacing w:after="0" w:line="202" w:lineRule="exact"/>
        <w:rPr>
          <w:rFonts w:ascii="Times New Roman" w:cs="Times New Roman" w:eastAsia="Times New Roman" w:hAnsi="Times New Roman"/>
          <w:sz w:val="18"/>
          <w:szCs w:val="18"/>
          <w:color w:val="auto"/>
        </w:rPr>
      </w:pPr>
    </w:p>
    <w:p>
      <w:pPr>
        <w:ind w:left="900" w:hanging="44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To approve the grant of 22,214 restricted stock units to acquire shares of Common Stock and the grant of 16,133 options to acquire shares of Common Stock to Jeremy Curnock Cook on the terms and conditions set out in this Proxy Statement, pursuant to and for the purposes of ASX Listing Rule 10.11;</w:t>
      </w:r>
    </w:p>
    <w:p>
      <w:pPr>
        <w:spacing w:after="0" w:line="202" w:lineRule="exact"/>
        <w:rPr>
          <w:rFonts w:ascii="Times New Roman" w:cs="Times New Roman" w:eastAsia="Times New Roman" w:hAnsi="Times New Roman"/>
          <w:sz w:val="18"/>
          <w:szCs w:val="18"/>
          <w:color w:val="auto"/>
        </w:rPr>
      </w:pPr>
    </w:p>
    <w:p>
      <w:pPr>
        <w:jc w:val="both"/>
        <w:ind w:left="900" w:hanging="44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To approve the grant of 22,214 restricted stock units to acquire shares of Common Stock and the grant of 16,133 options to acquire shares of Common Stock to Robert McNamara on the terms and conditions set out in this Proxy Statement, pursuant to and for the purposes of ASX Listing Rule 10.11;</w:t>
      </w:r>
    </w:p>
    <w:p>
      <w:pPr>
        <w:spacing w:after="0" w:line="175" w:lineRule="exact"/>
        <w:rPr>
          <w:rFonts w:ascii="Times New Roman" w:cs="Times New Roman" w:eastAsia="Times New Roman" w:hAnsi="Times New Roman"/>
          <w:sz w:val="18"/>
          <w:szCs w:val="18"/>
          <w:color w:val="auto"/>
        </w:rPr>
      </w:pPr>
    </w:p>
    <w:p>
      <w:pPr>
        <w:ind w:left="900" w:hanging="44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To approve the grant of 22,214 restricted stock units to acquire shares of Common Stock and the grant of 16,133 options to acquire shares of Common Stock to Jan Stern Reed on the terms and conditions set out in this Proxy Statement, pursuant to and for the purposes of ASX Listing Rule 10.11;</w:t>
      </w:r>
    </w:p>
    <w:p>
      <w:pPr>
        <w:spacing w:after="0" w:line="175" w:lineRule="exact"/>
        <w:rPr>
          <w:rFonts w:ascii="Times New Roman" w:cs="Times New Roman" w:eastAsia="Times New Roman" w:hAnsi="Times New Roman"/>
          <w:sz w:val="18"/>
          <w:szCs w:val="18"/>
          <w:color w:val="auto"/>
        </w:rPr>
      </w:pPr>
    </w:p>
    <w:p>
      <w:pPr>
        <w:ind w:left="900" w:hanging="443"/>
        <w:spacing w:after="0" w:line="26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To approve the grant of 26,250 restricted stock units to acquire shares of Common Stock and the grant of 19,063 options to acquire shares of Common Stock to Dr. Michael Tarnoff on the terms and conditions set out in this Proxy Statement, pursuant to and for the purposes of ASX Listing Rule 10.11, in recognition of Dr. Tarnoff being appointed as a new non-executive Director of the Board effective August 6, 2025;</w:t>
      </w:r>
    </w:p>
    <w:p>
      <w:pPr>
        <w:spacing w:after="0" w:line="206" w:lineRule="exact"/>
        <w:rPr>
          <w:rFonts w:ascii="Times New Roman" w:cs="Times New Roman" w:eastAsia="Times New Roman" w:hAnsi="Times New Roman"/>
          <w:sz w:val="18"/>
          <w:szCs w:val="18"/>
          <w:color w:val="auto"/>
        </w:rPr>
      </w:pPr>
    </w:p>
    <w:p>
      <w:pPr>
        <w:ind w:left="900" w:hanging="44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9: To approve the grant of 22,214 restricted stock units to acquire shares of Common Stock and the grant of 16,133 options to acquire shares of Common Stock to Dr. Michael Tarnoff on the terms and conditions set out in this Proxy Statement, pursuant to and for the purposes of ASX Listing Rule 10.11;</w:t>
      </w:r>
    </w:p>
    <w:p>
      <w:pPr>
        <w:spacing w:after="0" w:line="202" w:lineRule="exact"/>
        <w:rPr>
          <w:rFonts w:ascii="Times New Roman" w:cs="Times New Roman" w:eastAsia="Times New Roman" w:hAnsi="Times New Roman"/>
          <w:sz w:val="18"/>
          <w:szCs w:val="18"/>
          <w:color w:val="auto"/>
        </w:rPr>
      </w:pPr>
    </w:p>
    <w:p>
      <w:pPr>
        <w:ind w:left="900" w:right="320" w:hanging="443"/>
        <w:spacing w:after="0" w:line="26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10: To approve the grant of 40,547 restricted stock units to acquire shares of Common Stock and the grant of 29,446 options to acquire shares of Common Stock to Joseph Woody on the terms and conditions set out in this Proxy Statement, pursuant to and for the purposes of ASX Listing Rule 10.11, in recognition of Mr. Woody being appointed as a new non-executive Director of the Board effective January 1, 2026;</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left="900" w:right="52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11: To approve the grant of 22,214 restricted stock units to acquire shares of Common Stock and the grant of 16,133 options to acquire shares of Common Stock to Joseph Woody on the terms and conditions set out in this Proxy Statement, pursuant to and for the purposes of ASX Listing Rule 10.11;</w:t>
      </w:r>
    </w:p>
    <w:p>
      <w:pPr>
        <w:spacing w:after="0" w:line="175"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12: To approve, on an advisory basis, the compensation of our named executive officers;</w:t>
      </w:r>
    </w:p>
    <w:p>
      <w:pPr>
        <w:spacing w:after="0" w:line="225"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13: To approve, on an advisory basis, the frequency of future advisory votes on executive compensation;</w:t>
      </w:r>
    </w:p>
    <w:p>
      <w:pPr>
        <w:spacing w:after="0" w:line="225" w:lineRule="exact"/>
        <w:rPr>
          <w:rFonts w:ascii="Times New Roman" w:cs="Times New Roman" w:eastAsia="Times New Roman" w:hAnsi="Times New Roman"/>
          <w:sz w:val="18"/>
          <w:szCs w:val="18"/>
          <w:color w:val="auto"/>
        </w:rPr>
      </w:pPr>
    </w:p>
    <w:p>
      <w:pPr>
        <w:ind w:left="900" w:right="40" w:hanging="443"/>
        <w:spacing w:after="0" w:line="26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14: To approve, for the purpose of ASX Listing Rule 7.1 and all other purposes, the issuance of a warrant or warrants covering up to 650,000 shares of Common Stock, with a term of ten years (the “Warrants”), to Perceptive Credit Holdings V, LP (“Perceptive”), pursuant to the Credit Agreement between the Company and Perceptive, dated January 13, 2026 (the “Credit Agreement”), on the terms and conditions set forth in this Proxy Statement; and</w:t>
      </w:r>
    </w:p>
    <w:p>
      <w:pPr>
        <w:spacing w:after="0" w:line="179" w:lineRule="exact"/>
        <w:rPr>
          <w:rFonts w:ascii="Times New Roman" w:cs="Times New Roman" w:eastAsia="Times New Roman" w:hAnsi="Times New Roman"/>
          <w:sz w:val="18"/>
          <w:szCs w:val="18"/>
          <w:color w:val="auto"/>
        </w:rPr>
      </w:pPr>
    </w:p>
    <w:p>
      <w:pPr>
        <w:ind w:left="900" w:right="4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15 (as a special resolution, in accordance with ASX Listing Rule 7.1A): To approve, for the purpose of ASX Listing Rule 7.1A and all other purposes, the issue of Equity Securities (as defined in ASX Listing Rule 19.2) up to 10% of the issued capital (at the time of issuance) of the Company, calculated in accordance with ASX Listing Rule 7.1A.2, and on the terms and conditions set forth in this Proxy Statement.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also transact such other business as may properly come before the Annual Meeting or any adjournment or postponement thereof.</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April 9, 2026 as the record date (the “Record Date”) for the Annual Meeting. Holders of Common Stock, as of the Record Date, and holders of the Company's CHESS Depositary Interests (“CDIs”) as of the Australian Record Date (as defined below), are entitled to receive notice of, and to submit a vote, as applicable, for the Annual Meeting or any adjournment or adjournments thereof.</w:t>
      </w:r>
    </w:p>
    <w:p>
      <w:pPr>
        <w:spacing w:after="0" w:line="17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Whether or not you plan to attend the Annual Meeting, please submit your proxy or voting instructions as soon as possible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ensure your shares are represented. For voting instructions and other important information, please read the </w:t>
      </w:r>
      <w:r>
        <w:rPr>
          <w:rFonts w:ascii="Times New Roman" w:cs="Times New Roman" w:eastAsia="Times New Roman" w:hAnsi="Times New Roman"/>
          <w:sz w:val="18"/>
          <w:szCs w:val="18"/>
          <w:u w:val="single" w:color="auto"/>
          <w:color w:val="0000FF"/>
        </w:rPr>
        <w:t>General Information and Voting Instructions</w:t>
      </w:r>
      <w:r>
        <w:rPr>
          <w:rFonts w:ascii="Times New Roman" w:cs="Times New Roman" w:eastAsia="Times New Roman" w:hAnsi="Times New Roman"/>
          <w:sz w:val="18"/>
          <w:szCs w:val="18"/>
          <w:color w:val="auto"/>
        </w:rPr>
        <w:t xml:space="preserve"> section in this Proxy Statement for further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-177165</wp:posOffset>
            </wp:positionV>
            <wp:extent cx="204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all references to currency above and throughout the Proxy Statement are in U.S. dollars, unless otherwise indicated.</w:t>
      </w: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Nicole Kelsey</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Nicole Kelsey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-127635</wp:posOffset>
            </wp:positionV>
            <wp:extent cx="31629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Legal and Compliance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1071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29" w:lineRule="exact"/>
        <w:rPr>
          <w:sz w:val="20"/>
          <w:szCs w:val="20"/>
          <w:color w:val="auto"/>
        </w:rPr>
      </w:pPr>
    </w:p>
    <w:p>
      <w:pPr>
        <w:ind w:left="100" w:right="100"/>
        <w:spacing w:after="0" w:line="282" w:lineRule="auto"/>
        <w:rPr>
          <w:sz w:val="20"/>
          <w:szCs w:val="20"/>
          <w:color w:val="auto"/>
        </w:rPr>
      </w:pPr>
      <w:r>
        <w:rPr>
          <w:rFonts w:ascii="Times New Roman" w:cs="Times New Roman" w:eastAsia="Times New Roman" w:hAnsi="Times New Roman"/>
          <w:sz w:val="18"/>
          <w:szCs w:val="18"/>
          <w:color w:val="auto"/>
        </w:rPr>
        <w:t>The Notice of Annual Meeting of Stockholders, Proxy Statement, and Annual Report on Form 10-K for the year ended December 31, 2025, are available at www.edocumentview.com/RCEL</w:t>
      </w:r>
      <w:r>
        <w:rPr>
          <w:rFonts w:ascii="Times New Roman" w:cs="Times New Roman" w:eastAsia="Times New Roman" w:hAnsi="Times New Roman"/>
          <w:sz w:val="18"/>
          <w:szCs w:val="18"/>
          <w:i w:val="1"/>
          <w:iCs w:val="1"/>
          <w:color w:val="auto"/>
        </w:rPr>
        <w:t>.</w:t>
      </w:r>
    </w:p>
    <w:p>
      <w:pPr>
        <w:spacing w:after="0" w:line="54" w:lineRule="exact"/>
        <w:rPr>
          <w:sz w:val="20"/>
          <w:szCs w:val="20"/>
          <w:color w:val="auto"/>
        </w:rPr>
      </w:pPr>
    </w:p>
    <w:p>
      <w:pPr>
        <w:ind w:left="100" w:right="320"/>
        <w:spacing w:after="0" w:line="266"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please promptly submit your proxy or voting instructions to ensure that your shares are represented. For detailed instructions on how to vote your shares, please refer to the </w:t>
      </w:r>
      <w:r>
        <w:rPr>
          <w:rFonts w:ascii="Times New Roman" w:cs="Times New Roman" w:eastAsia="Times New Roman" w:hAnsi="Times New Roman"/>
          <w:sz w:val="18"/>
          <w:szCs w:val="18"/>
          <w:u w:val="single" w:color="auto"/>
          <w:color w:val="0000FF"/>
        </w:rPr>
        <w:t>General Information and Voting Instructions</w:t>
      </w:r>
      <w:r>
        <w:rPr>
          <w:rFonts w:ascii="Times New Roman" w:cs="Times New Roman" w:eastAsia="Times New Roman" w:hAnsi="Times New Roman"/>
          <w:sz w:val="18"/>
          <w:szCs w:val="18"/>
          <w:color w:val="auto"/>
        </w:rPr>
        <w:t xml:space="preserve">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10580" w:type="dxa"/>
            <w:vAlign w:val="bottom"/>
            <w:gridSpan w:val="42"/>
          </w:tcPr>
          <w:p>
            <w:pPr>
              <w:spacing w:after="0" w:line="176" w:lineRule="exact"/>
              <w:rPr>
                <w:sz w:val="20"/>
                <w:szCs w:val="20"/>
                <w:color w:val="auto"/>
              </w:rPr>
            </w:pPr>
            <w:r>
              <w:rPr>
                <w:rFonts w:ascii="Times New Roman" w:cs="Times New Roman" w:eastAsia="Times New Roman" w:hAnsi="Times New Roman"/>
                <w:sz w:val="18"/>
                <w:szCs w:val="18"/>
                <w:color w:val="0000FF"/>
              </w:rPr>
              <w:t>GENERAL INFORMATION AND VOTING INSTRUCTIONS</w:t>
            </w:r>
          </w:p>
        </w:tc>
        <w:tc>
          <w:tcPr>
            <w:tcW w:w="5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rPr>
              <w:t>Professional Experience</w:t>
            </w:r>
          </w:p>
        </w:tc>
        <w:tc>
          <w:tcPr>
            <w:tcW w:w="7140" w:type="dxa"/>
            <w:vAlign w:val="bottom"/>
            <w:gridSpan w:val="22"/>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Director Independence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Committee Table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Audit Committee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Human Capital and Compensation Committee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Nominating and Corporate Governance Committee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Process for Nominating Potential Director Candidates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Board Meetings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Director Attendance at Annual Meeting of Stockholders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Prohibition on Short Selling, Hedging Transactions and Short-Term Trading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Risk Oversight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Cybersecurity Risk Management and Strategy</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Disclosure of Management’s Responsibility</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Disclosure of the Board’s Responsibility</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Stockholder and Interested Party Communications with Directors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6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PROPOSAL 2: RATIFICATION OF INDEPENDENT REGISTERED PUBLIC ACCOUNTING FIRM</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704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Audit and Other Fees</w:t>
            </w:r>
          </w:p>
        </w:tc>
        <w:tc>
          <w:tcPr>
            <w:tcW w:w="40" w:type="dxa"/>
            <w:vAlign w:val="bottom"/>
            <w:tcBorders>
              <w:top w:val="single" w:sz="8" w:color="0000EE"/>
            </w:tcBorders>
          </w:tcPr>
          <w:p>
            <w:pPr>
              <w:spacing w:after="0"/>
              <w:rPr>
                <w:sz w:val="18"/>
                <w:szCs w:val="18"/>
                <w:color w:val="auto"/>
              </w:rPr>
            </w:pPr>
          </w:p>
        </w:tc>
        <w:tc>
          <w:tcPr>
            <w:tcW w:w="3000" w:type="dxa"/>
            <w:vAlign w:val="bottom"/>
            <w:gridSpan w:val="5"/>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Pre-Approval Practice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26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CERTAIN INFORMATION ABOUT OUR COMMON STOCK</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9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Compensation Principles</w:t>
            </w:r>
          </w:p>
        </w:tc>
        <w:tc>
          <w:tcPr>
            <w:tcW w:w="8100" w:type="dxa"/>
            <w:vAlign w:val="bottom"/>
            <w:gridSpan w:val="27"/>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Outstanding Equity Awards at Fiscal Year End</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Employment Contracts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Separation and Release Agreement with James Corbett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PROPOSAL 3: APPROVAL OF AN INCREASE TO MAXIMUM AGGREGATE ANNUAL CASH FEE POOL FROM WHICH THE NON-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60" w:type="dxa"/>
            <w:vAlign w:val="bottom"/>
            <w:tcBorders>
              <w:top w:val="single" w:sz="8" w:color="0000FF"/>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EXECUTIVE DIRECTORS OF THE COMPANY MAY BE PAID</w:t>
            </w:r>
          </w:p>
        </w:tc>
        <w:tc>
          <w:tcPr>
            <w:tcW w:w="2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1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PROPOSALS 4 – 11: APPROVAL OF THE GRANTS OF OPTIONS AND RSUs TO NON-EXECUTIVE DIRECTORS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1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PROPOSAL 12: ADVISORY VOTE ON OUR NAMED EXECUTIVE OFFICER COMPENSATION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1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PROPOSAL 13: ADVISORY VOTE ON THE FREQUENCY TO APPROVE EXECUTIVE COMPENSATION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1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734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PROPOSAL 14: APPROVAL OF THE AGREEMENT TO ISSUE A WARRANT OR WARRANTS</w:t>
            </w:r>
          </w:p>
        </w:tc>
        <w:tc>
          <w:tcPr>
            <w:tcW w:w="3240" w:type="dxa"/>
            <w:vAlign w:val="bottom"/>
            <w:gridSpan w:val="8"/>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ANNUAL REPORT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EE"/>
            </w:tcBorders>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REQUIREMENTS FOR STOCKHOLDER PROPOSALS TO BE BROUGHT BEFORE THE 2026 ANNUAL MEETING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EE"/>
          </w:tcPr>
          <w:p>
            <w:pPr>
              <w:spacing w:after="0" w:line="20" w:lineRule="exact"/>
              <w:rPr>
                <w:sz w:val="1"/>
                <w:szCs w:val="1"/>
                <w:color w:val="auto"/>
              </w:rPr>
            </w:pPr>
          </w:p>
        </w:tc>
        <w:tc>
          <w:tcPr>
            <w:tcW w:w="1940" w:type="dxa"/>
            <w:vAlign w:val="bottom"/>
            <w:gridSpan w:val="1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128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10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gridSpan w:val="1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EE"/>
          </w:tcPr>
          <w:p>
            <w:pPr>
              <w:spacing w:after="0" w:line="20" w:lineRule="exact"/>
              <w:rPr>
                <w:sz w:val="1"/>
                <w:szCs w:val="1"/>
                <w:color w:val="auto"/>
              </w:rPr>
            </w:pPr>
          </w:p>
        </w:tc>
        <w:tc>
          <w:tcPr>
            <w:tcW w:w="1940" w:type="dxa"/>
            <w:vAlign w:val="bottom"/>
            <w:gridSpan w:val="1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HOUSEHOLDING OF ANNUAL MEETING MATERIALS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tcBorders>
              <w:right w:val="single" w:sz="8" w:color="0000FF"/>
            </w:tcBorders>
            <w:gridSpan w:val="19"/>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tcBorders>
              <w:right w:val="single" w:sz="8" w:color="0000EE"/>
            </w:tcBorders>
            <w:gridSpan w:val="19"/>
            <w:shd w:val="clear" w:color="auto" w:fill="0000FF"/>
          </w:tcPr>
          <w:p>
            <w:pPr>
              <w:spacing w:after="0" w:line="20" w:lineRule="exact"/>
              <w:rPr>
                <w:sz w:val="1"/>
                <w:szCs w:val="1"/>
                <w:color w:val="auto"/>
              </w:rPr>
            </w:pPr>
          </w:p>
        </w:tc>
        <w:tc>
          <w:tcPr>
            <w:tcW w:w="6720" w:type="dxa"/>
            <w:vAlign w:val="bottom"/>
            <w:tcBorders>
              <w:left w:val="single" w:sz="8" w:color="0000EE"/>
            </w:tcBorders>
            <w:gridSpan w:val="1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10"/>
        </w:trPr>
        <w:tc>
          <w:tcPr>
            <w:tcW w:w="10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ANNEXURE A</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34365" cy="754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34365" cy="754380"/>
                    </a:xfrm>
                    <a:prstGeom prst="rect">
                      <a:avLst/>
                    </a:prstGeom>
                    <a:noFill/>
                  </pic:spPr>
                </pic:pic>
              </a:graphicData>
            </a:graphic>
          </wp:anchor>
        </w:drawing>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of Directors (the “Board” or the “Board of Directors”) of AVITA Medical, Inc. (“AVITA Medical,” “we”, “us”, or the “Company”) for use at the 2026 Annual Meeting of Stockholders (the “Annual Meeting”), to be held on June 3, 2026, at 3:00 p.m. Pacific Daylight Time (being June 4, 2026, at 8:00 a.m. Australian Eastern Standard Time (“AEST”)), solely by means of remote communication via live webcast at meetnow.global/M6X5GPQ.</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AVITA Medical is listed on both the Nasdaq Stock Market LLC (“Nasdaq”) and the Australian Securities Exchange (“ASX”). This Proxy Statement is intended for all stockholders, including holders of the Company's common stock (“Common Stock”) and holders of CHESS Depositary Interests (“CDIs”) traded on the ASX.</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Proxy Statement contains information about the matters to be considered at the Annual Meeting or any adjournment or postponement thereof. The Company will bear the cost of solicitation of proxies. In addition to solicitation by mail, the Company's directors, officers, and regular employees may solicit proxies in person, by telephone, or via other means of communication without additional compensation. Brokerage houses, banks and other custodians, nominees, and fiduciaries will be reimbursed for out-of-pocket and reasonable expenses incurred in forwarding proxies and proxy statements.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9, 2026 as the record date (the “Record Date”) to determine those holders of record of shares of Common Stock who are entitled to notice of, and to electronically vote at, the Annual Meeting and those holders of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30,776,689 shares of Common Stock outstanding (including the shares of Common Stock underlying CDIs).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or about April 22, 2026, we will begin providing stockholders as of the Record Date with the Notice of Internet Availability of Proxy Materials. These materials will direct stockholders to a website where they can access our proxy materials, including this Proxy Statement and our 2025 Annual Report, and view instructions on how to vote online.</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Whether or not you plan to attend the Annual Meeting, please submit your proxy or voting instructions as soon as possible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your shares are represented.</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Proxy Statement and our other public filings contain “forward-looking statements” within the meaning of the U.S. Private Securities Litigation Reform Act of 1995. These forward-looking statements may include, but are not limited to, statements regarding our business strategies, plans, objectives, goals, anticipated financial performance, product development, regulatory approvals, executive compensation programs, and other statements that are not historical facts. Forward-looking statements generally can be identified by the use of words such as “anticipate,” “expect,” “goal,” “intend,” “may,” “plan,” “potential,” “should,” “target,” “will,” “would,” and similar expressions and variations referencing future periods. These statements are based on current expectations, assumptions, estimates, and projections about our business and the industry in which we operate, and are subject to known and unknown risks, uncertainties, and other factors that may cause actual results, performance, or achievements to differ materially from those expressed or implied by such statements. Forward-looking statements are made only as of the date of this Proxy Statement, and we undertake no obligation to publicly update or revise any forward-looking statements, whether as a result of new information, future developments, or otherwise,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 AND VOTING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these proxy materials?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furnishing proxy materials to our stockholders of record and beneficial owners via the internet instead of mailing printed copies, unless otherwise requested by the stockholder. This method allows us to expedite communication to our stockholders, reduces the environmental footprint of our Annual Meeting, and reduces the costs associated with printing and mailing these materials to all stockholders.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Accordingly, on or about April 22, 2026, we will begin mailing Notices of Internet Availability of Proxy Materials to our stockholders of record at the close of business on the Record Date. These notices include instructions on how to access the proxy materials online and how to request a printed copy free of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banks and other nominees will be sending similar notifications to all beneficial owners who hold their shares through those institutions.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221" w:lineRule="exact"/>
        <w:rPr>
          <w:sz w:val="20"/>
          <w:szCs w:val="20"/>
          <w:color w:val="auto"/>
        </w:rPr>
      </w:pPr>
    </w:p>
    <w:p>
      <w:pPr>
        <w:ind w:left="1020" w:right="14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To elect seven directors to serve for one-year terms on the Company’s board of directors (the “Board”) or until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have been duly elected and qualified;</w:t>
      </w:r>
    </w:p>
    <w:p>
      <w:pPr>
        <w:spacing w:after="0" w:line="154" w:lineRule="exact"/>
        <w:rPr>
          <w:rFonts w:ascii="Times New Roman" w:cs="Times New Roman" w:eastAsia="Times New Roman" w:hAnsi="Times New Roman"/>
          <w:sz w:val="18"/>
          <w:szCs w:val="18"/>
          <w:color w:val="auto"/>
        </w:rPr>
      </w:pPr>
    </w:p>
    <w:p>
      <w:pPr>
        <w:ind w:left="1020" w:right="4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To ratify the appointment of Grant Thornton LLP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w:t>
      </w:r>
    </w:p>
    <w:p>
      <w:pPr>
        <w:spacing w:after="0" w:line="154" w:lineRule="exact"/>
        <w:rPr>
          <w:rFonts w:ascii="Times New Roman" w:cs="Times New Roman" w:eastAsia="Times New Roman" w:hAnsi="Times New Roman"/>
          <w:sz w:val="18"/>
          <w:szCs w:val="18"/>
          <w:color w:val="auto"/>
        </w:rPr>
      </w:pPr>
    </w:p>
    <w:p>
      <w:pPr>
        <w:ind w:left="1020" w:right="1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To approve, for the purposes of ASX Listing Rule 10.17 and the Company’s Amended and Restated Bylaws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and for all other purposes, that the maximum aggregate annual cash fee pool from which the non-executive Directors of the Company may be paid for their services on the Board be increased from US$750,000 per annum to US$900,000 per annum;</w:t>
      </w:r>
    </w:p>
    <w:p>
      <w:pPr>
        <w:spacing w:after="0" w:line="170"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To approve the grant of 22,214 restricted stock units to acquire shares of the Company’s common stock (“Common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16,133 options to acquire shares of Common Stock to Suzanne Crowe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20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To approve the grant of 22,214 restricted stock units to acquire shares of Common Stock and the grant of 16,133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Jeremy Curnock Cook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20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6</w:t>
      </w:r>
      <w:r>
        <w:rPr>
          <w:rFonts w:ascii="Times New Roman" w:cs="Times New Roman" w:eastAsia="Times New Roman" w:hAnsi="Times New Roman"/>
          <w:sz w:val="18"/>
          <w:szCs w:val="18"/>
          <w:color w:val="auto"/>
        </w:rPr>
        <w:t>: To approve the grant of 22,214 restricted stock units to acquire shares of Common Stock and the grant of 16,133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Robert McNamara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40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7</w:t>
      </w:r>
      <w:r>
        <w:rPr>
          <w:rFonts w:ascii="Times New Roman" w:cs="Times New Roman" w:eastAsia="Times New Roman" w:hAnsi="Times New Roman"/>
          <w:sz w:val="18"/>
          <w:szCs w:val="18"/>
          <w:color w:val="auto"/>
        </w:rPr>
        <w:t>: To approve the grant of 22,214 restricted stock units to acquire shares of Common Stock and the grant of 16,133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Jan Stern Reed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8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8</w:t>
      </w:r>
      <w:r>
        <w:rPr>
          <w:rFonts w:ascii="Times New Roman" w:cs="Times New Roman" w:eastAsia="Times New Roman" w:hAnsi="Times New Roman"/>
          <w:sz w:val="18"/>
          <w:szCs w:val="18"/>
          <w:color w:val="auto"/>
        </w:rPr>
        <w:t>: To approve the grant of 26,250 restricted stock units to acquire shares of Common Stock and the grant of 19,063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Dr. Michael Tarnoff on the terms and conditions set out in this Proxy Statement, pursuant to and for the purposes of ASX Listing Rule 10.11, in recognition of Dr. Tarnoff being appointed as a new non-executive Director of the Board effective August 6, 2025;</w:t>
      </w:r>
    </w:p>
    <w:p>
      <w:pPr>
        <w:spacing w:after="0" w:line="176"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9</w:t>
      </w:r>
      <w:r>
        <w:rPr>
          <w:rFonts w:ascii="Times New Roman" w:cs="Times New Roman" w:eastAsia="Times New Roman" w:hAnsi="Times New Roman"/>
          <w:sz w:val="18"/>
          <w:szCs w:val="18"/>
          <w:color w:val="auto"/>
        </w:rPr>
        <w:t>: To approve the grant of 22,214 restricted stock units to acquire shares of Common Stock and the grant of 16,133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Dr. Michael Tarnoff on the terms and conditions set out in this Proxy Statement, pursuant to and for the purposes of ASX Listing Rule 10.11;</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 w:name="page7"/>
    <w:bookmarkEnd w:id="6"/>
    <w:p>
      <w:pPr>
        <w:ind w:left="1020" w:right="200" w:hanging="503"/>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10</w:t>
      </w:r>
      <w:r>
        <w:rPr>
          <w:rFonts w:ascii="Times New Roman" w:cs="Times New Roman" w:eastAsia="Times New Roman" w:hAnsi="Times New Roman"/>
          <w:sz w:val="18"/>
          <w:szCs w:val="18"/>
          <w:color w:val="auto"/>
        </w:rPr>
        <w:t>: To approve the grant of 40,547 restricted stock units to acquire shares of Common Stock and the grant of 29,446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Joseph Woody on the terms and conditions set out in this Proxy Statement, pursuant to and for the purposes of ASX Listing Rule 10.11, in recognition of Mr. Woody being appointed as a new non-executive Director of the Board effective January 1, 2026;</w:t>
      </w:r>
    </w:p>
    <w:p>
      <w:pPr>
        <w:spacing w:after="0" w:line="176" w:lineRule="exact"/>
        <w:rPr>
          <w:rFonts w:ascii="Times New Roman" w:cs="Times New Roman" w:eastAsia="Times New Roman" w:hAnsi="Times New Roman"/>
          <w:sz w:val="18"/>
          <w:szCs w:val="18"/>
          <w:color w:val="auto"/>
        </w:rPr>
      </w:pPr>
    </w:p>
    <w:p>
      <w:pPr>
        <w:ind w:left="1020" w:right="3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11</w:t>
      </w:r>
      <w:r>
        <w:rPr>
          <w:rFonts w:ascii="Times New Roman" w:cs="Times New Roman" w:eastAsia="Times New Roman" w:hAnsi="Times New Roman"/>
          <w:sz w:val="18"/>
          <w:szCs w:val="18"/>
          <w:color w:val="auto"/>
        </w:rPr>
        <w:t>: To approve the grant of 22,214 restricted stock units to acquire shares of Common Stock and the grant of 16,133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Joseph Woody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12</w:t>
      </w:r>
      <w:r>
        <w:rPr>
          <w:rFonts w:ascii="Times New Roman" w:cs="Times New Roman" w:eastAsia="Times New Roman" w:hAnsi="Times New Roman"/>
          <w:sz w:val="18"/>
          <w:szCs w:val="18"/>
          <w:color w:val="auto"/>
        </w:rPr>
        <w:t>: To approve, on an advisory basis, the compensation of our named executive officers;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13</w:t>
      </w:r>
      <w:r>
        <w:rPr>
          <w:rFonts w:ascii="Times New Roman" w:cs="Times New Roman" w:eastAsia="Times New Roman" w:hAnsi="Times New Roman"/>
          <w:sz w:val="18"/>
          <w:szCs w:val="18"/>
          <w:color w:val="auto"/>
        </w:rPr>
        <w:t>: To approve, on an advisory basis, the frequency of future advisory votes on executive compensation;</w:t>
      </w:r>
    </w:p>
    <w:p>
      <w:pPr>
        <w:spacing w:after="0" w:line="225" w:lineRule="exact"/>
        <w:rPr>
          <w:rFonts w:ascii="Times New Roman" w:cs="Times New Roman" w:eastAsia="Times New Roman" w:hAnsi="Times New Roman"/>
          <w:sz w:val="18"/>
          <w:szCs w:val="18"/>
          <w:color w:val="auto"/>
        </w:rPr>
      </w:pPr>
    </w:p>
    <w:p>
      <w:pPr>
        <w:ind w:left="1020" w:right="20" w:hanging="503"/>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14</w:t>
      </w:r>
      <w:r>
        <w:rPr>
          <w:rFonts w:ascii="Times New Roman" w:cs="Times New Roman" w:eastAsia="Times New Roman" w:hAnsi="Times New Roman"/>
          <w:sz w:val="18"/>
          <w:szCs w:val="18"/>
          <w:color w:val="auto"/>
        </w:rPr>
        <w:t>: To approve, for the purpose of ASX Listing Rule 7.1 and all other purposes, the issuance of a warrant or warrants covering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650,000 shares of Common Stock, with a term of ten years (the “Warrants”), to Perceptive Credit Holdings V, LP (“Perceptive”), pursuant to the Credit Agreement between the Company and Perceptive, dated January 13, 2026 (the “Credit Agreement”), on the terms and conditions set forth in this Proxy Statement; and</w:t>
      </w:r>
    </w:p>
    <w:p>
      <w:pPr>
        <w:spacing w:after="0" w:line="176"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15 </w:t>
      </w:r>
      <w:r>
        <w:rPr>
          <w:rFonts w:ascii="Times New Roman" w:cs="Times New Roman" w:eastAsia="Times New Roman" w:hAnsi="Times New Roman"/>
          <w:sz w:val="18"/>
          <w:szCs w:val="18"/>
          <w:color w:val="auto"/>
        </w:rPr>
        <w:t>(as a special resolution, in accordance with ASX Listing Rule 7.1A): To approve, for the purpose of ASX Listing Rule 7.1A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other purposes, the issue of Equity Securities (as defined in ASX Listing Rule 19.2) up to 10% of the issued capital (at the time of issuance) of the Company, calculated in accordance with ASX Listing Rule 7.1A.2, and on the terms and conditions set forth in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vote if you owned Common Stock as of the Record Date and/or CDIs as of the Australian Record Date (as defined below). Each share of Common Stock is entitled to one vote. Each CDI holder is entitled to direct CHESS Depositary Nominees Pty Ltd (“CDN”) to vote one vote for every five CDIs held on the Australian Record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stockholder of record?</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to ensure your vote is counted.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beneficially own shares in “street name”?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If, on the Record Date, your shares of Common Stock were held in an account at a broker, bank, or other financial institution (collectively referred to as a “broker”), then you are considered the beneficial owner of shares held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These proxy materials are being forwarded to you by your broker. The broker holding your account is considered the stockholder of record for purposes of voting at the Annual Meeting.</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Your broker is not permitted to vote on your behalf on any matter to be considered at the Annual Meeting (other than ratifying the Company’s appointment of Grant Thornton LLP as the Company’s independent registered public accounting firm) unless your broker votes specifically in accordance with the instructions provided by you to your broker. The Company encourages you to communicate your voting decisions to your broker before the deadlines described elsewhere in this Proxy Statement to ensure that your vote will be counted. </w:t>
      </w:r>
      <w:r>
        <w:rPr>
          <w:rFonts w:ascii="Times New Roman" w:cs="Times New Roman" w:eastAsia="Times New Roman" w:hAnsi="Times New Roman"/>
          <w:sz w:val="18"/>
          <w:szCs w:val="18"/>
          <w:b w:val="1"/>
          <w:bCs w:val="1"/>
          <w:color w:val="auto"/>
        </w:rPr>
        <w:t>If the organization that holds your shares does not receive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 from you on how to vote your shares on a non-routine matter, the organization that holds your shares will inform the inspector of election that it does not have the authority to vote on this matter with respect to your shares. This is referred to as a “broker non-vote.”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Which ballot measures are considered “routine” or “non-routine”?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election of directors (Proposal 1), the increase in the director cash fee pool (Proposal 3), the grants of restricted stock units and option awards to our directors (Proposals 4 – 11), the approval, on a non-binding advisory basis, of the compensation paid to our named executive officers (Proposal 12), the approval, on a non-binding advisory basis, of the frequency of future advisory votes on executive compensation (Proposal 13), the approval of the issuance of the Warrants (Proposal 14), and the approval of the 10% increase to the Company’s listing capacity (Proposal 15) are considered to be non-routine matters under applicable rules. A broker or other nominee cannot vote without instructions on non-routine matters, and therefore there may be broker non-votes on Proposal 1, and Proposals 3 – 15.</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Grant Thornton as our independent registered public accounting firm for 2026 (Proposal 2) is considered to be a routine matter under applicable rules. A broker or other nominee may generally vote on routine matters without instruction, so we do not expect there will be any broker non-votes with respect to Proposal 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votes cast. The affirmative vote of the holders of a majority of the voting power of the Common Stock which are present in person or by proxy and entitled to vote thereon is required for (i) the ratification of the appointment of the Company’s independent public accountants; (ii) the approval of the increase in the director cash fee pool; (iii) the approval of the grant of restricted stock units and options to each non-executive Director; (iv) the approval, on a non-binding advisory basis, of the frequency of future advisory votes on executive compensation, (v) the approval of the issuance of the Warrants; and (vi) the approval of the compensation paid to the Company’s named executive officers on a non-binding, advisory basis. The affirmative vote of the holders of 75% of the voting power of the Common Stock which are present in person or by proxy and entitled to vote thereon is required for approval of the increase to the Company’s placement capacity (as a “special resolution,” under applicable ASX Listing Rules). There are no appraisal rights with respect to the matters to be acted upon at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abstentions treated?</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Abstentions will be counted as votes present and entitled to vote on the proposals considered at the Annual Meeting and, therefore, will have the effect of votes “AGAINST” Proposal 2 and Proposals 4 – 15. Abstentions will have no effect on Proposal 1 regarding the election of directors. With respect to Proposal 1,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must be present or represented to hold the meeting?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virtually and vote via the online platform at meetnow.global/M6X5GPQ or if you properly return a Proxy (in the case of holders of Common Stock) or CDI Voting Instruction Form (in the case of holders of CDIs). To conduct the meeting, a majority in voting power of the outstanding shares of stock entitled to vote must be present at the meeting in person or by proxy. This is referred to as quorum. On the Record Date, there were 30,776,689 outstanding shares of Common Stock (including Common Stock underlying CDIs) entitled to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holders of Common Stock can vote in three ways:</w:t>
      </w:r>
    </w:p>
    <w:p>
      <w:pPr>
        <w:spacing w:after="0" w:line="225" w:lineRule="exact"/>
        <w:rPr>
          <w:sz w:val="20"/>
          <w:szCs w:val="20"/>
          <w:color w:val="auto"/>
        </w:rPr>
      </w:pPr>
    </w:p>
    <w:p>
      <w:pPr>
        <w:ind w:left="1020" w:right="30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the internet by visiting www.investorvote.com/RCEL and following the instructions on the Notice of Internet Availability of Proxy Materials or Proxy Card;</w:t>
      </w:r>
    </w:p>
    <w:p>
      <w:pPr>
        <w:ind w:left="1020" w:right="2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virtually via live webcast and voting using the online voting platform at meetnow.global/M6X5GPQ using your unique 16-digit control number, which can be found on your Notice of Internet Availability of Proxy Materials or Proxy Card, to log in to the website; 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 in accordance with the instructions on such card.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hold shares of Common Stock in street name, you will need to follow the instructions provided by the broker, bank, or other nominee that holds your shares.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ASX. If you own CDIs, then you are the beneficial owner of one share of Common Stock for every five CDIs held. CDN (or its custodian) is the stockholder of record for purposes of voting at the Company’s Annual Meeting.</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the beneficial owner, you have the right to direct CDN how to vote the shares represented by your CDIs by completing the CDI Voting Instruction Form. As a beneficial owner, you are invited to attend the Annual Meeting; however, because you are not a stockholder of record, you cannot vote directly at the meeting.</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rules governing CDIs, CDN is not permitted to vote on your behalf on any matter to be considered at the Annual Meeting unless you specifically instruct CDN to do so. The Company encourages you to communicate your voting to CDN in advance of the Annual Meeting by completing the enclosed CDI Voting Instruction Form and returning it to the address specified on the form to ensure your vote is counted.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Each CDI holder as of 9:00 a.m. AEST on June 2, 2026 (being 3:00 p.m. Pacific Daylight Time on June 1, 2026) (the “Australian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in two ways:</w:t>
      </w:r>
    </w:p>
    <w:p>
      <w:pPr>
        <w:spacing w:after="0" w:line="72" w:lineRule="exact"/>
        <w:rPr>
          <w:sz w:val="20"/>
          <w:szCs w:val="20"/>
          <w:color w:val="auto"/>
        </w:rPr>
      </w:pPr>
    </w:p>
    <w:p>
      <w:pPr>
        <w:ind w:left="1020" w:right="4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the CDI Voting Instruction Form to Computershare Australia, the agent the Company has designated for the collection and processing of voting instructions from the Company’s CDI holders;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the CDI Voting Instruction Form online at https://www.investorvote.com.au.</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Votes must be received by Computershare Australia by no later than 9:00 a.m. AEST on June 2, 2026 (being 3:00 p.m. Pacific Daylight Time on June 1, 2026) in accordance with the instructions on such form, in order for CDN to vote on CDI holders’ behalf in accordance with their written directions.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order to receive electronic communications from the Company in the future, please update your stockholder details online at www.investorvote.com.au by logging in with the control number, your stockholder identification number, and postcode (or country for overseas residents). Once logged in, you can also lodge your CDI Voting Instruction Form electronically.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 or CDI Voting Instruction Form?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may change or revoke your vote as follows:</w:t>
      </w:r>
    </w:p>
    <w:p>
      <w:pPr>
        <w:spacing w:after="0" w:line="160" w:lineRule="exact"/>
        <w:rPr>
          <w:sz w:val="20"/>
          <w:szCs w:val="20"/>
          <w:color w:val="auto"/>
        </w:rPr>
      </w:pPr>
    </w:p>
    <w:p>
      <w:pPr>
        <w:ind w:left="1020" w:right="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You may change or revoke your vote by submitting a written notice of revocation to AVITA Medical, Inc. c/o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Secretary at 28159 Avenue Stanford, Suite 220, Valencia, CA 91355 or by submitting another vote on or before June 2, 2026. You may also change your vote by voting again via internet or telephone at a later time before the closing of those voting facilities at 11:59 p.m. Pacific Daylight Time, on June 2, 2026, or by attending the Annual Meeting and voting again.</w:t>
      </w:r>
    </w:p>
    <w:p>
      <w:pPr>
        <w:spacing w:after="0" w:line="179"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You may change or revoke your voting instructions by following the specific directions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you by your bank or broker.</w:t>
      </w:r>
    </w:p>
    <w:p>
      <w:pPr>
        <w:spacing w:after="0" w:line="158"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CDI Holders. </w:t>
      </w:r>
      <w:r>
        <w:rPr>
          <w:rFonts w:ascii="Times New Roman" w:cs="Times New Roman" w:eastAsia="Times New Roman" w:hAnsi="Times New Roman"/>
          <w:sz w:val="18"/>
          <w:szCs w:val="18"/>
          <w:color w:val="auto"/>
        </w:rPr>
        <w:t>If you are a holder of CDIs and you direct CDN to vote by completing the CDI Voting Instruction Form, you may revoke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directions by delivering to Computershare Australia a written notice of revocation bearing a later date than the CDI Voting Instruction Form previously sent, which notice must be received by Computershare Australia by no later than 9:00 a.m. AEST on June 2, 2026 (being 3:00 p.m. Pacific Daylight Time on June 1, 2026).</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Common Stock or CDIs be voted if I do not provide my Proxy or CDI Voting Instruction Form?</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 independent public accountants is such a routine matter. When a brokerage firm votes its customer’s unvoted shares, these shares are counted for the purposes of establishing quorum.</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AEST on June 2, 2026 (being 3:00 p.m. Pacific Daylight Time on June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“ONE YEAR” for the frequency of future say-on-pay votes, “FOR” the ratification of the issue of the Warrants, “FOR” the approval of a 10% increase to the Company’s placement capacity, and “FOR” the advisory vote regarding compensation paid to the Company’s named executive officers. If no specific instructions are given, it is intended that signed and returned proxies will be voted in the discretion of the proxy holders on any other business proposal which may properly come before the Annual Meeting (the Board does not presently know of any other such business) or any adjournments or postponements thereof.</w:t>
      </w:r>
    </w:p>
    <w:p>
      <w:pPr>
        <w:spacing w:after="0" w:line="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a CDI holder does not include voting instructions in the CDI Voting Instruction Form in respect of a proposal, no vote will be cast on that proposal for that CDI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Investor Services Pty Limited (“Computershare Australia”). Computershare Australia’s telephone number is +61 39415 4000 (for overseas callers) or 1300 850 505 (for calls within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 (the “SEC”) within four business days following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pays for solicitation of proxies?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expenses for sending proxy materials to holders and obtaining their votes. In addition to soliciting the proxies by mail, certain of the Company’s directors, officers and regular employees, without compensation, may solicit proxies in person, by telephone, or other means of communication. In connection with the foregoing, the Company has retained Okapi Partners, LLC to solicit proxies on its behalf for the Annual Meeting. The Company has agreed to pay to Okapi Partners, LLC a fee of approximately $25,000. In Australia, the Company has engaged Georgeson Shareholder Communications Australia Pty Ltd. to solicit proxies from holders of CDIs. The Company has agreed to pay Georgeson Shareholder Communications Australia Pty Ltd. a fee of approximately $45,000.</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Company’s Board has one class of directors (each, a “Director”),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following Proposal of this Proxy, each of whom are presently members of the Board, will vote to approve the reelection of these persons as directors to hold office for the terms set forth below or until their respective successors have been elected and qualified. Each of the nominees has consented to serve as a director if elected.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nominees identified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18"/>
                <w:szCs w:val="18"/>
                <w:color w:val="auto"/>
              </w:rPr>
            </w:pPr>
          </w:p>
        </w:tc>
        <w:tc>
          <w:tcPr>
            <w:tcW w:w="4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 with the Company</w:t>
            </w:r>
          </w:p>
        </w:tc>
        <w:tc>
          <w:tcPr>
            <w:tcW w:w="100" w:type="dxa"/>
            <w:vAlign w:val="bottom"/>
          </w:tcPr>
          <w:p>
            <w:pPr>
              <w:spacing w:after="0"/>
              <w:rPr>
                <w:sz w:val="18"/>
                <w:szCs w:val="18"/>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Board Term</w:t>
            </w: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Expires</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Cary Vance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FF0FC"/>
          </w:tcPr>
          <w:p>
            <w:pPr>
              <w:spacing w:after="0"/>
              <w:rPr>
                <w:sz w:val="18"/>
                <w:szCs w:val="18"/>
                <w:color w:val="auto"/>
              </w:rPr>
            </w:pPr>
          </w:p>
        </w:tc>
        <w:tc>
          <w:tcPr>
            <w:tcW w:w="4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&amp; Interim Chief Executive Officer</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Professor Suzanne Crowe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2016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Jeremy Curnock Cook</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shd w:val="clear" w:color="auto" w:fill="CFF0FC"/>
          </w:tcPr>
          <w:p>
            <w:pPr>
              <w:spacing w:after="0"/>
              <w:rPr>
                <w:sz w:val="18"/>
                <w:szCs w:val="18"/>
                <w:color w:val="auto"/>
              </w:rPr>
            </w:pPr>
          </w:p>
        </w:tc>
        <w:tc>
          <w:tcPr>
            <w:tcW w:w="4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2012</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McNamara</w:t>
            </w:r>
          </w:p>
        </w:tc>
        <w:tc>
          <w:tcPr>
            <w:tcW w:w="3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 Stern Reed</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FF0FC"/>
          </w:tcPr>
          <w:p>
            <w:pPr>
              <w:spacing w:after="0"/>
              <w:rPr>
                <w:sz w:val="18"/>
                <w:szCs w:val="18"/>
                <w:color w:val="auto"/>
              </w:rPr>
            </w:pPr>
          </w:p>
        </w:tc>
        <w:tc>
          <w:tcPr>
            <w:tcW w:w="4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Lead Independent Director</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2021</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Michael Tarnoff</w:t>
            </w:r>
          </w:p>
        </w:tc>
        <w:tc>
          <w:tcPr>
            <w:tcW w:w="3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Joseph Woody</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FF0FC"/>
          </w:tcPr>
          <w:p>
            <w:pPr>
              <w:spacing w:after="0"/>
              <w:rPr>
                <w:sz w:val="18"/>
                <w:szCs w:val="18"/>
                <w:color w:val="auto"/>
              </w:rPr>
            </w:pPr>
          </w:p>
        </w:tc>
        <w:tc>
          <w:tcPr>
            <w:tcW w:w="4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24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Vance was appointed Chairman on August 6, 2025. When the Board appointed Mr. Vance as Interim Chief Executive Officer on October 16, 2025, Mr. Vance continued to serve the Board as Executive Chairman but stepped down from each of the Board Committees.</w:t>
      </w:r>
    </w:p>
    <w:p>
      <w:pPr>
        <w:ind w:left="520" w:right="46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Professor Crowe and Mr. Curnock Cook served on the Board prior to June 30, 2020, as a member of the board of AVITA Medical Pty Limited, the Company’s predecessor company.</w:t>
      </w: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Reed was appointed Lead Independent Director on October 16,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Experience</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Cary Vance </w:t>
      </w:r>
      <w:r>
        <w:rPr>
          <w:rFonts w:ascii="Times New Roman" w:cs="Times New Roman" w:eastAsia="Times New Roman" w:hAnsi="Times New Roman"/>
          <w:sz w:val="18"/>
          <w:szCs w:val="18"/>
          <w:color w:val="auto"/>
        </w:rPr>
        <w:t>was appointed Interim CEO of the Company on October 16, 2025, and has served as Chairman of the Board since August 6,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since April 2023. Mr. Vance has over 25 years of extensive leadership experience in the healthcare industry with commercial and operational expertise. He served as the President and Chief Executive Officer of PhotoniCare, Inc., from May 2023 until January 2025. Prior to this appointment, he was President and CEO of Titan Medical, and he served as an independent director for its Board of Directors through November 2024. Previously, Mr. Vance served as President and CEO of XCath, a privately held neurovascular robotics company, having also served as the CEO of OptiScan Biomedical, Myoscience, and Hansen Medical. Prior to his role at Hansen Medical, he served in various global executive leadership roles at Teleflex, Covidien, and GE HealthCare. He supported these companies as they commercialized and transformed markets with their disruptive and game-changing technologies. Mr. Vance is Lean/Six Sigma Black Belt Certified, NACD Certified, and holds both a Bachelor of Arts degree in Economics and an MBA from Marquette University. We believe Mr. Vance is qualified to continue to serve as the Executive Chairman of our Board based on his leadership and governance experience, together with his extensive commercial and operational expertise in the healthcare industry.</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AO </w:t>
      </w:r>
      <w:r>
        <w:rPr>
          <w:rFonts w:ascii="Times New Roman" w:cs="Times New Roman" w:eastAsia="Times New Roman" w:hAnsi="Times New Roman"/>
          <w:sz w:val="18"/>
          <w:szCs w:val="18"/>
          <w:color w:val="auto"/>
        </w:rPr>
        <w:t>has served as a Director since January 2016. Australia-based, she is a physician and a scientist, and as a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provides expert support of our medical and scientific strategies. Professor Crowe is an Emeritus Professor at Monash University Melbourne and retired after 35 years of service as both Associate Director Clinical Research at the Burnet Institute and Senior Specialist Physician in Infectious Diseases at The Alfred Hospital Melbourne. A Fellow of the Australian Institute of Company Directors, she is currently a Director of Sonic Healthcare Ltd, a large global medical diagnostics company. In addition, she served on the board of St. Vincent’s Health Australia Ltd., that country’s largest not-for-profit health and aged care provider, from 2012 to 2021. In June 2020, Professor Crowe was appointed as Officer of the Order of Australia in recognition of her distinguished services to health, clinical governance, biomedical research, and education. We believe Professor Crowe is qualified to serve on our Board based on her medical and research expertise.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Director since October 2012. He is a veteran in the healthcare services and life sciences industries, actively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supporting the commercialization of healthcare innovations and helping entrepreneurs build their international businesses over the past 45 years.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Curnock Cook is currently Founder and Managing Director of BioScience Managers, a healthcare investment firm with an approximate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$AU200M under management by various of its funds. Over his career, Mr. Curnock Cook has successfully managed in excess of $US1 billion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He launched the first dedicated biotechnology fund for the Australian market and is a former head of the life science private equity team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Rothschild Asset Management, an early pioneer and significant investor in the sector. In his early career, he founded the International Biochemicals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he successfully sold to Royal Dutch Shell. Mr. Curnock Cook founded a European-focused seed fund with Johnson &amp; Johnson and built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Biotechnology Trust. In addition to serving on our Board, Mr. Curnock Cook currently serves on the following boards: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BioScience Managers Ltd (appointed March 2000), Bioscience Managers Pty Ltd (appointed January 2003), REX Bionics Pty Ltd (appointed February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Sheldon LTD (formerly Sea Dragon; appointed October 2012), Adherium Ltd appointed (April 2015), BioScience Managers UK Ltd (appointed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2017), Marine Department Ltd (appointed January 2019), and JLCC Ltd (appointed December 2019). We believe Mr. Curnock Cook is qualified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on our Board based on his extensive global experience in the life sciences industry, specifically with companies focused on innovation.</w:t>
      </w:r>
    </w:p>
    <w:p>
      <w:pPr>
        <w:spacing w:after="0" w:line="20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McNamara </w:t>
      </w:r>
      <w:r>
        <w:rPr>
          <w:rFonts w:ascii="Times New Roman" w:cs="Times New Roman" w:eastAsia="Times New Roman" w:hAnsi="Times New Roman"/>
          <w:sz w:val="18"/>
          <w:szCs w:val="18"/>
          <w:color w:val="auto"/>
        </w:rPr>
        <w:t>has served as a non-executive Director since April 2023 and as the chair of the Audit Committee since May 2023. He has over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leadership experience in public and privately held companies in the medical device and technology industries. His extensive experience in operations and financial management spans across early-stage, high-growth, and mature companies. Mr. McNamara previously served as a member of the Board and the Audit Committee, and Chair of the Compensation Committee for Xtant Medical Holdings (NYSE: XTNT). He is a former member of the Board of Directors and Chair of the Audit Committee for Axonics, Inc. Prior to these appointments, Mr. McNamara served as Executive Vice President, Chief Financial Officer of LDR Holding/Spine. Prior to this role, he served as the Chief Financial Officer of three publicly traded medical device companies: Accuray, Somnus Medical Technologies, and Target Therapeutics. Mr. McNamara holds a Bachelor of Science in Accounting from the University of San Francisco and an MBA from The Wharton School, University of Pennsylvania. We believe Mr. McNamara is qualified to serve on our Board because of his financial expertise, especially with high-growth companies, as well as his experience with enterprise risk management and other financial control requirements of U.S. public companies.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Jan Stern Reed </w:t>
      </w:r>
      <w:r>
        <w:rPr>
          <w:rFonts w:ascii="Times New Roman" w:cs="Times New Roman" w:eastAsia="Times New Roman" w:hAnsi="Times New Roman"/>
          <w:sz w:val="18"/>
          <w:szCs w:val="18"/>
          <w:color w:val="auto"/>
        </w:rPr>
        <w:t>was appointed Lead Independent Director on October 16, 2025, and has served as a Director since July 2021, and Chair of the Nominating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Corporate Governance Committee since May of 2023. She has more than 35 years of legal, business management, and executive leadership experience primarily in the healthcare industry, and brings significant expertise in corporate governance, compliance, and risk management. Ms. Reed currently serves as a board member of Stepan Co. (NYSE: SCL), a major manufacturer of specialty and intermediate chemicals used in a broad range of industries, and AngioDynamics, Inc. (NASDAQ: ANGO), an industry-leading and transformative medical technology company focused on improving patient outcomes. Previously, Ms. Reed served as Senior Vice President, General Counsel and Corporate Secretary at Walgreens Boots Alliance, Inc., a global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We believe Ms. Reed is qualified to serve on our Board based on her extensive experience in legal, corporate governance, compliance, human resources, audit and enterprise risk management, general business management, and executive leadership.</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Michael Tarnoff </w:t>
      </w:r>
      <w:r>
        <w:rPr>
          <w:rFonts w:ascii="Times New Roman" w:cs="Times New Roman" w:eastAsia="Times New Roman" w:hAnsi="Times New Roman"/>
          <w:sz w:val="18"/>
          <w:szCs w:val="18"/>
          <w:color w:val="auto"/>
        </w:rPr>
        <w:t>was appointed a non-executive Director in August 2025, and has served as the chair of the Human Capital and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since October 2025. Dr. Tarnoff spent 23 years of his professional career at Tufts Medical Center, serving in various executive leadership roles, most recently as the Chief Physician Executive and CEO, until 2024. While serving in various leadership positions at Tufts, Dr. Tarnoff served as Chief Medical Officer and Vice President, Medical Affairs at Medtronic, Inc. from 2015 to 2019. Before working for Medtronic, from 2008 through 2015, Dr. Tarnoff was the Corporate Chief Medical Officer and Vice President, Medical Affairs, and before that position, the Chief Medical Officer and Vice President, Medical Affairs of the Surgical Devices division, at Covidien plc. Additional executive leadership experience includes roles serving as Medical Director at GI Dynamics, Inc. from 2006 to 2008, as well as Chief Medical Consultant to the Kendall surgery unit of Tyco Healthcare from 2005 to 2008. After earning a Bachelor of Arts degree from Washington University in St. Louis, Dr. Tarnoff received his medical degree from the University of Medicine and Dentistry of New Jersey. He then completed a general surgery residency at Rutgers Medical School, followed by an advanced fellowship in laparoscopic surgery at the Cleveland Clinic. We believe Dr. Tarnoff is qualified to serve on our Board based on his extensive medical experience and expertise in clinical innovation, together with his executive leadership experience.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 w:name="page13"/>
    <w:bookmarkEnd w:id="12"/>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Joseph Woody </w:t>
      </w:r>
      <w:r>
        <w:rPr>
          <w:rFonts w:ascii="Times New Roman" w:cs="Times New Roman" w:eastAsia="Times New Roman" w:hAnsi="Times New Roman"/>
          <w:sz w:val="18"/>
          <w:szCs w:val="18"/>
          <w:color w:val="auto"/>
        </w:rPr>
        <w:t>was appointed a non-executive Director in January 2026. Mr. Woody is a seasoned healthcare executive with more than two decades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experience across the medical technology sector, most recently serving as CEO of Avanos Medical from 2017 to 2024, and previously, as President and CEO of Acelity Holdings. His background spans multiple senior executive roles, including with Covidien and Smith &amp; Nephew. Mr. Woody also served on the Board of Directors of AdvaMed, Inc., the largest trade association in the U.S. for the medical device, diagnostics, and digital health technology sectors, for over a decade. We believe Mr. Woody is qualified to serve on our Board based on his extensive medical technology experience and commercial expertise.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has determined that Professor Suzanne Crowe, Jeremy Curnock Cook, Robert McNamara, Jan Stern Reed, Dr. Michael Tarnoff, and Joseph Woody are each independent for purposes of the rules of the Nasdaq Listing Rules and the SEC and for the purposes of the ASX Listing Rules and the 4th Edition of the ASX Corporate Governance Council’s Corporate Governance Principles and Recommendations (the “ASX Corporate Governance Principles”). Furthermore, our Board has determined that all of the members of our Audit, Human Capital and Compensation, and Nominating and Corporate Governance Committees are independent within the meaning of the director independence standards of the Nasdaq Listing Rules, the applicable rules of the SEC, the ASX Listing Rules and the ASX Corporate Governance Principles. Every independent Director is a member of each Committee.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Board has determined that Cary Vance is not independent under the director independence standards of the Nasdaq Listing Rules, the applicable rules of the SEC, the ASX Listing Rules and the ASX Corporate Governance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Committee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committees of the Board and their respective members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 and</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 Corporate</w:t>
            </w:r>
          </w:p>
        </w:tc>
      </w:tr>
      <w:tr>
        <w:trPr>
          <w:trHeight w:val="238"/>
        </w:trPr>
        <w:tc>
          <w:tcPr>
            <w:tcW w:w="25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Independent</w:t>
            </w: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 Committee</w:t>
            </w:r>
          </w:p>
        </w:tc>
      </w:tr>
      <w:tr>
        <w:trPr>
          <w:trHeight w:val="209"/>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320" w:type="dxa"/>
            <w:vAlign w:val="bottom"/>
            <w:shd w:val="clear" w:color="auto" w:fill="CFF0FC"/>
          </w:tcPr>
          <w:p>
            <w:pPr>
              <w:spacing w:after="0"/>
              <w:rPr>
                <w:sz w:val="18"/>
                <w:szCs w:val="18"/>
                <w:color w:val="auto"/>
              </w:rPr>
            </w:pP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320" w:type="dxa"/>
            <w:vAlign w:val="bottom"/>
            <w:shd w:val="clear" w:color="auto" w:fill="CFF0FC"/>
          </w:tcPr>
          <w:p>
            <w:pPr>
              <w:spacing w:after="0"/>
              <w:rPr>
                <w:sz w:val="18"/>
                <w:szCs w:val="18"/>
                <w:color w:val="auto"/>
              </w:rPr>
            </w:pP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320" w:type="dxa"/>
            <w:vAlign w:val="bottom"/>
            <w:shd w:val="clear" w:color="auto" w:fill="CFF0FC"/>
          </w:tcPr>
          <w:p>
            <w:pPr>
              <w:spacing w:after="0"/>
              <w:rPr>
                <w:sz w:val="18"/>
                <w:szCs w:val="18"/>
                <w:color w:val="auto"/>
              </w:rPr>
            </w:pP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Joseph Woody</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3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bl>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Each of these committees operates under a written charter and reports regularly to the Board. A copy of each of these committee charters is available in the “Investors” section of the Company’s website under the heading “Corporate Governance” at </w:t>
      </w:r>
      <w:r>
        <w:rPr>
          <w:rFonts w:ascii="Times New Roman" w:cs="Times New Roman" w:eastAsia="Times New Roman" w:hAnsi="Times New Roman"/>
          <w:sz w:val="18"/>
          <w:szCs w:val="18"/>
          <w:i w:val="1"/>
          <w:iCs w:val="1"/>
          <w:color w:val="auto"/>
        </w:rPr>
        <w:t>ir.avitamedical.com</w:t>
      </w:r>
      <w:r>
        <w:rPr>
          <w:rFonts w:ascii="Times New Roman" w:cs="Times New Roman" w:eastAsia="Times New Roman" w:hAnsi="Times New Roman"/>
          <w:sz w:val="18"/>
          <w:szCs w:val="18"/>
          <w:color w:val="auto"/>
        </w:rPr>
        <w:t>, and copies may also be obtained by request through the “Contact” heading at the same website address. Our Internet website and the information contained therein or connected thereto are not intended to be incorporated into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has an Audit Committee in accordance with Section 3(a)(58)(A) of the U.S. Securities Exchange Act of 1934, as amended (the “Exchange Act”). Our Audit Committee assists our Board in overseeing our accounting and financial reporting processes and audits of our financial statements, including the integrity of our financial statements and internal financial controls. The Audit Committee is also required to oversee our compliance with legal and regulatory requirements, the qualifications and independence of our registered public accounting firm, enterprise risk management processes, and such other duties as may be directed by our Board.</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Nasdaq Listing Rules require us to establish an audit committee comprised of at least three members, each of whom is financially literate and satisfies the independence requirements of the SEC and Nasdaq and one of whom has accounting or related financial management expertise at senior levels within a company. In addition, the ASX Listing Rules and the ASX Corporate Governance Principles require us to have an audit committee comprised of at least three members, all of whom are non-executive Directors and a majority of whom are “independent directors,” and which is chaired by an independent director who does not also serve as chair of the Board.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right="40"/>
        <w:spacing w:after="0" w:line="266" w:lineRule="auto"/>
        <w:rPr>
          <w:sz w:val="20"/>
          <w:szCs w:val="20"/>
          <w:color w:val="auto"/>
        </w:rPr>
      </w:pPr>
      <w:r>
        <w:rPr>
          <w:rFonts w:ascii="Times New Roman" w:cs="Times New Roman" w:eastAsia="Times New Roman" w:hAnsi="Times New Roman"/>
          <w:sz w:val="18"/>
          <w:szCs w:val="18"/>
          <w:color w:val="auto"/>
        </w:rPr>
        <w:t>Our Audit Committee currently consists of six Board members, each of whom satisfies the independence requirements (thereby, is an “independent director”) of the SEC, Nasdaq Listing Rules, the ASX Listing Rules, and the ASX Corporate Governance Principles. The Audit Committee is composed of Professor Crowe, Mr. Curnock Cook, Mr. McNamara, Ms. Reed, Dr. Tarnoff, and Mr. Woody.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Mr. McNamara is the current Audit Committee Chair and was appointed to that role in May 2023. Our Board has determined that Mr. McNamara is an “audit committee financial expert,” as defined in Item 407(d)(5)(ii) of Regulation S-K. The Audit Committee meets at least four times per year.</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Audit Committee held a total of four meetings during the annual period ended December 31, 2025. All members of the Audit Committee attended at least 75% of the meetings held during the time at which they were a Committee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and Compensation Committee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also has a Human Capital and Compensation Committee, which is comprised of independent directors within the meanings of Nasdaq Listing Rules and the ASX Corporate Governance Principles. The Human Capital and Compensation Committee is currently comprised of Professor Crowe, Mr. Curnock Cook, Mr. McNamara, Ms. Reed, Dr. Tarnoff, and Mr. Woody, with Cary Vance serving as the Chair from January through October 15, 2025, with Dr. Tarnoff assuming the position of Chair as of October 16, 2025. The Human Capital and Compensation Committee is responsible for reviewing the salary, incentives, and other benefits of our directors, executive officers and employees, and making recommendations on such matters for approval by our Board. The Human Capital and Compensation Committee is also responsible for overseeing and advising on our compensation practices and other human capital programs.</w:t>
      </w:r>
    </w:p>
    <w:p>
      <w:pPr>
        <w:spacing w:after="0" w:line="189" w:lineRule="exact"/>
        <w:rPr>
          <w:sz w:val="20"/>
          <w:szCs w:val="20"/>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The Human Capital and Compensation Committee held a total of eight meetings during the annual period ended December 31, 2025. All members of the Human Capital and Compensation Committee attended at least 75% of the meetings held during the time at which they were each a Committee member.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also has a Nominating and Corporate Governance Committee. Under the ASX Corporate Governance Principles, our Nominating and Corporate Governance Committee should have at least three members, a majority of whom are independent, and should also be chaired by an independent director. Professor Crowe, Mr. Curnock Cook, Mr. McNamara, Ms. Reed, Dr. Tarnoff, and Mr. Woody are the current members of the Nominating and Corporate Governance Committee, and each qualifies as an independent director within the meaning of the Nasdaq Listing Rules and the ASX Corporate Governance Principles. Ms. Reed serves as the Chair.</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held a total of five meetings during the annual period ended December 31, 2025. All members of the Nominating and Corporate Governance Committee attended at least 75% of the meetings held during the time at which they were each a Committee member.</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oversees, reviews, and receives updates on the Company’s significant legal and regulatory compliance matters, with the exception that matters with financial implications are referred to and reviewed by the Audit Committee. Matters within the Committee’s oversight responsibilities may include, without limitation, compliance with laws, interactions with healthcare professionals, employee health and safety, fair dealing, anti-bribery, data privacy and cybersecurity and product quality compliance.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also oversees, reviews, and receives updates regarding the Company’s ethics and compliance reporting mechanisms and significant investigations. This includes (i) reviewing reports on (a) the process for how ethics and compliance issues are identified and reported to the Company’s compliance officers; and (b) all significant investigations directed by the Company's compliance officers pursuant to the Company’s compliance policies and practices; and (ii) overseeing the Company’s processes upholding confidentiality, independence, objectivity, and professionalism as guiding principles in its investigations.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Process for Nominating Potential Director Candidates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and evaluating potential director candidates and recommending qualified candidates for election by the stockholders consistent with a skills matrix maintained and reviewed annually by the Board. Nominees for director are selected by the Nominating and Corporate Governance Committee on the basis of their (i) academic, financial, business leadership, and other expertise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its employees, and its stockholders as a whole and not primarily a special interest group or constituency; (vi) ability and willingness to devote time to the affairs and success of the Company and in fulfilling the responsibilities of a Director; and</w:t>
      </w:r>
    </w:p>
    <w:p>
      <w:pPr>
        <w:spacing w:after="0" w:line="3" w:lineRule="exact"/>
        <w:rPr>
          <w:sz w:val="20"/>
          <w:szCs w:val="20"/>
          <w:color w:val="auto"/>
        </w:rPr>
      </w:pPr>
    </w:p>
    <w:p>
      <w:pPr>
        <w:ind w:right="80" w:firstLine="8"/>
        <w:spacing w:after="0" w:line="260" w:lineRule="auto"/>
        <w:tabs>
          <w:tab w:leader="none" w:pos="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interplay of the candidate’s expertise, skills, knowledge, and experience with that of other Directors will maintain a Board that is professional, effective, collegial, and responsive to the needs of the Company.</w:t>
      </w:r>
    </w:p>
    <w:p>
      <w:pPr>
        <w:spacing w:after="0" w:line="18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Nominating and Corporate Governance Committee identifies candidates from a variety of backgrounds and considers all candidates equally. The Nominating and Corporate Governance Committee reviews the background and qualifications of each nominee to determine such nominee’s experience, competence, character, and potential contribution to the Board and its committees, taking into account the then existing composition of the Board and such other factors as the Nominating and Corporate Governance Committee deems appropriate. The Board should collectively possess skills, industry knowledge and expertise, and other experience useful for the effective oversight of the Company’s business. The Nominating and Corporate Governance Committee believes that the professional experience of its Directors has been, and continues to be, critical to the Company’s continued growth and success.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as it applies to recommendations from the Nominating and Corporate Governance Committee. Any such nominations should be submitted to the Nominating and Corporate Governance Committee in line with the instructions provided later in this Proxy Statement under the caption “Requirements for Stockholder Proposals to be brought before the 2027 Annual Meeting of Stockholders” and in compliance with other specific procedural requirements set forth in the Company’s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Board held a total of twelve meetings during the annual period ended December 31, 2025. All members of the Board attended at least 75% of the meetings of the Board and of any committee on which they served during the time in which they were a member of the Board or such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during the calendar year ending December 31, 2026, the Board is currently scheduled to meet five times.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encourages all Directors and director nominees to attend the Company’s Annual Meeting. All members of our Board then serving on the Board except for Mr. Curnock Cook were present at the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adopted a written code of business conduct and ethics that applies to all Company directors, officers, employees, and consultants (the “Code”) which the Board reviews, and for which it provides training, on an annual basis. A copy of the Code is posted under the heading “Corporate Governance” on the Investor Relations section of the Company’s website, which is located at https://avitamedical.com/. If the Company makes any substantive amendments to, or grants any waivers from, the Code for any officer or director, the Company will disclose the nature of such amendment or waiver on its website 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outlines certain procedures governing the purchase, sale and/or other dispositions of our securities by our Directors, officers, employees, and, to the extent that they possess material non-public information, certain consultants, contractors or other individuals retained by the Company (“Restricted Persons”). These Insider Trading Policy procedures are designed to promote compliance with insider trading laws, rules, and regulations applicable to our Company. Our Insider Trading Policy has been filed as Exhibit 19 to our 2025 Annual Report on Form 10-K (the “FY25 10-K”), as required by the rules and regulations of the SEC.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Prohibition on Short Selling, Hedging Transactions and Short-Term Trading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part of our Insider Trading Policy, Restricted Persons are not permitted to engage in any short sale of our securities, or otherwise engage in transactions, that hedge or offset, or are designed to hedge or offset, any decrease in the market value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current Executive Chairman of the Board is Cary Vance, who has been serving as the Company’s Interim CEO since October 16, 2025. In light of his executive position, Mr. Vance does not qualify as an independent director under Nasdaq Listing Rules and for the purposes of the ASX Corporate Governance Principles. Simultaneously with Mr. Vance’s appointment to the Interim CEO position, and to balance this leadership structure, the Board appointed Ms. Reed to serve as its Lead Independent Director. The Board believes that Ms. Reed’s service as Lead Independent Director provides the Company with independent oversight by the Board. The non-executive Directors meet regularly in executive session at least quarterly without the presence of the Interim CEO. The Lead Independent Director presides over the executive sessions of the non-executive Directors, serves as a liaison between non-executive Directors and the Executive Chairman/Interim CEO, reviews and approves Board meeting agendas in consultation with the Executive Chairman, and is available for consultation with stockholders as appropriate. The Board regularly reviews its composition and leadership structure and believes that the current combination of the Executive Chairman/Interim CEO and the Lead Independent Director position serves the best interests of the Company and its stockholders at this time. As of the date of this Proxy Statement, 33% of the non-executive Directors are female.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day-to-day basis, the Company’s Board oversees management’s efforts to assess and manage risk. The Board (particularly through the Audit Committee) monitors and receives advice on areas of financial, operational and strategic risk and considers appropriate enterprise risk management processes. Specific areas of enterprise risk which are regularly considered at Board meetings include: product portfolio expansion, acceptance by regulatory authorities of the Company’s products, government and private payor reimbursement, clinical research data, debt service, management of cash and operating expenses, expansion into international markets, and human resources. Additional areas of focus for the Board include, but are not limited to:</w:t>
      </w:r>
    </w:p>
    <w:p>
      <w:pPr>
        <w:spacing w:after="0" w:line="79" w:lineRule="exact"/>
        <w:rPr>
          <w:sz w:val="20"/>
          <w:szCs w:val="20"/>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2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the evaluation of the Company’s capital structure;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 including US and Australia disclosure obligations.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enterprise risk management by the Audit Committee, the Human Capital and Compensation Committee oversees the risks associated with the Company’s compensation policies and practices with respect to both Director and executive compensation as well as employee compensation matters. Further, the Nominating and Corporate Governance Committee oversees risks associated with the Company’s overall governance and compliance practices, as well as the composition and leadership structure of the Board.</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Board’s role in risk oversight is coordinated with the Company’s executive leadership, which assesses and manages the Company’s risk exposure, and reports concerns and progress relating to such risk management to the Board and committees on at least a quarterly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The Company has a cybersecurity incident response plan in place that provides a documented framework for handling high and low severity security incidents and facilitates coordination across multiple parts of the business. The Company also conducts internal phishing campaigns and performs an independent penetration test on an annual basis. In addition, we conduct regular security awareness training and testing of our employees. Finally, the Company engages an independent third-party cybersecurity services and consulting firm to continuously review our information security. The Company has not had any material cybersecurity incidents.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ISMS is established in accordance with the requirements of International Organization for Standardization 27001 and 27002 (“ISO 27001” and “ISO 27002”). The ISO 27001 provides a framework and guidelines for establishing, implementing and managing an ISMS and ISO 27002 provides a reference set of generic information security controls including implementation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Management’s Responsibility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Chief Financial Officer (the “CFO”) is primarily responsible for overseeing the Cybersecurity Risk Management Program and leading the Company’s efforts to mitigate technology risks in partnership with various business leaders in the organization. For the oversight qualifications of the CFO, refer to Item 10 of the FY25 10-K, filed with the SEC on February 12, 2026 (and lodged on the ASX on February 13, 2026). The Company has protocols, policies and resources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the Company engages its external auditor to assess our IT internal controls on an annual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the Board’s Responsibility</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cybersecurity risks on a day-to-day basis, the Company’s Board oversees management’s efforts to assess and manage risk. The Board (in conjunction particularly with the Audit Committee) monitors the cybersecurity risk assessment and response process. The Audit Committee annually reviews the adequacy and effectiveness of the Company’s information security policies and procedures related to information security and cybersecurity. This annual review includes discussions on topics such as: information security and technology risks, information risk management strategies, cybersecurity risk assessment processes, benchmarking and updates, and status on cybersecurity and data protection training initiatives for employees, among others.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more information on the Company’s Cybersecurity Risk Management and Strategy, please see the FY25 10-K filed with the SEC on February 12, 2026 (and lodged on the ASX on February 13,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and Interested Party Communications with Directors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Stockholders may communicate with the Board, members of particular committees, or individual directors by sending a letter to such persons in care of the Company’s Corporate Secretary at its principal executive offices. The Corporate Secretary has the authority to disregard, or to take other appropriate actions with respect to, any inappropriate communications. If deemed an appropriate communication, the Corporate Secretary will submit the correspondence to the Chairman of the Board or to the committee or specific director to whom the correspondence is directed. Communications regarding the inclusion of proposals for stockholder vote in an annual meeting of the Company must comply with the Company’s Bylaws.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earned by, or awarded to, each non-executive Director who served on the Company’s Board during the fiscal year ended December 31, 2025 (in U.S. dollars). The Company did not provide separate compensation to its executive director, James Corbett, who, while a member of the Board, served as the Company’s CEO during the fiscal year ended December 31, 2025. Mr. Corbett’s compensation for his services as CEO is provided in the executive compensation disclosures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Fees earned in cash</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Non-Executive Directors</w:t>
            </w:r>
          </w:p>
        </w:tc>
        <w:tc>
          <w:tcPr>
            <w:tcW w:w="16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Jan Stern Reed - Lead Independent Director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207,746</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Professor Suzanne Crowe</w:t>
            </w: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195,454</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Jeremy Curnock Cook</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195,454</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McNamara</w:t>
            </w: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102,500</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205,454</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Lou Panaccio</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216,434</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Dr. Michael Tarnoff (4)</w:t>
            </w: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32,870</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32,870</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Cary Vance (5)</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91,516</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194,470</w:t>
            </w:r>
          </w:p>
        </w:tc>
        <w:tc>
          <w:tcPr>
            <w:tcW w:w="100" w:type="dxa"/>
            <w:vAlign w:val="bottom"/>
          </w:tcPr>
          <w:p>
            <w:pPr>
              <w:spacing w:after="0"/>
              <w:rPr>
                <w:sz w:val="17"/>
                <w:szCs w:val="17"/>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Non-Executive Directors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630,158</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524,952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92,772</w:t>
            </w:r>
          </w:p>
        </w:tc>
        <w:tc>
          <w:tcPr>
            <w:tcW w:w="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1,247,883</w:t>
            </w:r>
          </w:p>
        </w:tc>
        <w:tc>
          <w:tcPr>
            <w:tcW w:w="100" w:type="dxa"/>
            <w:vAlign w:val="bottom"/>
            <w:shd w:val="clear" w:color="auto" w:fill="CFF0FC"/>
          </w:tcPr>
          <w:p>
            <w:pPr>
              <w:spacing w:after="0"/>
              <w:rPr>
                <w:sz w:val="18"/>
                <w:szCs w:val="18"/>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amounts are composed of the following: $70,000 for fees as a Board Member, $35,000 for Lead Independent Director, $20,000 for Audit Committee Chair, $15,000 for Human Capital and Compensation Committee Chair, $10,000 for Nominating and Corporate Governance Chair, $10,000 for Audit Committee Member, $7,500 for Human Capital and Compensation Committee Member, and $5,000 for Nominating and Corporate Governance Member.</w:t>
      </w:r>
    </w:p>
    <w:p>
      <w:pPr>
        <w:spacing w:after="0" w:line="179" w:lineRule="exact"/>
        <w:rPr>
          <w:rFonts w:ascii="Times New Roman" w:cs="Times New Roman" w:eastAsia="Times New Roman" w:hAnsi="Times New Roman"/>
          <w:sz w:val="18"/>
          <w:szCs w:val="18"/>
          <w:color w:val="auto"/>
        </w:rPr>
      </w:pPr>
    </w:p>
    <w:p>
      <w:pPr>
        <w:ind w:left="1020" w:right="160" w:hanging="503"/>
        <w:spacing w:after="0" w:line="25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US$-value of grants of restricted stock units (“RSUs”) with the aggregate grant date fair value computed in accordance with FASB ASC Topic 718, the fair value amount determined at the date of grant in accordance with U.S. GAAP based on the closing price of our Common Stock on the grant date. These RSU grants vest 12 months following the grant date, subject to continued participation as Board members through such vesting date. As of December 31, 2025, Mr. McNamara and Mr. Vance each held 13,480 RSUs and Messrs. Cook, Crowe, Panaccio, and Reed each held 10,022 RSUs, respectively. Dr. Tarnoff did not hold any RSUs as of December 31, 2025.</w:t>
      </w:r>
    </w:p>
    <w:p>
      <w:pPr>
        <w:spacing w:after="0" w:line="187" w:lineRule="exact"/>
        <w:rPr>
          <w:rFonts w:ascii="Times New Roman" w:cs="Times New Roman" w:eastAsia="Times New Roman" w:hAnsi="Times New Roman"/>
          <w:sz w:val="18"/>
          <w:szCs w:val="18"/>
          <w:color w:val="auto"/>
        </w:rPr>
      </w:pPr>
    </w:p>
    <w:p>
      <w:pPr>
        <w:ind w:left="1020" w:right="180" w:hanging="503"/>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grants of stock options with the aggregate grant date fair value computed in accordance with FASB ASC Topic 718. Amounts in this column represent option grants issued to the individuals noted, based on the fair value determined at the date of grant in accordance with U.S. GAAP. These option grants vest 12 months following the grant date, subject to continued participation as Board members. As of December 31, 2025, Ms. Reed held 23,754 options, Mr. McNamara and Mr. Vance each held 15,330 options, and Messrs. Cook, Crowe, and Panaccio each held 18,829 options, respectively. Dr. Tarnoff did not hold any options as of December 31, 2025.</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Tarnoff was appointed to the Board on August 6, 2025.</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Vance was appointed as our Interim CEO on October 16, 2025, and at such time, ceased serving on the Board as a non-executive Director; and accordingly, ceased receiving compensation for his service on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therefore, will have no direct effect on the outcome of the election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on the recommendation of the Audit Committee, has appointed Grant Thornton LLP to serve as the Company’s independent registered public accounting firm for the fiscal year ending December 31, 2026.</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Stockholders previously approved the ratification of the appointment of Grant Thornton LLP to serve as the Company’s independent registered public accounting firm at the 2025 Annual Meeting for the fiscal year ended December 31, 2025. This proposal seeks stockholder approval for the ratification of the appointment of Grant Thornton LLP to serve as the Company’s independent registered public accounting firm for the fiscal year ending December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to ratify such appointment.</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Annual Meeting with the opportunity to make a statement if they desire to do so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Other Fees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aggregate fees billed or accrued to us by Grant Thornton LLP, our independent registered public accounting firm, for services rendered for the years ended December 31, 2025 and 2024, are set forth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Year-Ended</w:t>
            </w:r>
          </w:p>
        </w:tc>
      </w:tr>
      <w:tr>
        <w:trPr>
          <w:trHeight w:val="209"/>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10"/>
        </w:trPr>
        <w:tc>
          <w:tcPr>
            <w:tcW w:w="3420" w:type="dxa"/>
            <w:vAlign w:val="bottom"/>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4000" w:type="dxa"/>
            <w:vAlign w:val="bottom"/>
            <w:gridSpan w:val="2"/>
            <w:shd w:val="clear" w:color="auto" w:fill="CFF0FC"/>
          </w:tcPr>
          <w:p>
            <w:pPr>
              <w:jc w:val="right"/>
              <w:ind w:right="19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803,294</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726,716</w:t>
            </w:r>
          </w:p>
        </w:tc>
      </w:tr>
      <w:tr>
        <w:trPr>
          <w:trHeight w:val="216"/>
        </w:trPr>
        <w:tc>
          <w:tcPr>
            <w:tcW w:w="34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(2)</w:t>
            </w:r>
          </w:p>
        </w:tc>
        <w:tc>
          <w:tcPr>
            <w:tcW w:w="1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(3)</w:t>
            </w:r>
          </w:p>
        </w:tc>
        <w:tc>
          <w:tcPr>
            <w:tcW w:w="18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128,938</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175,652</w:t>
            </w:r>
          </w:p>
        </w:tc>
      </w:tr>
      <w:tr>
        <w:trPr>
          <w:trHeight w:val="216"/>
        </w:trPr>
        <w:tc>
          <w:tcPr>
            <w:tcW w:w="34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4"/>
                <w:szCs w:val="24"/>
                <w:color w:val="auto"/>
                <w:vertAlign w:val="superscript"/>
              </w:rPr>
              <w:t>(4)</w:t>
            </w:r>
          </w:p>
        </w:tc>
        <w:tc>
          <w:tcPr>
            <w:tcW w:w="1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fees</w:t>
            </w:r>
          </w:p>
        </w:tc>
        <w:tc>
          <w:tcPr>
            <w:tcW w:w="1860" w:type="dxa"/>
            <w:vAlign w:val="bottom"/>
            <w:shd w:val="clear" w:color="auto" w:fill="CFF0FC"/>
          </w:tcPr>
          <w:p>
            <w:pPr>
              <w:spacing w:after="0"/>
              <w:rPr>
                <w:sz w:val="19"/>
                <w:szCs w:val="19"/>
                <w:color w:val="auto"/>
              </w:rPr>
            </w:pPr>
          </w:p>
        </w:tc>
        <w:tc>
          <w:tcPr>
            <w:tcW w:w="2140" w:type="dxa"/>
            <w:vAlign w:val="bottom"/>
            <w:shd w:val="clear" w:color="auto" w:fill="CFF0FC"/>
          </w:tcPr>
          <w:p>
            <w:pPr>
              <w:jc w:val="right"/>
              <w:ind w:right="1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932,232</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902,368</w:t>
            </w: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13"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 services that are reasonably related to the performance of the audit or review of financial statements and are not included in “Audit fees.” There were no fees for such services during the relevant period.</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last two fiscal years for professional services rendered by the principal accountant for tax compliance, tax advice, and tax planning.</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fees for this “all other fees” category during the relevant period.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Practice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Company’s Audit Committee or the engagement to render such services is entered into pursuant to pre-approval policies and procedures established by the Audit Committee. The Audit Committee pre-approved all audit services provided by independent registered public accountants during the years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voting power of the shares of Common Stock of the Company that are present in person or represented by proxy at the Annual Meeting and entitled to vote on this Proposal 2, with abstentions having the same effect as votes “AGAINST” this Proposal 2. A failure to instruct your broker on how to vote on such matter will have no effect on the vote on this Proposal 2. Further, we do not expect any broker non-votes with respect to this Proposal 2.</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Grant Thornton LLP.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Audit Committee assists the Company’s Board in its oversight of the Company’s financial reporting process. All six members of the Audit Committee qualify as independent directors under Nasdaq Listing Rules for public companies and the independence requirements of Rule 10A-3 promulgated under the Exchange Act, and the Board has determined that one member is qualified as an audit committee financial expert within the meaning of Item 407(d)(5) of Regulation S-K. All six members of the Audit Committee are also considered to be independent for the purposes of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Edition of the ASX Corporate Governance Principles. The Audit Committee’s charter can be viewed online on the Company’s website.</w:t>
      </w:r>
    </w:p>
    <w:p>
      <w:pPr>
        <w:spacing w:after="0" w:line="19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fulfilling its duties, the Audit Committee reviewed and discussed the audited financial statements contained in the Company’s Annual Report on Form 10-K for the year ended December 31, 2025 with management and the Company’s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Audit Committee met with the independent auditor with and without management present and discussed those matters required to be discussed by the applicable requirements of the Public Company Accounting Oversight Board (the “PCAOB”) and the SEC. The Audit Committee also received the independent auditor’s written disclosures and letter regarding its independence, in accordance with applicable PCAOB requirements, and reviewed such independence with the independent auditor.</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Based on the above reviews and discussions, the Audit Committee recommended to the Board, and the Board approved, that the audited financial statements be included in the Company’s Form 10-K for the year ended December 31, 2025, for filing with the SEC.</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Robert McNamara, Chair of the Audit Committee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Prof. Suzanne Crowe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Jeremy Curnock Cook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Jan Stern Reed</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Dr. Michael Tarnoff</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Joseph Woody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0" w:name="page21"/>
    <w:bookmarkEnd w:id="20"/>
    <w:p>
      <w:pPr>
        <w:ind w:left="3160"/>
        <w:spacing w:after="0"/>
        <w:rPr>
          <w:sz w:val="20"/>
          <w:szCs w:val="20"/>
          <w:color w:val="auto"/>
        </w:rPr>
      </w:pPr>
      <w:r>
        <w:rPr>
          <w:rFonts w:ascii="Times New Roman" w:cs="Times New Roman" w:eastAsia="Times New Roman" w:hAnsi="Times New Roman"/>
          <w:sz w:val="18"/>
          <w:szCs w:val="18"/>
          <w:b w:val="1"/>
          <w:bCs w:val="1"/>
          <w:color w:val="auto"/>
        </w:rPr>
        <w:t>CERTAIN INFORMATION ABOUT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 provides certain information regarding the ownership of the Company’s Common Stock (including CDIs), as of the Record Date (April 9, 2026), including the right to acquire Common Stock within 60 days of that Record Date, by each person or group of affiliated persons known to us to be the beneficial owner of more than 5% of the Company’s Common Stock (including Common Stock represented by CDIs); each of the Company’s named executive officers; each of its Directors; and all of its executive officers and Directors as a group. The table also sets out the names of all persons (of which the Company is aware) who have disclosed pursuant to the Australian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that they are substantial stockholders of the Company and carry 5% or more of the voting rights attached to the issued securities of the Company.</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the related notes, the address for each person named in the table is c/o AVITA Medical, Inc., 28159 Avenue Stanford, Suite 220, Valencia, CA 91355.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 and Nature of Beneficial</w:t>
            </w:r>
          </w:p>
        </w:tc>
        <w:tc>
          <w:tcPr>
            <w:tcW w:w="9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46"/>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 xml:space="preserve">Ownership </w:t>
            </w:r>
            <w:r>
              <w:rPr>
                <w:rFonts w:ascii="Times New Roman" w:cs="Times New Roman" w:eastAsia="Times New Roman" w:hAnsi="Times New Roman"/>
                <w:sz w:val="21"/>
                <w:szCs w:val="21"/>
                <w:b w:val="1"/>
                <w:bCs w:val="1"/>
                <w:color w:val="auto"/>
                <w:vertAlign w:val="superscript"/>
              </w:rPr>
              <w:t>(1)</w:t>
            </w:r>
          </w:p>
        </w:tc>
        <w:tc>
          <w:tcPr>
            <w:tcW w:w="96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xml:space="preserve">Class </w:t>
            </w:r>
            <w:r>
              <w:rPr>
                <w:rFonts w:ascii="Times New Roman" w:cs="Times New Roman" w:eastAsia="Times New Roman" w:hAnsi="Times New Roman"/>
                <w:sz w:val="21"/>
                <w:szCs w:val="21"/>
                <w:b w:val="1"/>
                <w:bCs w:val="1"/>
                <w:color w:val="auto"/>
                <w:w w:val="95"/>
                <w:vertAlign w:val="superscript"/>
              </w:rPr>
              <w:t>(2)</w:t>
            </w:r>
          </w:p>
        </w:tc>
      </w:tr>
      <w:tr>
        <w:trPr>
          <w:trHeight w:val="196"/>
        </w:trPr>
        <w:tc>
          <w:tcPr>
            <w:tcW w:w="1320" w:type="dxa"/>
            <w:vAlign w:val="bottom"/>
            <w:shd w:val="clear" w:color="auto" w:fill="CFF0FC"/>
          </w:tcPr>
          <w:p>
            <w:pPr>
              <w:spacing w:after="0"/>
              <w:rPr>
                <w:sz w:val="17"/>
                <w:szCs w:val="17"/>
                <w:color w:val="auto"/>
              </w:rPr>
            </w:pPr>
          </w:p>
        </w:tc>
        <w:tc>
          <w:tcPr>
            <w:tcW w:w="4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Directors and named executive officers:</w:t>
            </w:r>
          </w:p>
        </w:tc>
        <w:tc>
          <w:tcPr>
            <w:tcW w:w="28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Jan Stern Reed</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74,765</w:t>
            </w: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Professor Suzanne Crowe</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65,763</w:t>
            </w:r>
          </w:p>
        </w:tc>
        <w:tc>
          <w:tcPr>
            <w:tcW w:w="9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Jeremy Curnock Cook</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58,665</w:t>
            </w: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Robert McNamara</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100,619</w:t>
            </w:r>
          </w:p>
        </w:tc>
        <w:tc>
          <w:tcPr>
            <w:tcW w:w="9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Dr. Michael Tarnoff</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Joseph Woody</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Cary Vance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49,619</w:t>
            </w: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5"/>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David O'Toole</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269,791</w:t>
            </w:r>
          </w:p>
        </w:tc>
        <w:tc>
          <w:tcPr>
            <w:tcW w:w="9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(8)</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Nicole Kelsey</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71,667</w:t>
            </w: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(9)</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1320" w:type="dxa"/>
            <w:vAlign w:val="bottom"/>
            <w:shd w:val="clear" w:color="auto" w:fill="CFF0FC"/>
          </w:tcPr>
          <w:p>
            <w:pPr>
              <w:spacing w:after="0"/>
              <w:rPr>
                <w:sz w:val="18"/>
                <w:szCs w:val="18"/>
                <w:color w:val="auto"/>
              </w:rPr>
            </w:pPr>
          </w:p>
        </w:tc>
        <w:tc>
          <w:tcPr>
            <w:tcW w:w="4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All executive officers and directors as a group (9 persons)</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690,889</w:t>
            </w:r>
          </w:p>
        </w:tc>
        <w:tc>
          <w:tcPr>
            <w:tcW w:w="96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rPr>
              <w:t>2.24%</w:t>
            </w:r>
          </w:p>
        </w:tc>
      </w:tr>
    </w:tbl>
    <w:p>
      <w:pPr>
        <w:spacing w:after="0" w:line="198" w:lineRule="exact"/>
        <w:rPr>
          <w:sz w:val="20"/>
          <w:szCs w:val="20"/>
          <w:color w:val="auto"/>
        </w:rPr>
      </w:pPr>
    </w:p>
    <w:p>
      <w:pPr>
        <w:ind w:left="140" w:hanging="132"/>
        <w:spacing w:after="0"/>
        <w:tabs>
          <w:tab w:leader="none" w:pos="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Stock.</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we believe that the beneficial owners of the Common Stock (including Common Stock represented by CDIs) listed above, based on information furnished by such owners, have sole investment and voting power with respect to such shares, subject to community property laws where applicable. Beneficial ownership is determined in accordance with applicable U.S. securities laws and generally takes into consideration voting and/or investment power with respect to such securities.</w:t>
      </w:r>
    </w:p>
    <w:p>
      <w:pPr>
        <w:spacing w:after="0" w:line="71"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30,776,689 shares of our Common Stock issued and outstanding as of the Record Date (April 9, 2026) (including Common Stock represented by CDIs). Common Stock subject to RSUs that vest, or options that are exercisable, within 60 days of the Record Date are deemed outstanding for purposes of computing the percentage ownership of the person holding such RSUs or options, but are not deemed outstanding for purposes of computing the percentage ownership of any other person.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51,011 shares of Common Stock, as well as 23,754 stock options to acquire shares of our Common Stock.</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42,336 shares of Common Stock and 22,990 CDIs (representing 4,598 shares of our Common Stock), as well as 18,829 stock options to acquire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39,836 shares of Common Stock, as well as 18,829 stock options to acquire shares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83,313 shares of Common Stock, as well as 13,848 stock options and 3,458 RSUs to acquire a total of 17,306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32,313 shares of Common Stock, as well as 13,848 stock options and 3,458 RSUs to acquire a total of 17,306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36,457 shares of Common Stock, as well as 233,334 stock options to acquire shares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71,667 stock options to acquire shares of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First Appointed</w:t>
            </w:r>
          </w:p>
        </w:tc>
      </w:tr>
      <w:tr>
        <w:trPr>
          <w:trHeight w:val="21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Cary Vance</w:t>
            </w:r>
          </w:p>
        </w:tc>
        <w:tc>
          <w:tcPr>
            <w:tcW w:w="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2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October 2025</w:t>
            </w: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O'Toole</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2023</w:t>
            </w:r>
          </w:p>
        </w:tc>
      </w:tr>
      <w:tr>
        <w:trPr>
          <w:trHeight w:val="21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Nicole Kelsey</w:t>
            </w:r>
          </w:p>
        </w:tc>
        <w:tc>
          <w:tcPr>
            <w:tcW w:w="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Legal and Compliance Officer and Corporate Secretary</w:t>
            </w:r>
          </w:p>
        </w:tc>
        <w:tc>
          <w:tcPr>
            <w:tcW w:w="2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July 2024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Cary Vance </w:t>
      </w:r>
      <w:r>
        <w:rPr>
          <w:rFonts w:ascii="Times New Roman" w:cs="Times New Roman" w:eastAsia="Times New Roman" w:hAnsi="Times New Roman"/>
          <w:sz w:val="18"/>
          <w:szCs w:val="18"/>
          <w:color w:val="auto"/>
        </w:rPr>
        <w:t>is discussed above in the “Professional Experience” section of</w:t>
      </w:r>
      <w:r>
        <w:rPr>
          <w:rFonts w:ascii="Times New Roman" w:cs="Times New Roman" w:eastAsia="Times New Roman" w:hAnsi="Times New Roman"/>
          <w:sz w:val="18"/>
          <w:szCs w:val="18"/>
          <w:b w:val="1"/>
          <w:bCs w:val="1"/>
          <w:color w:val="auto"/>
        </w:rPr>
        <w:t xml:space="preserve"> Proposal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David O'Toole </w:t>
      </w:r>
      <w:r>
        <w:rPr>
          <w:rFonts w:ascii="Times New Roman" w:cs="Times New Roman" w:eastAsia="Times New Roman" w:hAnsi="Times New Roman"/>
          <w:sz w:val="18"/>
          <w:szCs w:val="18"/>
          <w:color w:val="auto"/>
        </w:rPr>
        <w:t>is an accomplished financial executive with extensive experience in both public company operations and capital markets and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AVITA Medical’s Chief Financial Officer since June 2023. Prior to joining the Company, Mr. O’Toole served as CFO of Opiant Pharmaceuticals, a biopharmaceutical company developing treatments for addiction and drug overdose, which was acquired by Indivior in March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Nicole Kelsey </w:t>
      </w:r>
      <w:r>
        <w:rPr>
          <w:rFonts w:ascii="Times New Roman" w:cs="Times New Roman" w:eastAsia="Times New Roman" w:hAnsi="Times New Roman"/>
          <w:sz w:val="18"/>
          <w:szCs w:val="18"/>
          <w:color w:val="auto"/>
        </w:rPr>
        <w:t>has served as Chief Legal and Compliance Officer and Corporate Secretary since July 2024, and as Interim SVP, Human Resources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2025. Ms. Kelsey has over 25 years of executive legal experience with expertise in M&amp;A, securities, corporate governance, and compliance. Ms. Kelsey previously served as Chief Legal Officer and Secretary for Amyris, Inc., a biotech company, and as General Counsel and Secretary of Criteo, a leader in commerce marketing based in Paris with global operations. Prior to joining Criteo, Ms. Kelsey was the senior securities lawyer for Medtronic, a global leader in healthcare technology; she served as head M&amp;A attorney for CIT Group, Inc.; she was the general counsel and chief compliance officer of a specialty art financing firm; and she served as the senior corporate attorney for the international conglomerate Vivendi. Before going in-house, Ms. Kelsey practiced with the law firms of White &amp; Case and Willkie, Farr &amp; Gallagher, in Paris and New York. A Fulbright scholar, Ms. Kelsey holds a Juris Doctor degree from the Northwestern University Pritzker School of Law and a Bachelor of Arts degree in Political Science and International Studies from The Ohio State University, and is admitted to practice law in New York and Minnesota.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the individuals listed in the “Summary Compensation Table” below. For 2025, our named executive officers are:</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Cary Vance, our Interim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O'Toole, our Chief Financial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Nicole Kelsey, our Chief Legal and Compliance Officer and Corporate Secretary, and our Interim SVP, Human Resources;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Corbett, our former Chief Executive Officer.</w:t>
      </w:r>
    </w:p>
    <w:p>
      <w:pPr>
        <w:spacing w:after="0" w:line="1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Effective October 16, 2025, Mr. Corbett departed from his role as Chief Executive Officer, and in connection with such departure, Mr. Vance was appointed as our Interim Chief Executive Officer.</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Specifically, this section provides an overview of our executive compensation program and each compensation component that we provide. This discussion may contain forward-looking statements that are based on our current plans, considerations, expectations and determinations regarding future compensation programs. Actual compensation programs that we adopt following the date of this Proxy Statement may differ materially from the currently planned programs summarized in this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Human Capital and Compensation Committee is governed by a Human Capital and Compensation Committee Charter (the “Charter”) which it reviews, and updates as necessary, on an annual basis. The Charter outlines responsibilities of the members, which include the following: reviewing the Company’s overall compensation policies and practices; reviewing, and recommending for Board approval, the annual compensation for the Board; reviewing, and recommending for Board approval, the executive compensation program for the Company’s executive leadership team, including the CEO; and reviewing, and recommending for Board approval, the Company’s independent compensation consultant on an annual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and Compensation Committee</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Upon review of benchmarking data and recommendations provided by the Board’s independent compensation consultant, Compensia, the Human Capital and Compensation Committee reviews compensation for the Board, and makes recommendations regarding the same for Board approval, on an annual basis.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Human Capital and Compensation Committee also reviews, and recommends for Board approval, the compensation for the Company’s executive leadership team, including the CEO, based on industry benchmarking data and guidance provided by Compensia, as follows: (a) the compensation of the CEO; and (b) based on the performance evaluations of, and suggested compensation recommendations for, each member of the Company’s executive leadership team provided by the CEO, the compensation (base salary, cash bonus, and equity incentive award) of the members of the Company’s executive leadership team, as necessary and no less than annually.</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Further, the Human Capital and Compensation Committee, with input from the CEO, reviews, and recommends for Board approval, the establishment of the Company’s annual performance targets.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Finally, the Human Capital and Compensation Committee, with input from both the CEO and Compensia, reviews and recommends for Board approval, the annual merit increase and bonus pool for the Company’s employees.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Human Capital and Compensation Committee undertakes its review of the compensation of each of the Board and the Company’s executive leadership team (including the compensation of the CEO) with the objective to align such compensation with the Company’s short- and long-term goals in order to ensure maximum stockholder benefit from the recruitment and retention of both a high-quality Board and executive leadership team.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of Say-on-Pay Vote Results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approximately 77% of the votes cast by our stockholders approved, on an advisory (non-binding) basis, the compensation of our named executive officers, which we believe affirms our stockholders' support for our executive compensation program. Accordingly, our Human Capital and Compensation Committee did not make any changes to our executive compensation program as a result of the say-on-pay vote. We currently expect our next say-on-pay vote (following the vote on Proposal 13 at this annual meeting) will be held at our 2027 annual meeting.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compensation paid to, or earned by, our named executive officers, Mr. Vance, Mr. O'Toole,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Kelsey and Mr. Corbett, for the fiscal years ended December 31,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Bonus (1)</w:t>
            </w:r>
          </w:p>
        </w:tc>
        <w:tc>
          <w:tcPr>
            <w:tcW w:w="14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(3)</w:t>
            </w:r>
          </w:p>
        </w:tc>
        <w:tc>
          <w:tcPr>
            <w:tcW w:w="64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40" w:type="dxa"/>
            <w:vAlign w:val="bottom"/>
          </w:tcPr>
          <w:p>
            <w:pPr>
              <w:spacing w:after="0"/>
              <w:rPr>
                <w:sz w:val="17"/>
                <w:szCs w:val="17"/>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Cary Vance</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137,475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278,053</w:t>
            </w:r>
          </w:p>
        </w:tc>
        <w:tc>
          <w:tcPr>
            <w:tcW w:w="100" w:type="dxa"/>
            <w:vAlign w:val="bottom"/>
            <w:shd w:val="clear" w:color="auto" w:fill="CFF0FC"/>
          </w:tcPr>
          <w:p>
            <w:pPr>
              <w:spacing w:after="0"/>
              <w:rPr>
                <w:sz w:val="17"/>
                <w:szCs w:val="17"/>
                <w:color w:val="auto"/>
              </w:rPr>
            </w:pPr>
          </w:p>
        </w:tc>
      </w:tr>
      <w:tr>
        <w:trPr>
          <w:trHeight w:val="203"/>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Interim Chief Executive Officer (8)</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David O'Toole</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490,916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98,600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1,532,265</w:t>
            </w:r>
          </w:p>
        </w:tc>
        <w:tc>
          <w:tcPr>
            <w:tcW w:w="100" w:type="dxa"/>
            <w:vAlign w:val="bottom"/>
          </w:tcPr>
          <w:p>
            <w:pPr>
              <w:spacing w:after="0"/>
              <w:rPr>
                <w:sz w:val="16"/>
                <w:szCs w:val="16"/>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459,253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195,500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1,068,666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54,109</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1,777,528</w:t>
            </w:r>
          </w:p>
        </w:tc>
        <w:tc>
          <w:tcPr>
            <w:tcW w:w="100" w:type="dxa"/>
            <w:vAlign w:val="bottom"/>
          </w:tcPr>
          <w:p>
            <w:pPr>
              <w:spacing w:after="0"/>
              <w:rPr>
                <w:sz w:val="18"/>
                <w:szCs w:val="18"/>
                <w:color w:val="auto"/>
              </w:rPr>
            </w:pPr>
          </w:p>
        </w:tc>
      </w:tr>
      <w:tr>
        <w:trPr>
          <w:trHeight w:val="205"/>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Nicole Kelsey</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458,455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384,366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22,806</w:t>
            </w: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957,427</w:t>
            </w:r>
          </w:p>
        </w:tc>
        <w:tc>
          <w:tcPr>
            <w:tcW w:w="100" w:type="dxa"/>
            <w:vAlign w:val="bottom"/>
            <w:shd w:val="clear" w:color="auto" w:fill="CFF0FC"/>
          </w:tcPr>
          <w:p>
            <w:pPr>
              <w:spacing w:after="0"/>
              <w:rPr>
                <w:sz w:val="17"/>
                <w:szCs w:val="17"/>
                <w:color w:val="auto"/>
              </w:rPr>
            </w:pPr>
          </w:p>
        </w:tc>
      </w:tr>
      <w:tr>
        <w:trPr>
          <w:trHeight w:val="18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Legal and Compliance Officer, and</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Interim SVP, Human Resources</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228,475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95,625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784,700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179,390</w:t>
            </w:r>
          </w:p>
        </w:tc>
        <w:tc>
          <w:tcPr>
            <w:tcW w:w="6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1,288,190</w:t>
            </w:r>
          </w:p>
        </w:tc>
        <w:tc>
          <w:tcPr>
            <w:tcW w:w="100" w:type="dxa"/>
            <w:vAlign w:val="bottom"/>
            <w:shd w:val="clear" w:color="auto" w:fill="CFF0FC"/>
          </w:tcPr>
          <w:p>
            <w:pPr>
              <w:spacing w:after="0"/>
              <w:rPr>
                <w:sz w:val="18"/>
                <w:szCs w:val="18"/>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James Corbett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569,302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642,373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196,040</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1,407,715</w:t>
            </w:r>
          </w:p>
        </w:tc>
        <w:tc>
          <w:tcPr>
            <w:tcW w:w="100" w:type="dxa"/>
            <w:vAlign w:val="bottom"/>
          </w:tcPr>
          <w:p>
            <w:pPr>
              <w:spacing w:after="0"/>
              <w:rPr>
                <w:sz w:val="16"/>
                <w:szCs w:val="16"/>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Former Chief Executive Officer (9)</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684,231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2,080,166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20,487</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3,243,885</w:t>
            </w:r>
          </w:p>
        </w:tc>
        <w:tc>
          <w:tcPr>
            <w:tcW w:w="100" w:type="dxa"/>
            <w:vAlign w:val="bottom"/>
          </w:tcPr>
          <w:p>
            <w:pPr>
              <w:spacing w:after="0"/>
              <w:rPr>
                <w:sz w:val="18"/>
                <w:szCs w:val="18"/>
                <w:color w:val="auto"/>
              </w:rPr>
            </w:pPr>
          </w:p>
        </w:tc>
      </w:tr>
    </w:tbl>
    <w:p>
      <w:pPr>
        <w:spacing w:after="0" w:line="312"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annual bonuses paid to our named executive officers for the applicable year.</w:t>
      </w:r>
    </w:p>
    <w:p>
      <w:pPr>
        <w:spacing w:after="0" w:line="63" w:lineRule="exact"/>
        <w:rPr>
          <w:rFonts w:ascii="Times New Roman" w:cs="Times New Roman" w:eastAsia="Times New Roman" w:hAnsi="Times New Roman"/>
          <w:sz w:val="18"/>
          <w:szCs w:val="18"/>
          <w:color w:val="auto"/>
        </w:rPr>
      </w:pPr>
    </w:p>
    <w:p>
      <w:pPr>
        <w:ind w:left="900" w:right="240" w:hanging="383"/>
        <w:spacing w:after="0" w:line="25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ASC 718. Amounts in this column represent option awards issued to the individuals noted, based on the fair value determined at the date of grant in accordance with U.S. GAAP. See Note 14, Share-Based Payment Plans to our Consolidated Financial Statements included in Part II, Item 8. “Financial Statements and Supplementary Data” for the assumptions used in determining the grant date fair value of option awards. The vesting of these option awards are subject to tenure related criteria.</w:t>
      </w:r>
    </w:p>
    <w:p>
      <w:pPr>
        <w:spacing w:after="0" w:line="21"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all other compensation for the covered fiscal year including the non-qualified deferred compensation employer match, 401(k) match, and fringe benefits such as commuting, accommodations and medical benefits, along with related taxes on grossed-up fringe benefits.</w:t>
      </w:r>
    </w:p>
    <w:p>
      <w:pPr>
        <w:spacing w:after="0" w:line="13" w:lineRule="exact"/>
        <w:rPr>
          <w:rFonts w:ascii="Times New Roman" w:cs="Times New Roman" w:eastAsia="Times New Roman" w:hAnsi="Times New Roman"/>
          <w:sz w:val="18"/>
          <w:szCs w:val="18"/>
          <w:color w:val="auto"/>
        </w:rPr>
      </w:pPr>
    </w:p>
    <w:p>
      <w:pPr>
        <w:ind w:left="900" w:right="80" w:hanging="383"/>
        <w:spacing w:after="0" w:line="28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$29,415 of non-qualified deferred compensation employer match and $20,700 of the Company’s 401(k) employer match contribution.</w:t>
      </w:r>
    </w:p>
    <w:p>
      <w:pPr>
        <w:spacing w:after="0" w:line="1" w:lineRule="exact"/>
        <w:rPr>
          <w:rFonts w:ascii="Times New Roman" w:cs="Times New Roman" w:eastAsia="Times New Roman" w:hAnsi="Times New Roman"/>
          <w:sz w:val="18"/>
          <w:szCs w:val="18"/>
          <w:color w:val="auto"/>
        </w:rPr>
      </w:pPr>
    </w:p>
    <w:p>
      <w:pPr>
        <w:ind w:left="900" w:right="80" w:hanging="383"/>
        <w:spacing w:after="0" w:line="28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$27,550 of non-qualified deferred compensation employer match and $21,000 of the Company’s 401(k) employer match contribution.</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relocation assistance.</w:t>
      </w:r>
    </w:p>
    <w:p>
      <w:pPr>
        <w:spacing w:after="0" w:line="63" w:lineRule="exact"/>
        <w:rPr>
          <w:rFonts w:ascii="Times New Roman" w:cs="Times New Roman" w:eastAsia="Times New Roman" w:hAnsi="Times New Roman"/>
          <w:sz w:val="18"/>
          <w:szCs w:val="18"/>
          <w:color w:val="auto"/>
        </w:rPr>
      </w:pPr>
    </w:p>
    <w:p>
      <w:pPr>
        <w:ind w:left="900" w:right="320" w:hanging="383"/>
        <w:spacing w:after="0" w:line="28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$117,000 in severance payments, $53,595 in vacation buy-out and $25,445 in the Company’s 401(k) employer match contribution and group term life insurance premiums.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Vance was appointed to the position of Interim Chief Executive Officer by the Board on October 16, 2025.</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 served as the Company’s Chief Executive Officer from January 1 through October 15,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Board, upon recommendations from the Human Capital and Compensation Committee, reviews our named executive officers’ base salaries annually and may make adjustments based on its review and consideration of market data provided by its independent compensation consultant, Compensia. In January 2025, our Board approved merit salary increases, effective as of February 2025, for each of our named executive officers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5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 Base Salary</w:t>
            </w:r>
          </w:p>
        </w:tc>
        <w:tc>
          <w:tcPr>
            <w:tcW w:w="300" w:type="dxa"/>
            <w:vAlign w:val="bottom"/>
          </w:tcPr>
          <w:p>
            <w:pPr>
              <w:spacing w:after="0"/>
              <w:rPr>
                <w:sz w:val="17"/>
                <w:szCs w:val="17"/>
                <w:color w:val="auto"/>
              </w:rPr>
            </w:pPr>
          </w:p>
        </w:tc>
        <w:tc>
          <w:tcPr>
            <w:tcW w:w="264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2025 Base Salary</w:t>
            </w:r>
          </w:p>
        </w:tc>
      </w:tr>
      <w:tr>
        <w:trPr>
          <w:trHeight w:val="218"/>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256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254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James Corbett, former Chief Executive Officer</w:t>
            </w:r>
          </w:p>
        </w:tc>
        <w:tc>
          <w:tcPr>
            <w:tcW w:w="25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675,000</w:t>
            </w:r>
          </w:p>
        </w:tc>
        <w:tc>
          <w:tcPr>
            <w:tcW w:w="28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702,000</w:t>
            </w:r>
          </w:p>
        </w:tc>
        <w:tc>
          <w:tcPr>
            <w:tcW w:w="100" w:type="dxa"/>
            <w:vAlign w:val="bottom"/>
            <w:shd w:val="clear" w:color="auto" w:fill="CFF0FC"/>
          </w:tcPr>
          <w:p>
            <w:pPr>
              <w:spacing w:after="0"/>
              <w:rPr>
                <w:sz w:val="18"/>
                <w:szCs w:val="18"/>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O’Toole, Chief Financial Officer</w:t>
            </w:r>
          </w:p>
        </w:tc>
        <w:tc>
          <w:tcPr>
            <w:tcW w:w="25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460,000</w:t>
            </w:r>
          </w:p>
        </w:tc>
        <w:tc>
          <w:tcPr>
            <w:tcW w:w="2840" w:type="dxa"/>
            <w:vAlign w:val="bottom"/>
            <w:gridSpan w:val="2"/>
          </w:tcPr>
          <w:p>
            <w:pPr>
              <w:jc w:val="right"/>
              <w:ind w:right="879"/>
              <w:spacing w:after="0"/>
              <w:rPr>
                <w:sz w:val="20"/>
                <w:szCs w:val="20"/>
                <w:color w:val="auto"/>
              </w:rPr>
            </w:pPr>
            <w:r>
              <w:rPr>
                <w:rFonts w:ascii="Times New Roman" w:cs="Times New Roman" w:eastAsia="Times New Roman" w:hAnsi="Times New Roman"/>
                <w:sz w:val="16"/>
                <w:szCs w:val="16"/>
                <w:color w:val="auto"/>
              </w:rPr>
              <w:t>493,000</w:t>
            </w:r>
          </w:p>
        </w:tc>
        <w:tc>
          <w:tcPr>
            <w:tcW w:w="100" w:type="dxa"/>
            <w:vAlign w:val="bottom"/>
          </w:tcPr>
          <w:p>
            <w:pPr>
              <w:spacing w:after="0"/>
              <w:rPr>
                <w:sz w:val="18"/>
                <w:szCs w:val="18"/>
                <w:color w:val="auto"/>
              </w:rPr>
            </w:pPr>
          </w:p>
        </w:tc>
      </w:tr>
      <w:tr>
        <w:trPr>
          <w:trHeight w:val="21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Nicole Kelsey, Chief Legal and Compliance Officer</w:t>
            </w:r>
          </w:p>
        </w:tc>
        <w:tc>
          <w:tcPr>
            <w:tcW w:w="25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450,000</w:t>
            </w:r>
          </w:p>
        </w:tc>
        <w:tc>
          <w:tcPr>
            <w:tcW w:w="28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459,000</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Annual Incentive Bonuses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Monetary incentive bonuses are generally paid annually and are designed to reward our executive officers based on the performance of the Company and their individual results. The target incentive bonus amount and the performance measures and targets for each executive officer are established in accordance with our Company’s annual bonus compensation practices. At the beginning of each fiscal year for which such bonus is paid, the Human Capital and Compensation Committee, in its discretion, considers our CEO’s recommendations, together with recommendations from Compensia, and independently reviews and recommends the total percentage achievement level for each member of the Company’s executive leadership team to the Board for review and approval.</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performance measures and targets for receiving the annual incentive bonus are intended to be measurable and quantifiable, and may include (but are not limited to) objectives such as (i) the Company meeting annual commercial revenue targets and achieving certain profitability levels, new product launch targets, and clinical testing goals, together with specific operational goals; and (ii) individual key performance indicators, determined for each member of the executive leadership team, according to each executive leader’s position. The annual incentive bonuses are intended to encourage the named executive officers to promote the sustainable growth and long-term success of the Company’s business. The actual amounts paid to our named executive officers with respect to their 2025 annual incentive bonuses are set forth in the Summary Compensation Table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the Company’s named executive officers, as of December 31,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bottom w:val="single" w:sz="8" w:color="auto"/>
            </w:tcBorders>
            <w:gridSpan w:val="2"/>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183"/>
        </w:trPr>
        <w:tc>
          <w:tcPr>
            <w:tcW w:w="2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 or</w:t>
            </w:r>
          </w:p>
        </w:tc>
      </w:tr>
      <w:tr>
        <w:trPr>
          <w:trHeight w:val="203"/>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payout value</w:t>
            </w: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unearned</w:t>
            </w: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shares, units</w:t>
            </w: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 other rights</w:t>
            </w: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700" w:type="dxa"/>
            <w:vAlign w:val="bottom"/>
          </w:tcPr>
          <w:p>
            <w:pPr>
              <w:spacing w:after="0"/>
              <w:rPr>
                <w:sz w:val="17"/>
                <w:szCs w:val="17"/>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2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have not</w:t>
            </w: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700" w:type="dxa"/>
            <w:vAlign w:val="bottom"/>
          </w:tcPr>
          <w:p>
            <w:pPr>
              <w:spacing w:after="0"/>
              <w:rPr>
                <w:sz w:val="17"/>
                <w:szCs w:val="17"/>
                <w:color w:val="auto"/>
              </w:rPr>
            </w:pPr>
          </w:p>
        </w:tc>
        <w:tc>
          <w:tcPr>
            <w:tcW w:w="88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10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vested ($)</w:t>
            </w:r>
          </w:p>
        </w:tc>
      </w:tr>
      <w:tr>
        <w:trPr>
          <w:trHeight w:val="215"/>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700" w:type="dxa"/>
            <w:vAlign w:val="bottom"/>
          </w:tcPr>
          <w:p>
            <w:pPr>
              <w:spacing w:after="0"/>
              <w:rPr>
                <w:sz w:val="18"/>
                <w:szCs w:val="18"/>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2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4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Cary Vance, Interim Chief</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rPr>
              <w:t>$8.73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1/21/2035</w:t>
            </w:r>
          </w:p>
        </w:tc>
        <w:tc>
          <w:tcPr>
            <w:tcW w:w="1820" w:type="dxa"/>
            <w:vAlign w:val="bottom"/>
            <w:gridSpan w:val="2"/>
            <w:shd w:val="clear" w:color="auto" w:fill="CFF0FC"/>
          </w:tcPr>
          <w:p>
            <w:pPr>
              <w:jc w:val="right"/>
              <w:ind w:right="79"/>
              <w:spacing w:after="0" w:line="206" w:lineRule="exact"/>
              <w:rPr>
                <w:sz w:val="20"/>
                <w:szCs w:val="20"/>
                <w:color w:val="auto"/>
              </w:rPr>
            </w:pPr>
            <w:r>
              <w:rPr>
                <w:rFonts w:ascii="Times New Roman" w:cs="Times New Roman" w:eastAsia="Times New Roman" w:hAnsi="Times New Roman"/>
                <w:sz w:val="16"/>
                <w:szCs w:val="16"/>
                <w:color w:val="auto"/>
              </w:rPr>
              <w:t xml:space="preserve">13,480 </w:t>
            </w:r>
            <w:r>
              <w:rPr>
                <w:rFonts w:ascii="Times New Roman" w:cs="Times New Roman" w:eastAsia="Times New Roman" w:hAnsi="Times New Roman"/>
                <w:sz w:val="21"/>
                <w:szCs w:val="21"/>
                <w:color w:val="auto"/>
                <w:vertAlign w:val="superscript"/>
              </w:rPr>
              <w:t>(9)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$46,506</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Executive Officer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200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 (3)</w:t>
            </w:r>
          </w:p>
        </w:tc>
        <w:tc>
          <w:tcPr>
            <w:tcW w:w="8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rPr>
              <w:t>$9.51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6/5/2034</w:t>
            </w: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27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(4)</w:t>
            </w:r>
          </w:p>
        </w:tc>
        <w:tc>
          <w:tcPr>
            <w:tcW w:w="8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rPr>
              <w:t>$14.17</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6/6/2033</w:t>
            </w: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27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David O'Toole, Chief Financial</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7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$8.73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1/21/2035</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Officer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83,333</w:t>
            </w:r>
          </w:p>
        </w:tc>
        <w:tc>
          <w:tcPr>
            <w:tcW w:w="7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$12.64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1/3/2034</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7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(6)</w:t>
            </w: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$17.00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6/15/2033</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9"/>
        </w:trPr>
        <w:tc>
          <w:tcPr>
            <w:tcW w:w="2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Nicole Kelsey, Chief Legal and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rPr>
              <w:t>$8.73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1/21/2035</w:t>
            </w: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18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Compliance Officer, and Interim SVP,</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rPr>
              <w:t>$7.72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7/1/2034</w:t>
            </w: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1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Human Resources</w:t>
            </w:r>
          </w:p>
        </w:tc>
        <w:tc>
          <w:tcPr>
            <w:tcW w:w="1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9"/>
        </w:trPr>
        <w:tc>
          <w:tcPr>
            <w:tcW w:w="27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James Corbett, Former Chief</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173,334(8)</w:t>
            </w: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$8.73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1/21/2035</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116,667</w:t>
            </w:r>
          </w:p>
        </w:tc>
        <w:tc>
          <w:tcPr>
            <w:tcW w:w="20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116,667(8)</w:t>
            </w: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$12.64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1/3/2034</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$14.17</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6/6/2033</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169,722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$5.64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9/28/2032</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$12.18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12/22/2031</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312" w:lineRule="exact"/>
        <w:rPr>
          <w:sz w:val="20"/>
          <w:szCs w:val="20"/>
          <w:color w:val="auto"/>
        </w:rPr>
      </w:pPr>
    </w:p>
    <w:p>
      <w:pPr>
        <w:ind w:left="900" w:right="2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calculated by multiplying the closing market price of the Company’s stock of $3.45 as of December 31, 2025 by the number of shares or units of stock awards.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three equal annual installments beginning on January 21, 2026, subject to continued service on the applicable vesting date.</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three equal annual installments beginning on June 5, 2025, subject to continued service on the applicable vesting date.</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three equal annual installments beginning on June 6, 2024, subject to continued service on the applicable vesting date.</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three equal annual installments beginning on January 3, 2025, subject to continued service on the applicable vesting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5" w:name="page26"/>
    <w:bookmarkEnd w:id="25"/>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three equal annual installments beginning on June 15, 2024, subject to continued service on the applicable vesting date.</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three equal annual installments beginning on July 1, 2025, subject to continued service on the applicable vesting date.</w:t>
      </w:r>
    </w:p>
    <w:p>
      <w:pPr>
        <w:spacing w:after="0" w:line="6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the terms of Mr. Corbett’s severance agreement, these options vested on January 3, 2026 and January 21, 2026.</w:t>
      </w:r>
    </w:p>
    <w:p>
      <w:pPr>
        <w:spacing w:after="0" w:line="63"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for Cary Vance’s service as a non-executive Director, of which 10,022 vest on January 21, 2026 and 3,458 vest on June 6,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121"/>
        </w:rPr>
        <w:t>Equity-Based Incentive Awards</w:t>
      </w:r>
    </w:p>
    <w:p>
      <w:pPr>
        <w:spacing w:after="0" w:line="22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212121"/>
        </w:rPr>
        <w:t>Our equity-based incentive awards are designed to align our interests and the interests of our stockholders with those of our employees and consultants, including our named executive officers. Our Board, upon recommendation by the Human Capital and Compensation Committee, approves these equity grants. We grant equity awards under our 2020 Omnibus Incentive Plan Amended and Restated (the “Incentive Plan”).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12121"/>
        </w:rPr>
        <w:t>We use equity awards to compensate our named executive officers both in the form of initial grants, in connection with the commencement of employment, and annual grants. Annual grants of equity awards are typically approved by the Human Capital and Compensation Committee, which then submits them to the Board for approval, in January of each year. While we intend that the majority of stock awards to our employees be made pursuant to initial grants or our annual grant program, the Human Capital and Compensation Committee retains discretion to make equity awards to employees at other times, including in connection with the promotion of an employee, to reward an employee, for retention purposes or for other circumstances, as recommended by management or the Human Capital and Compensation Committee.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12121"/>
        </w:rPr>
        <w:t>The Human Capital and Compensation Committee determines each executive officer’s annual equity grant taking into account a competitive market analysis (as prepared by Compensia, and using market data for each role), the recommendations of our Interim Chief Executive Officer based on his evaluation of their individual performance (except with respect to his own performance), the extent to which the executive officer is currently vested in his or her stock awards, scope and criticality of the executive’s role and parity in targets among executives.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12121"/>
        </w:rPr>
        <w:t>In 2025, we granted equity awards in the form of stock options. Stock options are an important vehicle for tying executive pay to performance because they deliver future value only if the value of our Common Stock increases above the exercise price. The exercise price of each stock option grant is the fair market value of our common stock on the grant date.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12121"/>
        </w:rPr>
        <w:t>In January 2025, our named executive officers, Mr. O’Toole and Ms. Kelsey, were each awarded an annual grant of stock options under our Incentive Plan of 150,000 and 65,000 stock options, respectively. These options vest in three equal annual installments beginning the first anniversary of the grant date. Mr. Vance received a grant of stock options and RSUs in 2025 for his service as a non-executive Director of the Board, serving as Chairman of the Board and Chairman of the Human Capital and Compensation Committee, as described further under “Director Compensation” above. Mr. Vance did not receive any equity awards in 2025 as compensation for his service as our Interim Chief Executive Officer since October 16,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For a description of the accelerated vesting applicable to our named executive officers’ stock awards, see “Employment Contracts”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following table outlines the specified terms of the relevant employment contracts for the named executive officers of the Company. For compensation information of our named executives refer to the Summary Compensation Table above.</w:t>
      </w:r>
    </w:p>
    <w:tbl>
      <w:tblPr>
        <w:tblLayout w:type="fixed"/>
        <w:tblInd w:w="0" w:type="dxa"/>
        <w:tblCellMar>
          <w:top w:w="0" w:type="dxa"/>
          <w:left w:w="0" w:type="dxa"/>
          <w:bottom w:w="0" w:type="dxa"/>
          <w:right w:w="0" w:type="dxa"/>
        </w:tblCellMar>
      </w:tblPr>
      <w:tr>
        <w:trPr>
          <w:trHeight w:val="12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Role</w:t>
            </w:r>
          </w:p>
        </w:tc>
        <w:tc>
          <w:tcPr>
            <w:tcW w:w="120" w:type="dxa"/>
            <w:vAlign w:val="bottom"/>
          </w:tcPr>
          <w:p>
            <w:pPr>
              <w:spacing w:after="0"/>
              <w:rPr>
                <w:sz w:val="11"/>
                <w:szCs w:val="11"/>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Contract Duration</w:t>
            </w:r>
          </w:p>
        </w:tc>
        <w:tc>
          <w:tcPr>
            <w:tcW w:w="120" w:type="dxa"/>
            <w:vAlign w:val="bottom"/>
          </w:tcPr>
          <w:p>
            <w:pPr>
              <w:spacing w:after="0"/>
              <w:rPr>
                <w:sz w:val="11"/>
                <w:szCs w:val="11"/>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Period of Notice </w:t>
            </w:r>
            <w:r>
              <w:rPr>
                <w:rFonts w:ascii="Times New Roman" w:cs="Times New Roman" w:eastAsia="Times New Roman" w:hAnsi="Times New Roman"/>
                <w:sz w:val="19"/>
                <w:szCs w:val="19"/>
                <w:b w:val="1"/>
                <w:bCs w:val="1"/>
                <w:color w:val="auto"/>
                <w:vertAlign w:val="superscript"/>
              </w:rPr>
              <w:t>(2) (3)</w:t>
            </w:r>
          </w:p>
        </w:tc>
        <w:tc>
          <w:tcPr>
            <w:tcW w:w="21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Termination payments</w:t>
            </w:r>
          </w:p>
        </w:tc>
        <w:tc>
          <w:tcPr>
            <w:tcW w:w="0" w:type="dxa"/>
            <w:vAlign w:val="bottom"/>
          </w:tcPr>
          <w:p>
            <w:pPr>
              <w:spacing w:after="0"/>
              <w:rPr>
                <w:sz w:val="1"/>
                <w:szCs w:val="1"/>
                <w:color w:val="auto"/>
              </w:rPr>
            </w:pPr>
          </w:p>
        </w:tc>
      </w:tr>
      <w:tr>
        <w:trPr>
          <w:trHeight w:val="176"/>
        </w:trPr>
        <w:tc>
          <w:tcPr>
            <w:tcW w:w="1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212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provided for by contract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1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Interim Chief Executive</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Cary Vance</w:t>
            </w: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One year</w:t>
            </w:r>
          </w:p>
        </w:tc>
        <w:tc>
          <w:tcPr>
            <w:tcW w:w="120" w:type="dxa"/>
            <w:vAlign w:val="bottom"/>
            <w:shd w:val="clear" w:color="auto" w:fill="CFF0FC"/>
          </w:tcPr>
          <w:p>
            <w:pPr>
              <w:spacing w:after="0"/>
              <w:rPr>
                <w:sz w:val="16"/>
                <w:szCs w:val="16"/>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by the Company with or without Cause</w:t>
            </w: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but unpaid salary,</w:t>
            </w:r>
          </w:p>
        </w:tc>
        <w:tc>
          <w:tcPr>
            <w:tcW w:w="0" w:type="dxa"/>
            <w:vAlign w:val="bottom"/>
          </w:tcPr>
          <w:p>
            <w:pPr>
              <w:spacing w:after="0"/>
              <w:rPr>
                <w:sz w:val="1"/>
                <w:szCs w:val="1"/>
                <w:color w:val="auto"/>
              </w:rPr>
            </w:pPr>
          </w:p>
        </w:tc>
      </w:tr>
      <w:tr>
        <w:trPr>
          <w:trHeight w:val="212"/>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Officer (CEO)</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No notice period.</w:t>
            </w:r>
          </w:p>
        </w:tc>
        <w:tc>
          <w:tcPr>
            <w:tcW w:w="2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expenses, and bonus</w:t>
            </w:r>
          </w:p>
        </w:tc>
        <w:tc>
          <w:tcPr>
            <w:tcW w:w="0" w:type="dxa"/>
            <w:vAlign w:val="bottom"/>
          </w:tcPr>
          <w:p>
            <w:pPr>
              <w:spacing w:after="0"/>
              <w:rPr>
                <w:sz w:val="1"/>
                <w:szCs w:val="1"/>
                <w:color w:val="auto"/>
              </w:rPr>
            </w:pPr>
          </w:p>
        </w:tc>
      </w:tr>
      <w:tr>
        <w:trPr>
          <w:trHeight w:val="397"/>
        </w:trPr>
        <w:tc>
          <w:tcPr>
            <w:tcW w:w="17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by executive- with or without Good</w:t>
            </w:r>
          </w:p>
        </w:tc>
        <w:tc>
          <w:tcPr>
            <w:tcW w:w="100" w:type="dxa"/>
            <w:vAlign w:val="bottom"/>
            <w:shd w:val="clear" w:color="auto" w:fill="CFF0FC"/>
          </w:tcPr>
          <w:p>
            <w:pPr>
              <w:spacing w:after="0"/>
              <w:rPr>
                <w:sz w:val="24"/>
                <w:szCs w:val="24"/>
                <w:color w:val="auto"/>
              </w:rPr>
            </w:pPr>
          </w:p>
        </w:tc>
        <w:tc>
          <w:tcPr>
            <w:tcW w:w="20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Reason - 90 days prior written notice.</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7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3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2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tabs>
          <w:tab w:leader="none" w:pos="1800" w:val="left"/>
          <w:tab w:leader="none" w:pos="3260" w:val="left"/>
          <w:tab w:leader="none" w:pos="5640" w:val="left"/>
        </w:tabs>
        <w:rPr>
          <w:sz w:val="20"/>
          <w:szCs w:val="20"/>
          <w:color w:val="auto"/>
        </w:rPr>
      </w:pPr>
      <w:r>
        <w:rPr>
          <w:rFonts w:ascii="Times New Roman" w:cs="Times New Roman" w:eastAsia="Times New Roman" w:hAnsi="Times New Roman"/>
          <w:sz w:val="16"/>
          <w:szCs w:val="16"/>
          <w:b w:val="1"/>
          <w:bCs w:val="1"/>
          <w:color w:val="auto"/>
        </w:rPr>
        <w:t>Chief Financial</w:t>
      </w:r>
      <w:r>
        <w:rPr>
          <w:sz w:val="20"/>
          <w:szCs w:val="20"/>
          <w:color w:val="auto"/>
        </w:rPr>
        <w:tab/>
      </w:r>
      <w:r>
        <w:rPr>
          <w:rFonts w:ascii="Times New Roman" w:cs="Times New Roman" w:eastAsia="Times New Roman" w:hAnsi="Times New Roman"/>
          <w:sz w:val="16"/>
          <w:szCs w:val="16"/>
          <w:color w:val="auto"/>
        </w:rPr>
        <w:t>David O'Toole</w:t>
      </w:r>
      <w:r>
        <w:rPr>
          <w:sz w:val="20"/>
          <w:szCs w:val="20"/>
          <w:color w:val="auto"/>
        </w:rPr>
        <w:tab/>
      </w:r>
      <w:r>
        <w:rPr>
          <w:rFonts w:ascii="Times New Roman" w:cs="Times New Roman" w:eastAsia="Times New Roman" w:hAnsi="Times New Roman"/>
          <w:sz w:val="16"/>
          <w:szCs w:val="16"/>
          <w:color w:val="auto"/>
        </w:rPr>
        <w:t>Open ended contract</w:t>
      </w:r>
      <w:r>
        <w:rPr>
          <w:sz w:val="20"/>
          <w:szCs w:val="20"/>
          <w:color w:val="auto"/>
        </w:rPr>
        <w:tab/>
      </w:r>
      <w:r>
        <w:rPr>
          <w:rFonts w:ascii="Times New Roman" w:cs="Times New Roman" w:eastAsia="Times New Roman" w:hAnsi="Times New Roman"/>
          <w:sz w:val="16"/>
          <w:szCs w:val="16"/>
          <w:color w:val="auto"/>
        </w:rPr>
        <w:t>Termination by the Company or Executive with or</w:t>
      </w:r>
    </w:p>
    <w:p>
      <w:pPr>
        <w:spacing w:after="0" w:line="13"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6"/>
          <w:szCs w:val="16"/>
          <w:b w:val="1"/>
          <w:bCs w:val="1"/>
          <w:color w:val="auto"/>
        </w:rPr>
        <w:t>Officer (CFO)</w:t>
      </w:r>
      <w:r>
        <w:rPr>
          <w:sz w:val="20"/>
          <w:szCs w:val="20"/>
          <w:color w:val="auto"/>
        </w:rPr>
        <w:tab/>
      </w:r>
      <w:r>
        <w:rPr>
          <w:rFonts w:ascii="Times New Roman" w:cs="Times New Roman" w:eastAsia="Times New Roman" w:hAnsi="Times New Roman"/>
          <w:sz w:val="16"/>
          <w:szCs w:val="16"/>
          <w:color w:val="auto"/>
        </w:rPr>
        <w:t>without Cause – No notice period.</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Times New Roman" w:cs="Times New Roman" w:eastAsia="Times New Roman" w:hAnsi="Times New Roman"/>
          <w:sz w:val="16"/>
          <w:szCs w:val="16"/>
          <w:color w:val="auto"/>
        </w:rPr>
        <w:t>12 months base salary and continued healthcare benefits; 100% acceleration of stock options</w:t>
      </w:r>
    </w:p>
    <w:p>
      <w:pPr>
        <w:spacing w:after="0" w:line="1" w:lineRule="exact"/>
        <w:rPr>
          <w:sz w:val="20"/>
          <w:szCs w:val="20"/>
          <w:color w:val="auto"/>
        </w:rPr>
      </w:pPr>
    </w:p>
    <w:p>
      <w:pPr>
        <w:sectPr>
          <w:pgSz w:w="11900" w:h="16838" w:orient="portrait"/>
          <w:cols w:equalWidth="0" w:num="2">
            <w:col w:w="8940" w:space="280"/>
            <w:col w:w="202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74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Chief Legal and</w:t>
            </w:r>
          </w:p>
        </w:tc>
        <w:tc>
          <w:tcPr>
            <w:tcW w:w="1280" w:type="dxa"/>
            <w:vAlign w:val="bottom"/>
            <w:shd w:val="clear" w:color="auto" w:fill="CFF0FC"/>
          </w:tcPr>
          <w:p>
            <w:pPr>
              <w:ind w:left="80"/>
              <w:spacing w:after="0" w:line="175" w:lineRule="exact"/>
              <w:rPr>
                <w:sz w:val="20"/>
                <w:szCs w:val="20"/>
                <w:color w:val="auto"/>
              </w:rPr>
            </w:pPr>
            <w:r>
              <w:rPr>
                <w:rFonts w:ascii="Times New Roman" w:cs="Times New Roman" w:eastAsia="Times New Roman" w:hAnsi="Times New Roman"/>
                <w:sz w:val="16"/>
                <w:szCs w:val="16"/>
                <w:color w:val="auto"/>
              </w:rPr>
              <w:t>Nicole Kelsey</w:t>
            </w:r>
          </w:p>
        </w:tc>
        <w:tc>
          <w:tcPr>
            <w:tcW w:w="2500" w:type="dxa"/>
            <w:vAlign w:val="bottom"/>
            <w:shd w:val="clear" w:color="auto" w:fill="CFF0FC"/>
          </w:tcPr>
          <w:p>
            <w:pPr>
              <w:ind w:left="260"/>
              <w:spacing w:after="0" w:line="175" w:lineRule="exact"/>
              <w:rPr>
                <w:sz w:val="20"/>
                <w:szCs w:val="20"/>
                <w:color w:val="auto"/>
              </w:rPr>
            </w:pPr>
            <w:r>
              <w:rPr>
                <w:rFonts w:ascii="Times New Roman" w:cs="Times New Roman" w:eastAsia="Times New Roman" w:hAnsi="Times New Roman"/>
                <w:sz w:val="16"/>
                <w:szCs w:val="16"/>
                <w:color w:val="auto"/>
              </w:rPr>
              <w:t>Open ended contract</w:t>
            </w:r>
          </w:p>
        </w:tc>
        <w:tc>
          <w:tcPr>
            <w:tcW w:w="362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Termination by the Company or Executive with or</w:t>
            </w:r>
          </w:p>
        </w:tc>
        <w:tc>
          <w:tcPr>
            <w:tcW w:w="2100" w:type="dxa"/>
            <w:vAlign w:val="bottom"/>
            <w:shd w:val="clear" w:color="auto" w:fill="CFF0FC"/>
          </w:tcPr>
          <w:p>
            <w:pPr>
              <w:ind w:left="80"/>
              <w:spacing w:after="0" w:line="175" w:lineRule="exact"/>
              <w:rPr>
                <w:sz w:val="20"/>
                <w:szCs w:val="20"/>
                <w:color w:val="auto"/>
              </w:rPr>
            </w:pPr>
            <w:r>
              <w:rPr>
                <w:rFonts w:ascii="Times New Roman" w:cs="Times New Roman" w:eastAsia="Times New Roman" w:hAnsi="Times New Roman"/>
                <w:sz w:val="16"/>
                <w:szCs w:val="16"/>
                <w:color w:val="auto"/>
              </w:rPr>
              <w:t>12 months base salary and</w:t>
            </w:r>
          </w:p>
        </w:tc>
        <w:tc>
          <w:tcPr>
            <w:tcW w:w="0" w:type="dxa"/>
            <w:vAlign w:val="bottom"/>
          </w:tcPr>
          <w:p>
            <w:pPr>
              <w:spacing w:after="0"/>
              <w:rPr>
                <w:sz w:val="1"/>
                <w:szCs w:val="1"/>
                <w:color w:val="auto"/>
              </w:rPr>
            </w:pPr>
          </w:p>
        </w:tc>
      </w:tr>
      <w:tr>
        <w:trPr>
          <w:trHeight w:val="203"/>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Compliance Officer</w:t>
            </w:r>
          </w:p>
        </w:tc>
        <w:tc>
          <w:tcPr>
            <w:tcW w:w="128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without Cause – No notice period.</w:t>
            </w:r>
          </w:p>
        </w:tc>
        <w:tc>
          <w:tcPr>
            <w:tcW w:w="2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continued healthcare benefits;</w:t>
            </w:r>
          </w:p>
        </w:tc>
        <w:tc>
          <w:tcPr>
            <w:tcW w:w="0" w:type="dxa"/>
            <w:vAlign w:val="bottom"/>
          </w:tcPr>
          <w:p>
            <w:pPr>
              <w:spacing w:after="0"/>
              <w:rPr>
                <w:sz w:val="1"/>
                <w:szCs w:val="1"/>
                <w:color w:val="auto"/>
              </w:rPr>
            </w:pPr>
          </w:p>
        </w:tc>
      </w:tr>
      <w:tr>
        <w:trPr>
          <w:trHeight w:val="204"/>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(CLCO)</w:t>
            </w:r>
          </w:p>
        </w:tc>
        <w:tc>
          <w:tcPr>
            <w:tcW w:w="1280" w:type="dxa"/>
            <w:vAlign w:val="bottom"/>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3620" w:type="dxa"/>
            <w:vAlign w:val="bottom"/>
            <w:shd w:val="clear" w:color="auto" w:fill="CFF0FC"/>
          </w:tcPr>
          <w:p>
            <w:pPr>
              <w:spacing w:after="0"/>
              <w:rPr>
                <w:sz w:val="17"/>
                <w:szCs w:val="17"/>
                <w:color w:val="auto"/>
              </w:rPr>
            </w:pPr>
          </w:p>
        </w:tc>
        <w:tc>
          <w:tcPr>
            <w:tcW w:w="2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100% acceleration of stock</w:t>
            </w: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2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options</w:t>
            </w:r>
          </w:p>
        </w:tc>
        <w:tc>
          <w:tcPr>
            <w:tcW w:w="0" w:type="dxa"/>
            <w:vAlign w:val="bottom"/>
          </w:tcPr>
          <w:p>
            <w:pPr>
              <w:spacing w:after="0"/>
              <w:rPr>
                <w:sz w:val="1"/>
                <w:szCs w:val="1"/>
                <w:color w:val="auto"/>
              </w:rPr>
            </w:pPr>
          </w:p>
        </w:tc>
      </w:tr>
      <w:tr>
        <w:trPr>
          <w:trHeight w:val="187"/>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Former Chief Executive</w:t>
            </w:r>
          </w:p>
        </w:tc>
        <w:tc>
          <w:tcPr>
            <w:tcW w:w="1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James Corbett</w:t>
            </w:r>
          </w:p>
        </w:tc>
        <w:tc>
          <w:tcPr>
            <w:tcW w:w="2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Three years with automatic one-</w:t>
            </w:r>
          </w:p>
        </w:tc>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Termination by the Company with or without Cause</w:t>
            </w:r>
          </w:p>
        </w:tc>
        <w:tc>
          <w:tcPr>
            <w:tcW w:w="2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18 months base salary; 12</w:t>
            </w:r>
          </w:p>
        </w:tc>
        <w:tc>
          <w:tcPr>
            <w:tcW w:w="0" w:type="dxa"/>
            <w:vAlign w:val="bottom"/>
          </w:tcPr>
          <w:p>
            <w:pPr>
              <w:spacing w:after="0"/>
              <w:rPr>
                <w:sz w:val="1"/>
                <w:szCs w:val="1"/>
                <w:color w:val="auto"/>
              </w:rPr>
            </w:pPr>
          </w:p>
        </w:tc>
      </w:tr>
      <w:tr>
        <w:trPr>
          <w:trHeight w:val="204"/>
        </w:trPr>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Officer (CEO)</w:t>
            </w:r>
          </w:p>
        </w:tc>
        <w:tc>
          <w:tcPr>
            <w:tcW w:w="1280" w:type="dxa"/>
            <w:vAlign w:val="bottom"/>
          </w:tcPr>
          <w:p>
            <w:pPr>
              <w:spacing w:after="0"/>
              <w:rPr>
                <w:sz w:val="17"/>
                <w:szCs w:val="17"/>
                <w:color w:val="auto"/>
              </w:rPr>
            </w:pPr>
          </w:p>
        </w:tc>
        <w:tc>
          <w:tcPr>
            <w:tcW w:w="2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year extensions on each</w:t>
            </w:r>
          </w:p>
        </w:tc>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No notice period.</w:t>
            </w:r>
          </w:p>
        </w:tc>
        <w:tc>
          <w:tcPr>
            <w:tcW w:w="2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months continued healthcare</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anniversary.</w:t>
            </w:r>
          </w:p>
        </w:tc>
        <w:tc>
          <w:tcPr>
            <w:tcW w:w="36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Termination by executive- with or without Good</w:t>
            </w:r>
          </w:p>
        </w:tc>
        <w:tc>
          <w:tcPr>
            <w:tcW w:w="2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benefits</w:t>
            </w:r>
          </w:p>
        </w:tc>
        <w:tc>
          <w:tcPr>
            <w:tcW w:w="0" w:type="dxa"/>
            <w:vAlign w:val="bottom"/>
          </w:tcPr>
          <w:p>
            <w:pPr>
              <w:spacing w:after="0"/>
              <w:rPr>
                <w:sz w:val="1"/>
                <w:szCs w:val="1"/>
                <w:color w:val="auto"/>
              </w:rPr>
            </w:pPr>
          </w:p>
        </w:tc>
      </w:tr>
      <w:tr>
        <w:trPr>
          <w:trHeight w:val="195"/>
        </w:trPr>
        <w:tc>
          <w:tcPr>
            <w:tcW w:w="1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Reason - 90 days prior written notice.</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payments for the CFO and CLCO are triggered only in the event of employment termination for involuntary termination without cause or resignation for “Good Reason.”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 For the CFO and CLCO,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w:t>
      </w:r>
    </w:p>
    <w:p>
      <w:pPr>
        <w:spacing w:after="0" w:line="75" w:lineRule="exact"/>
        <w:rPr>
          <w:rFonts w:ascii="Times New Roman" w:cs="Times New Roman" w:eastAsia="Times New Roman" w:hAnsi="Times New Roman"/>
          <w:sz w:val="18"/>
          <w:szCs w:val="18"/>
          <w:color w:val="auto"/>
        </w:rPr>
      </w:pPr>
    </w:p>
    <w:p>
      <w:pPr>
        <w:ind w:left="1020" w:right="24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 For the CFO and CLCO,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and Release Agreement with James Corbett</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12121"/>
        </w:rPr>
        <w:t>Pursuant to the terms of Mr. Corbett’s separation and release agreement, in connection with his termination from employment without cause, Mr. Corbett received a severance payment in an amount of $1,053,000, representing 18 months of his base salary being paid equally in 36 bi-monthly installments, as well as 12 months of healthcare continuation benefits. Mr. Corbett’s severance payments and benefits were subject to his execution and non-revocation of a release of claims in favor of the Company. Additionally, pursuant to Mr. Corbett’s separation and release agreement, he continued to provide services as a non-employee advisor to the Company through January 30, 2026; the vesting of his equity awards continued through such date, with the post-termination exercise period for any outstanding options expiring on July 30,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Executive Employment Agreement with Cary Vance</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Board appointing Mr. Vance as the Company’s Interim CEO, effective October 16, 2025, the Company entered into an executive employment agreement with Mr. Vance. Under that agreement, Mr. Vance receives a base salary at an annualized rate of $702,000 and was eligible for, and paid, a guaranteed cash bonus of $140,000 for the year ended December 31, 2025. In consideration of Mr. Vance’s continued service through October 16, 2026, Mr. Vance is eligible for a cash bonus at a target level equal to 80% of his base salary, prorated for his service through that date; 50% of that cash bonus is guaranteed at the target level, and the remaining 50% will be determined based on Mr. Vance’s achievement of certain performance metrics as established by the Board.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of our eligible employees is offered the opportunity to participate in the Company’s 401(k) retirement savings plan (the “401(k) Plan”). Pursuant to our 401(k) Plan, all eligible employees (including our named executive officers) are provided with a means of saving for their retirement. We currently match all participating employee contributions up to a maximum of 6% of the participating employee’s annual compensation. The Company’s contribution vests over a two-year period following the participant employee’s first contribution, and annually thereafter.</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the Company provides a deferred compensation plan (the “Deferred Compensation Plan”) to its eligible employees (including the Company’s named executive officers). Each participant employee may elect to defer a portion of his/her compensation (up to a maximum of 85% of base salary and 100% of bonus and equity awards). Participant employees elect the form and timing of distribution of the deferred compensation at the time that the participant employee enrolls in the Deferred Compensation Plan. Participant employees are always 100% vested in their deferral accounts and the Company matches any eligible employee contribution at a percentage scaled to such employee’s position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in maintaining best practices for our executive compensation program and maintain a compensation recovery policy that requires the recovery of certain erroneously paid incentive compensation received by our Section 16 officers on or after October 2, 2023, in the event the Company is required to prepare a financial restatement, as defined and required by the applicable SEC rules and Nasdaq listing standards (implemented pursuant to the Dodd-Frank Wall Street Reform and Consumer Protection Act (the “Dodd-Frank Act”)), and which can be recovered from incentive-based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Practices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grant equity awards in anticipation of the release of material, nonpublic information or time the release of material, nonpublic information based on equity award grant dates, vesting events, or sale events. During fiscal year 2025, we did not grant equity awards to our named executive officers during the four business days prior to or the one business day following the filing of our periodic reports or the filing or furnishing of a Form 8-K that discloses material nonpublic information. We have not timed the disclosure of material nonpublic information for the purpose of affecting the value of executive compensation for grants to named executive officers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the compensation actually paid (or “CAP”) to our named executive officers and required financial performance measures.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Summary</w:t>
            </w:r>
          </w:p>
        </w:tc>
        <w:tc>
          <w:tcPr>
            <w:tcW w:w="12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 Initial Fixed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260" w:type="dxa"/>
            <w:vAlign w:val="bottom"/>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 Table</w:t>
            </w:r>
          </w:p>
        </w:tc>
        <w:tc>
          <w:tcPr>
            <w:tcW w:w="120" w:type="dxa"/>
            <w:vAlign w:val="bottom"/>
          </w:tcPr>
          <w:p>
            <w:pPr>
              <w:spacing w:after="0"/>
              <w:rPr>
                <w:sz w:val="12"/>
                <w:szCs w:val="12"/>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$100 Investment</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260" w:type="dxa"/>
            <w:vAlign w:val="bottom"/>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2"/>
                <w:szCs w:val="12"/>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Actually Paid to</w:t>
            </w:r>
          </w:p>
        </w:tc>
        <w:tc>
          <w:tcPr>
            <w:tcW w:w="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Based On</w:t>
            </w:r>
          </w:p>
        </w:tc>
        <w:tc>
          <w:tcPr>
            <w:tcW w:w="12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0" w:type="dxa"/>
            <w:vAlign w:val="bottom"/>
          </w:tcPr>
          <w:p>
            <w:pPr>
              <w:spacing w:after="0"/>
              <w:rPr>
                <w:sz w:val="1"/>
                <w:szCs w:val="1"/>
                <w:color w:val="auto"/>
              </w:rPr>
            </w:pPr>
          </w:p>
        </w:tc>
      </w:tr>
      <w:tr>
        <w:trPr>
          <w:trHeight w:val="138"/>
        </w:trPr>
        <w:tc>
          <w:tcPr>
            <w:tcW w:w="940" w:type="dxa"/>
            <w:vAlign w:val="bottom"/>
          </w:tcPr>
          <w:p>
            <w:pPr>
              <w:spacing w:after="0"/>
              <w:rPr>
                <w:sz w:val="12"/>
                <w:szCs w:val="12"/>
                <w:color w:val="auto"/>
              </w:rPr>
            </w:pPr>
          </w:p>
        </w:tc>
        <w:tc>
          <w:tcPr>
            <w:tcW w:w="1260" w:type="dxa"/>
            <w:vAlign w:val="bottom"/>
          </w:tcPr>
          <w:p>
            <w:pPr>
              <w:jc w:val="center"/>
              <w:ind w:left="29"/>
              <w:spacing w:after="0" w:line="139" w:lineRule="exact"/>
              <w:rPr>
                <w:sz w:val="20"/>
                <w:szCs w:val="20"/>
                <w:color w:val="auto"/>
              </w:rPr>
            </w:pPr>
            <w:r>
              <w:rPr>
                <w:rFonts w:ascii="Times New Roman" w:cs="Times New Roman" w:eastAsia="Times New Roman" w:hAnsi="Times New Roman"/>
                <w:sz w:val="13"/>
                <w:szCs w:val="13"/>
                <w:b w:val="1"/>
                <w:bCs w:val="1"/>
                <w:color w:val="auto"/>
              </w:rPr>
              <w:t>Table Total</w:t>
            </w:r>
          </w:p>
        </w:tc>
        <w:tc>
          <w:tcPr>
            <w:tcW w:w="12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Table Total</w:t>
            </w:r>
          </w:p>
        </w:tc>
        <w:tc>
          <w:tcPr>
            <w:tcW w:w="12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00" w:type="dxa"/>
            <w:vAlign w:val="bottom"/>
          </w:tcPr>
          <w:p>
            <w:pPr>
              <w:spacing w:after="0"/>
              <w:rPr>
                <w:sz w:val="12"/>
                <w:szCs w:val="12"/>
                <w:color w:val="auto"/>
              </w:rPr>
            </w:pPr>
          </w:p>
        </w:tc>
        <w:tc>
          <w:tcPr>
            <w:tcW w:w="11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2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for Non-PEO Named</w:t>
            </w:r>
          </w:p>
        </w:tc>
        <w:tc>
          <w:tcPr>
            <w:tcW w:w="120" w:type="dxa"/>
            <w:vAlign w:val="bottom"/>
          </w:tcPr>
          <w:p>
            <w:pPr>
              <w:spacing w:after="0"/>
              <w:rPr>
                <w:sz w:val="12"/>
                <w:szCs w:val="12"/>
                <w:color w:val="auto"/>
              </w:rPr>
            </w:pPr>
          </w:p>
        </w:tc>
        <w:tc>
          <w:tcPr>
            <w:tcW w:w="132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Non-PEO Named</w:t>
            </w:r>
          </w:p>
        </w:tc>
        <w:tc>
          <w:tcPr>
            <w:tcW w:w="2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Total Shareholder</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0" w:type="dxa"/>
            <w:vAlign w:val="bottom"/>
          </w:tcPr>
          <w:p>
            <w:pPr>
              <w:spacing w:after="0"/>
              <w:rPr>
                <w:sz w:val="1"/>
                <w:szCs w:val="1"/>
                <w:color w:val="auto"/>
              </w:rPr>
            </w:pPr>
          </w:p>
        </w:tc>
      </w:tr>
      <w:tr>
        <w:trPr>
          <w:trHeight w:val="159"/>
        </w:trPr>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for Cary Vance</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 James Corbett</w:t>
            </w:r>
          </w:p>
        </w:tc>
        <w:tc>
          <w:tcPr>
            <w:tcW w:w="12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3"/>
                <w:szCs w:val="13"/>
                <w:b w:val="1"/>
                <w:bCs w:val="1"/>
                <w:color w:val="auto"/>
                <w:w w:val="99"/>
              </w:rPr>
              <w:t>to Cary Vance</w:t>
            </w:r>
            <w:r>
              <w:rPr>
                <w:rFonts w:ascii="Times New Roman" w:cs="Times New Roman" w:eastAsia="Times New Roman" w:hAnsi="Times New Roman"/>
                <w:sz w:val="18"/>
                <w:szCs w:val="18"/>
                <w:b w:val="1"/>
                <w:bCs w:val="1"/>
                <w:color w:val="auto"/>
                <w:w w:val="99"/>
                <w:vertAlign w:val="superscript"/>
              </w:rPr>
              <w:t>2</w:t>
            </w: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3"/>
                <w:szCs w:val="13"/>
                <w:b w:val="1"/>
                <w:bCs w:val="1"/>
                <w:color w:val="auto"/>
              </w:rPr>
              <w:t>to James Corbett</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Executive Officers</w:t>
            </w: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3"/>
                <w:szCs w:val="13"/>
                <w:b w:val="1"/>
                <w:bCs w:val="1"/>
                <w:color w:val="auto"/>
              </w:rPr>
              <w:t>Executive Officers</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Return</w:t>
            </w:r>
          </w:p>
        </w:tc>
        <w:tc>
          <w:tcPr>
            <w:tcW w:w="12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0" w:type="dxa"/>
            <w:vAlign w:val="bottom"/>
          </w:tcPr>
          <w:p>
            <w:pPr>
              <w:spacing w:after="0"/>
              <w:rPr>
                <w:sz w:val="1"/>
                <w:szCs w:val="1"/>
                <w:color w:val="auto"/>
              </w:rPr>
            </w:pPr>
          </w:p>
        </w:tc>
      </w:tr>
      <w:tr>
        <w:trPr>
          <w:trHeight w:val="218"/>
        </w:trPr>
        <w:tc>
          <w:tcPr>
            <w:tcW w:w="940" w:type="dxa"/>
            <w:vAlign w:val="bottom"/>
            <w:vMerge w:val="continue"/>
          </w:tcPr>
          <w:p>
            <w:pPr>
              <w:spacing w:after="0"/>
              <w:rPr>
                <w:sz w:val="18"/>
                <w:szCs w:val="18"/>
                <w:color w:val="auto"/>
              </w:rPr>
            </w:pPr>
          </w:p>
        </w:tc>
        <w:tc>
          <w:tcPr>
            <w:tcW w:w="1260" w:type="dxa"/>
            <w:vAlign w:val="bottom"/>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center"/>
              <w:ind w:left="2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0" w:type="dxa"/>
            <w:vAlign w:val="bottom"/>
            <w:gridSpan w:val="2"/>
          </w:tcPr>
          <w:p>
            <w:pPr>
              <w:jc w:val="center"/>
              <w:ind w:left="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gridSpan w:val="2"/>
          </w:tcPr>
          <w:p>
            <w:pPr>
              <w:jc w:val="center"/>
              <w:ind w:left="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center"/>
              <w:ind w:left="2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278,053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1,407,715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158,544</w:t>
            </w: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(2,171,519)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1,237,907</w:t>
            </w: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(353,075)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(48,587)</w:t>
            </w:r>
          </w:p>
        </w:tc>
        <w:tc>
          <w:tcPr>
            <w:tcW w:w="0" w:type="dxa"/>
            <w:vAlign w:val="bottom"/>
          </w:tcPr>
          <w:p>
            <w:pPr>
              <w:spacing w:after="0"/>
              <w:rPr>
                <w:sz w:val="1"/>
                <w:szCs w:val="1"/>
                <w:color w:val="auto"/>
              </w:rPr>
            </w:pPr>
          </w:p>
        </w:tc>
      </w:tr>
      <w:tr>
        <w:trPr>
          <w:trHeight w:val="223"/>
        </w:trPr>
        <w:tc>
          <w:tcPr>
            <w:tcW w:w="9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3,243,885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3,549,524</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1,584,838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1,354,307</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(61,845)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020" w:right="2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the Principal Executive Officer (the “PEO”) is both Cary Vance and James Corbett. For 2024, the PEO is Mr. Corbett. For 2025, the non-PEO named executive officers are David O’Toole and Nicole Kelsey. For 2024, the non-PEO named executive officers are Mr. O’Toole, Ms. Kelsey, and Donna Shiroma.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8" w:name="page29"/>
    <w:bookmarkEnd w:id="28"/>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details the applicable adjustments that were made to determine the CAP.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PEO</w:t>
            </w:r>
          </w:p>
        </w:tc>
        <w:tc>
          <w:tcPr>
            <w:tcW w:w="80" w:type="dxa"/>
            <w:vAlign w:val="bottom"/>
          </w:tcPr>
          <w:p>
            <w:pPr>
              <w:spacing w:after="0"/>
              <w:rPr>
                <w:sz w:val="17"/>
                <w:szCs w:val="17"/>
                <w:color w:val="auto"/>
              </w:rPr>
            </w:pP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PEO</w:t>
            </w: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James</w:t>
            </w:r>
          </w:p>
        </w:tc>
        <w:tc>
          <w:tcPr>
            <w:tcW w:w="80" w:type="dxa"/>
            <w:vAlign w:val="bottom"/>
          </w:tcPr>
          <w:p>
            <w:pPr>
              <w:spacing w:after="0"/>
              <w:rPr>
                <w:sz w:val="17"/>
                <w:szCs w:val="17"/>
                <w:color w:val="auto"/>
              </w:rPr>
            </w:pPr>
          </w:p>
        </w:tc>
        <w:tc>
          <w:tcPr>
            <w:tcW w:w="7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PEO</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Cary Vance</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Corbett</w:t>
            </w:r>
          </w:p>
        </w:tc>
        <w:tc>
          <w:tcPr>
            <w:tcW w:w="80" w:type="dxa"/>
            <w:vAlign w:val="bottom"/>
          </w:tcPr>
          <w:p>
            <w:pPr>
              <w:spacing w:after="0"/>
              <w:rPr>
                <w:sz w:val="17"/>
                <w:szCs w:val="17"/>
                <w:color w:val="auto"/>
              </w:rPr>
            </w:pP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0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PEO</w:t>
            </w:r>
          </w:p>
        </w:tc>
        <w:tc>
          <w:tcPr>
            <w:tcW w:w="80" w:type="dxa"/>
            <w:vAlign w:val="bottom"/>
          </w:tcPr>
          <w:p>
            <w:pPr>
              <w:spacing w:after="0"/>
              <w:rPr>
                <w:sz w:val="17"/>
                <w:szCs w:val="17"/>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Summary Compensation Table (SCT) Total</w:t>
            </w:r>
          </w:p>
        </w:tc>
        <w:tc>
          <w:tcPr>
            <w:tcW w:w="7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1,407,7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3,243,8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278,053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 xml:space="preserve">Less </w:t>
            </w:r>
            <w:r>
              <w:rPr>
                <w:rFonts w:ascii="Times New Roman" w:cs="Times New Roman" w:eastAsia="Times New Roman" w:hAnsi="Times New Roman"/>
                <w:sz w:val="16"/>
                <w:szCs w:val="16"/>
                <w:color w:val="auto"/>
              </w:rPr>
              <w:t>Grant Date Fair Value of Option Awards and Stock Awards Granted in Fiscal Year</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(642,37</w:t>
            </w:r>
          </w:p>
        </w:tc>
        <w:tc>
          <w:tcPr>
            <w:tcW w:w="12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Plus </w:t>
            </w:r>
            <w:r>
              <w:rPr>
                <w:rFonts w:ascii="Times New Roman" w:cs="Times New Roman" w:eastAsia="Times New Roman" w:hAnsi="Times New Roman"/>
                <w:sz w:val="16"/>
                <w:szCs w:val="16"/>
                <w:color w:val="auto"/>
              </w:rPr>
              <w:t>Fair Value at Fiscal Year-End of Outstanding and Unvested Option Awards and Stock Awards</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261,24</w:t>
            </w:r>
          </w:p>
        </w:tc>
        <w:tc>
          <w:tcPr>
            <w:tcW w:w="1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172,40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2,925,6</w:t>
            </w:r>
          </w:p>
        </w:tc>
        <w:tc>
          <w:tcPr>
            <w:tcW w:w="1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809,17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Granted in Fiscal Year</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 xml:space="preserve">Plus </w:t>
            </w:r>
            <w:r>
              <w:rPr>
                <w:rFonts w:ascii="Times New Roman" w:cs="Times New Roman" w:eastAsia="Times New Roman" w:hAnsi="Times New Roman"/>
                <w:sz w:val="16"/>
                <w:szCs w:val="16"/>
                <w:color w:val="auto"/>
              </w:rPr>
              <w:t>Change in Fair Value of Outstanding and Unvested Option Awards and Stock Awards Granted</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(800,96</w:t>
            </w:r>
          </w:p>
        </w:tc>
        <w:tc>
          <w:tcPr>
            <w:tcW w:w="12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 Prior Fiscal Years</w:t>
            </w:r>
          </w:p>
        </w:tc>
        <w:tc>
          <w:tcPr>
            <w:tcW w:w="7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(42,203)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Plus </w:t>
            </w:r>
            <w:r>
              <w:rPr>
                <w:rFonts w:ascii="Times New Roman" w:cs="Times New Roman" w:eastAsia="Times New Roman" w:hAnsi="Times New Roman"/>
                <w:sz w:val="16"/>
                <w:szCs w:val="16"/>
                <w:color w:val="auto"/>
              </w:rPr>
              <w:t>Fair Value at Vesting of Option Awards and Stock Awards Granted in Fiscal Year That Vested</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147,74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During Fiscal Year</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 xml:space="preserve">Plus </w:t>
            </w:r>
            <w:r>
              <w:rPr>
                <w:rFonts w:ascii="Times New Roman" w:cs="Times New Roman" w:eastAsia="Times New Roman" w:hAnsi="Times New Roman"/>
                <w:sz w:val="16"/>
                <w:szCs w:val="16"/>
                <w:color w:val="auto"/>
              </w:rPr>
              <w:t>Change in Fair Value as of Vesting Date of Option Awards and Stock Awards Granted in Prior</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(503,42</w:t>
            </w:r>
          </w:p>
        </w:tc>
        <w:tc>
          <w:tcPr>
            <w:tcW w:w="12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10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Fiscal Years For Which Applicable Vesting Conditions Were Satisfied During Fiscal Year</w:t>
            </w:r>
          </w:p>
        </w:tc>
        <w:tc>
          <w:tcPr>
            <w:tcW w:w="7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(118,355)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Less </w:t>
            </w:r>
            <w:r>
              <w:rPr>
                <w:rFonts w:ascii="Times New Roman" w:cs="Times New Roman" w:eastAsia="Times New Roman" w:hAnsi="Times New Roman"/>
                <w:sz w:val="16"/>
                <w:szCs w:val="16"/>
                <w:color w:val="auto"/>
              </w:rPr>
              <w:t>Fair Value as of Prior Fiscal Year-End of Option Awards and Stock Awards Granted in Prior</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Fiscal Years That Failed to Meet Applicable Vesting Conditions During Fiscal Year</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5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top w:val="single" w:sz="8" w:color="auto"/>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(2,171,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tcBorders>
              <w:top w:val="single" w:sz="8" w:color="auto"/>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(353,0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3,549,5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tcBorders>
              <w:top w:val="single" w:sz="8" w:color="auto"/>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1,354,3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Compensation Actually Paid (CAP) Total</w:t>
            </w:r>
          </w:p>
        </w:tc>
        <w:tc>
          <w:tcPr>
            <w:tcW w:w="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158,544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519)</w:t>
            </w:r>
          </w:p>
        </w:tc>
        <w:tc>
          <w:tcPr>
            <w:tcW w:w="4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Pay and Financial Performance Measures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graph presents the relationship between the PEO(s)’ and average non-PEO named executive officers’ CAP and the Company’s cumulative indexed total shareholder return (“TSR”), in each case, for the fiscal years ended December 31, 2025 and 2024. TSR amounts reported in the graph assume an initial fixed investment of $100, and that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123190</wp:posOffset>
            </wp:positionV>
            <wp:extent cx="6172200" cy="27514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The following graph presents the relationship between PEO(s) and average non-PEO named executive officers’ CAP, and the Company’s net loss,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114300</wp:posOffset>
            </wp:positionV>
            <wp:extent cx="6172200" cy="27514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220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sectPr>
      </w:pPr>
    </w:p>
    <w:bookmarkStart w:id="30" w:name="page31"/>
    <w:bookmarkEnd w:id="30"/>
    <w:p>
      <w:pPr>
        <w:ind w:left="522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APPROVAL OF AN INCREASE TO MAXIMUM AGGREGATE ANNUAL CASH FEE POOL FROM WHICH THE NON-EXECUTIVE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 OF THE COMPANY MAY BE PAID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ASX Listing Rule 10.17 and section 2.10 of the Company’s Bylaws, any proposed increase to the maximum aggregate annual cash fee pool from which non-executive Directors of the Company may be paid for their services as members of the Board must be approved by stockholders at an annual or special meeting of stockholders.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are currently six non-executive Directors of the Company – Professor Crowe, Mr. Curnock Cook, Mr. McNamara, Ms. Reed, Dr. Tarnoff, and Mr. Woody. The current maximum aggregate annual cash fee pool from which all of the non-executive Directors of the Company may be paid for their services as members of the Board is US$750,000. The remuneration of each non-executive Director for the year ended December 31, 2025 is detailed in Part III, Item 10 of the FY25 10-K.</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purpose of this Proposal 3 is to approve an increase in the maximum aggregate annual cash fee pool from US$750,000 to US$900,000. This would represent an increase to the current cash fee pool of US$150,000. If approved, the amount of US$900,000 would be the total aggregate cash amount that could be paid to the non-executive Directors in any given year. The approval of this increase does not necessarily mean that the full aggregate annual cash fee pool of US$900,000 will be utilized. The current aggregate annualized rate of compensation for the non-executive Directors is US$612,500.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proposed increase</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current maximum aggregate annual cash fee pool of US$750,000 was last approved in 2021 by the Company’s stockholders at the Company’s annual meeting held on December 14, 2021 (United States). The Board considers that it is reasonable and appropriate at this time to seek stockholder approval for an increase in the maximum aggregate annual cash fee pool as these additional funds will enable the Company to continue to attract and retain Directors in an increasingly competitive environment.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has further determined that the proposed amount of US$900,000 is a reasonable aggregate annual cash fee pool amount for a United States life sciences company that is dual-listed on Nasdaq and the ASX. The Board’s view is supported by Compensia, its independent compensation advisory firm that focuses on technology and life sciences companies. The Board has determined that this increase to its annual aggregate cash fee pool (to US$900,000) will allow it to continue its membership development efforts with remuneration at current market levels.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this Proposal 3 is passed, the maximum aggregate annual cash fee pool from which non-executive Directors may be paid for their services as members of the Board will be US$900,000. If this Proposal 3 is not passed, the aggregate annual cash fee pool will remain at US$750,000, which may negatively impact the Board’s ongoing development efforts.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stockholders vote FOR Proposal 3 for the reasons set out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Approval of this Proposal 3 requires the affirmative vote of the holders of a majority of the voting power of the Common Stock present in person or represented by proxy at the Annual Meeting and entitled to vote on the relevant Proposal. Abstentions will have the same effect as votes “AGAINST” this Proposal 3. Broker non-votes will have no effect on the voting for this Proposal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disregard any votes cast in favor of Proposal 3 by or on behalf of any Director of the Company or their associates.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Proposal 3 by:</w:t>
      </w:r>
    </w:p>
    <w:p>
      <w:pPr>
        <w:spacing w:after="0" w:line="63" w:lineRule="exact"/>
        <w:rPr>
          <w:sz w:val="20"/>
          <w:szCs w:val="20"/>
          <w:color w:val="auto"/>
        </w:rPr>
      </w:pPr>
    </w:p>
    <w:p>
      <w:pPr>
        <w:ind w:left="1020" w:right="660" w:hanging="503"/>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Proposal, in accordance with directions given to the proxy or attorney; or</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1" w:lineRule="exact"/>
        <w:rPr>
          <w:rFonts w:ascii="Times New Roman" w:cs="Times New Roman" w:eastAsia="Times New Roman" w:hAnsi="Times New Roman"/>
          <w:sz w:val="18"/>
          <w:szCs w:val="18"/>
          <w:color w:val="auto"/>
        </w:rPr>
      </w:pPr>
    </w:p>
    <w:p>
      <w:pPr>
        <w:ind w:left="1020" w:right="60" w:hanging="503"/>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1" w:lineRule="exact"/>
        <w:rPr>
          <w:rFonts w:ascii="Times New Roman" w:cs="Times New Roman" w:eastAsia="Times New Roman" w:hAnsi="Times New Roman"/>
          <w:sz w:val="18"/>
          <w:szCs w:val="18"/>
          <w:color w:val="auto"/>
        </w:rPr>
      </w:pPr>
    </w:p>
    <w:p>
      <w:pPr>
        <w:ind w:left="1540" w:right="120" w:hanging="514"/>
        <w:spacing w:after="0" w:line="281"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Proposal; and</w:t>
      </w:r>
    </w:p>
    <w:p>
      <w:pPr>
        <w:spacing w:after="0" w:line="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Proposal in accordance with directions given by the beneficiary.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Proposals 4 – 11</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APPROVAL OF THE GRANTS OF OPTIONS AND RESTRICTED STOCK UNITS TO 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Proposals 4 – 11 seek the approval of stockholders under the relevant ASX Listing Rules described below for the grant to each of the Company’s non-executive Directors of both RSUs and options to acquire shares of Common Stock of the Company (the “Options” and together with the RSUs, the “NED Securities”) in the amounts set out in Tables 1 and 2 below. </w:t>
      </w:r>
      <w:r>
        <w:rPr>
          <w:rFonts w:ascii="Times New Roman" w:cs="Times New Roman" w:eastAsia="Times New Roman" w:hAnsi="Times New Roman"/>
          <w:sz w:val="18"/>
          <w:szCs w:val="18"/>
          <w:color w:val="231F20"/>
        </w:rPr>
        <w:t>The Company’s current practice is to grant equity awards to the non-executive Directors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Board, for issuance upon approval by the stockholders in the Company’s annual stockholders meeting, outside of the Incentive Plan (attached as Exhibit 10.55 to the FY25 10-K). This practice allows the Company to utilize the shares reserved under the Incentive Plan for granting equity-based compensation to the Company’s employees</w:t>
      </w:r>
      <w:r>
        <w:rPr>
          <w:rFonts w:ascii="Times New Roman" w:cs="Times New Roman" w:eastAsia="Times New Roman" w:hAnsi="Times New Roman"/>
          <w:sz w:val="18"/>
          <w:szCs w:val="18"/>
          <w:color w:val="000000"/>
        </w:rPr>
        <w:t>. The Board is of the view that the proposed grant of NED Securities to the non-executive Directors named below is a cost-effective method of remuneration that is aligned with market practice and is both reasonable and appropriate.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 RSU is an unfunded and unsecured contractual entitlement to receive one share of Common Stock of the Company subject to certain conditions. Upon the achievement of these conditions (“vesting”), each RSU will entitle its holder to be issued one fully paid share of Common Stock without monetary consideration. An option is a financial instrument that gives its holder the right, but not the obligation, to purchase a security at a certain exercise price, typically the closing price of the security on the day the option is granted, subject to vesting. Each option, upon vesting and payment of the applicable exercise price will entitle the holder to receive one fully paid share of Common Stock.</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Board engaged Compensia, its independent compensation advisory firm, to conduct its annual review of the Company’s compensation arrangements for non-executive Directors in fiscal year 2025. As part of its analysis, Compensia confirmed a peer group for the Company comprised of 18 U.S. based public companies of similar size, industry, revenue, and market capitalization using a rules-based approach. At a special joint meeting of the Board and its Human Capital and Compensation Committee on January 5, 2026, the Board resolved to approve the grants of NED Securities in these Proposals with a grant date of January 20, 2026 (the “Grant Date”), subject to stockholder approval. The Board previously established the governance practice that it would deliberate and resolve upon its annual remuneration in a standing joint meeting with the Human Capital and Compensation Committee every January, with any equity grants to be priced on the third Monday of each January (or the following day if such Monday falls on a holiday). The grants of NED Securities in Proposals 4 - 11 align with Compensia’s recommendations following its review of the Company’s non-executive Director compensation.</w:t>
      </w:r>
    </w:p>
    <w:p>
      <w:pPr>
        <w:spacing w:after="0" w:line="1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Consistent with common annual equity remuneration practices for non-executive Directors of U.S. public companies as reported by Compensia, Table 1 below reflects equity awards proposed for each non-executive Director for the fiscal year ending December 31, 2026 (the “Annual Grants”). Table 2 reflects awards proposed to be granted to the Company’s two new non-executive Directors who were appointed in August 2025 and January 2026, respectively (the “Initial Grants”). The material terms of the NED Securities are set forth under the heading “Material Terms of the NED Security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NED Securities proposed to be granted as Annual Grants: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Set out below are details of the NED Securities proposed to be granted to each relevant non-executive Director if approved under Proposals 4, 5, 6, 7, 9, and 11 (as applicable).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Non-Executive Director</w:t>
            </w:r>
          </w:p>
        </w:tc>
        <w:tc>
          <w:tcPr>
            <w:tcW w:w="29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RSUs and Options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to be Granted</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r>
      <w:tr>
        <w:trPr>
          <w:trHeight w:val="318"/>
        </w:trPr>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20" w:type="dxa"/>
            <w:vAlign w:val="bottom"/>
          </w:tcPr>
          <w:p>
            <w:pPr>
              <w:spacing w:after="0"/>
              <w:rPr>
                <w:sz w:val="24"/>
                <w:szCs w:val="2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2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1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date of ten years from the Grant Date</w:t>
            </w:r>
          </w:p>
        </w:tc>
      </w:tr>
      <w:tr>
        <w:trPr>
          <w:trHeight w:val="3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1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date of ten years from the Grant Date</w:t>
            </w:r>
          </w:p>
        </w:tc>
      </w:tr>
      <w:tr>
        <w:trPr>
          <w:trHeight w:val="33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20" w:type="dxa"/>
            <w:vAlign w:val="bottom"/>
          </w:tcPr>
          <w:p>
            <w:pPr>
              <w:spacing w:after="0"/>
              <w:rPr>
                <w:sz w:val="24"/>
                <w:szCs w:val="24"/>
                <w:color w:val="auto"/>
              </w:rPr>
            </w:pPr>
          </w:p>
        </w:tc>
        <w:tc>
          <w:tcPr>
            <w:tcW w:w="2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22,214 RSUs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1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date of ten years from the Grant Date</w:t>
            </w:r>
          </w:p>
        </w:tc>
      </w:tr>
      <w:tr>
        <w:trPr>
          <w:trHeight w:val="553"/>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19"/>
        </w:trPr>
        <w:tc>
          <w:tcPr>
            <w:tcW w:w="2060" w:type="dxa"/>
            <w:vAlign w:val="bottom"/>
          </w:tcPr>
          <w:p>
            <w:pPr>
              <w:spacing w:after="0"/>
              <w:rPr>
                <w:sz w:val="24"/>
                <w:szCs w:val="24"/>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w:t>
            </w:r>
          </w:p>
        </w:tc>
      </w:tr>
      <w:tr>
        <w:trPr>
          <w:trHeight w:val="234"/>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date of ten years from the Grant Date</w:t>
            </w:r>
          </w:p>
        </w:tc>
      </w:tr>
      <w:tr>
        <w:trPr>
          <w:trHeight w:val="33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19"/>
        </w:trPr>
        <w:tc>
          <w:tcPr>
            <w:tcW w:w="2060" w:type="dxa"/>
            <w:vAlign w:val="bottom"/>
          </w:tcPr>
          <w:p>
            <w:pPr>
              <w:spacing w:after="0"/>
              <w:rPr>
                <w:sz w:val="24"/>
                <w:szCs w:val="24"/>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w:t>
            </w:r>
          </w:p>
        </w:tc>
      </w:tr>
      <w:tr>
        <w:trPr>
          <w:trHeight w:val="234"/>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date of ten years from the Grant Date</w:t>
            </w:r>
          </w:p>
        </w:tc>
      </w:tr>
      <w:tr>
        <w:trPr>
          <w:trHeight w:val="33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Joseph Woody</w:t>
            </w:r>
          </w:p>
        </w:tc>
        <w:tc>
          <w:tcPr>
            <w:tcW w:w="3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22,214 RSUs</w:t>
            </w: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19"/>
        </w:trPr>
        <w:tc>
          <w:tcPr>
            <w:tcW w:w="2060" w:type="dxa"/>
            <w:vAlign w:val="bottom"/>
          </w:tcPr>
          <w:p>
            <w:pPr>
              <w:spacing w:after="0"/>
              <w:rPr>
                <w:sz w:val="24"/>
                <w:szCs w:val="24"/>
                <w:color w:val="auto"/>
              </w:rPr>
            </w:pP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9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w:t>
            </w:r>
          </w:p>
        </w:tc>
      </w:tr>
      <w:tr>
        <w:trPr>
          <w:trHeight w:val="234"/>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date of ten years from the Grant Date</w:t>
            </w:r>
          </w:p>
        </w:tc>
      </w:tr>
    </w:tbl>
    <w:p>
      <w:pPr>
        <w:spacing w:after="0" w:line="333" w:lineRule="exact"/>
        <w:rPr>
          <w:sz w:val="20"/>
          <w:szCs w:val="20"/>
          <w:color w:val="auto"/>
        </w:rPr>
      </w:pPr>
    </w:p>
    <w:p>
      <w:pPr>
        <w:ind w:left="1020" w:right="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$3.77 payable for each share of Common Stock upon exercise of the Options is the closing price of the Common Stock on Nasdaq on the Grant Date (January 20, 2026). The Options will be issued to each non-executive Director if their respective Proposal is approved at this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NED Securities proposed to be granted as Initial Grants: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Set out below are details of the NED Securities proposed to be granted to each relevant non-executive Director if approved under Proposals 8 and 10 (as applicable).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Non-Executive Director</w:t>
            </w:r>
          </w:p>
        </w:tc>
        <w:tc>
          <w:tcPr>
            <w:tcW w:w="12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RSUs and Options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to be Granted</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Vesting Schedule</w:t>
            </w:r>
          </w:p>
        </w:tc>
      </w:tr>
      <w:tr>
        <w:trPr>
          <w:trHeight w:val="318"/>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120" w:type="dxa"/>
            <w:vAlign w:val="bottom"/>
          </w:tcPr>
          <w:p>
            <w:pPr>
              <w:spacing w:after="0"/>
              <w:rPr>
                <w:sz w:val="24"/>
                <w:szCs w:val="24"/>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26,250</w:t>
            </w:r>
          </w:p>
        </w:tc>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 w:type="dxa"/>
            <w:vAlign w:val="bottom"/>
          </w:tcPr>
          <w:p>
            <w:pPr>
              <w:spacing w:after="0"/>
              <w:rPr>
                <w:sz w:val="24"/>
                <w:szCs w:val="24"/>
                <w:color w:val="auto"/>
              </w:rPr>
            </w:pPr>
          </w:p>
        </w:tc>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RSUs vest 12 months from the date granted</w:t>
            </w:r>
          </w:p>
        </w:tc>
      </w:tr>
      <w:tr>
        <w:trPr>
          <w:trHeight w:val="31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19,063</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Options vest 12 months from the date granted with an expiration date of</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ten years from the date granted</w:t>
            </w: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Joseph Woody</w:t>
            </w:r>
          </w:p>
        </w:tc>
        <w:tc>
          <w:tcPr>
            <w:tcW w:w="1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40,547</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RSUs vest 12 months from the date granted</w:t>
            </w:r>
          </w:p>
        </w:tc>
      </w:tr>
      <w:tr>
        <w:trPr>
          <w:trHeight w:val="31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29,446</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24"/>
                <w:szCs w:val="24"/>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Options vest 12 months from the date granted with an expiration date of</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ten years from the date granted</w:t>
            </w:r>
          </w:p>
        </w:tc>
      </w:tr>
    </w:tbl>
    <w:p>
      <w:pPr>
        <w:spacing w:after="0" w:line="306" w:lineRule="exact"/>
        <w:rPr>
          <w:sz w:val="20"/>
          <w:szCs w:val="20"/>
          <w:color w:val="auto"/>
        </w:rPr>
      </w:pPr>
    </w:p>
    <w:p>
      <w:pPr>
        <w:ind w:left="1020" w:right="14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$5.36 (for Dr. Tarnoff) and $3.47 (for Mr. Woody) payable for each share of Common Stock upon exercise of the Options is the closing price of the Common Stock on Nasdaq on the dates they were granted (August 6, 2025 for Dr. Tarnoff and January 5, 2026 for Mr. Woody). The Options will be issued to each non-executive Director if their respective Proposal is approved at this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 under the Annual Grants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31F20"/>
        </w:rPr>
        <w:t>As noted above, it is proposed that, subject to stockholder approval at the Annual Meeting, each of the non-executive Directors will be granted RSUs to acquire shares of Common Stock equal in value to $83,750 (as of the Grant Date) and options to acquire shares of Common Stock equal in value to $41,250 (as of the Grant Date).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The number of NED Securities to be granted to each of the non-executive Directors under the Annual Grants on the Grant Date was determined at a special joint meeting of the Board and its Human Capital and Compensation Committee on January 5, 2026, in accordance with the following formula: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In respect of the RSUs: </w:t>
      </w:r>
      <w:r>
        <w:rPr>
          <w:rFonts w:ascii="Times New Roman" w:cs="Times New Roman" w:eastAsia="Times New Roman" w:hAnsi="Times New Roman"/>
          <w:sz w:val="18"/>
          <w:szCs w:val="18"/>
          <w:color w:val="231F20"/>
        </w:rPr>
        <w:t>R = A /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where:</w:t>
      </w:r>
    </w:p>
    <w:p>
      <w:pPr>
        <w:spacing w:after="0" w:line="225" w:lineRule="exact"/>
        <w:rPr>
          <w:sz w:val="20"/>
          <w:szCs w:val="20"/>
          <w:color w:val="auto"/>
        </w:rPr>
      </w:pPr>
    </w:p>
    <w:p>
      <w:pPr>
        <w:ind w:left="800" w:right="1460" w:firstLine="4"/>
        <w:spacing w:after="0" w:line="261" w:lineRule="auto"/>
        <w:tabs>
          <w:tab w:leader="none" w:pos="11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means the number of RSUs to be issued to the relevant non-executive Director rounded down to the nearest whole RSU </w:t>
      </w:r>
      <w:r>
        <w:rPr>
          <w:rFonts w:ascii="Times New Roman" w:cs="Times New Roman" w:eastAsia="Times New Roman" w:hAnsi="Times New Roman"/>
          <w:sz w:val="18"/>
          <w:szCs w:val="18"/>
          <w:color w:val="000000"/>
        </w:rPr>
        <w:t xml:space="preserve">A </w:t>
      </w:r>
      <w:r>
        <w:rPr>
          <w:rFonts w:ascii="Times New Roman" w:cs="Times New Roman" w:eastAsia="Times New Roman" w:hAnsi="Times New Roman"/>
          <w:sz w:val="18"/>
          <w:szCs w:val="18"/>
          <w:color w:val="231F20"/>
        </w:rPr>
        <w:t>means the amount of $83,750</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231F20"/>
        </w:rPr>
        <w:t>means the closing price of the Company’s shares of Common Stock on Nasdaq on the Grant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231F20"/>
        </w:rPr>
        <w:t xml:space="preserve">In respect of the options: </w:t>
      </w:r>
      <w:r>
        <w:rPr>
          <w:rFonts w:ascii="Times New Roman" w:cs="Times New Roman" w:eastAsia="Times New Roman" w:hAnsi="Times New Roman"/>
          <w:sz w:val="18"/>
          <w:szCs w:val="18"/>
          <w:color w:val="231F20"/>
        </w:rPr>
        <w:t>O = X / Y</w:t>
      </w:r>
      <w:r>
        <w:rPr>
          <w:rFonts w:ascii="Times New Roman" w:cs="Times New Roman" w:eastAsia="Times New Roman" w:hAnsi="Times New Roman"/>
          <w:sz w:val="24"/>
          <w:szCs w:val="24"/>
          <w:color w:val="231F20"/>
          <w:vertAlign w:val="superscript"/>
        </w:rPr>
        <w:t>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where:</w:t>
      </w:r>
    </w:p>
    <w:p>
      <w:pPr>
        <w:spacing w:after="0" w:line="225" w:lineRule="exact"/>
        <w:rPr>
          <w:sz w:val="20"/>
          <w:szCs w:val="20"/>
          <w:color w:val="auto"/>
        </w:rPr>
      </w:pPr>
    </w:p>
    <w:p>
      <w:pPr>
        <w:ind w:left="680" w:right="1260" w:firstLine="3"/>
        <w:spacing w:after="0" w:line="261" w:lineRule="auto"/>
        <w:tabs>
          <w:tab w:leader="none" w:pos="10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means the number of options to be issued to the relevant non-executive Director rounded down to the nearest whole option </w:t>
      </w:r>
      <w:r>
        <w:rPr>
          <w:rFonts w:ascii="Times New Roman" w:cs="Times New Roman" w:eastAsia="Times New Roman" w:hAnsi="Times New Roman"/>
          <w:sz w:val="18"/>
          <w:szCs w:val="18"/>
          <w:color w:val="000000"/>
        </w:rPr>
        <w:t xml:space="preserve">X </w:t>
      </w:r>
      <w:r>
        <w:rPr>
          <w:rFonts w:ascii="Times New Roman" w:cs="Times New Roman" w:eastAsia="Times New Roman" w:hAnsi="Times New Roman"/>
          <w:sz w:val="18"/>
          <w:szCs w:val="18"/>
          <w:color w:val="231F20"/>
        </w:rPr>
        <w:t>means the amount of $41,250</w:t>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color w:val="231F20"/>
        </w:rPr>
        <w:t>means the closing price of the Company’s shares of Common Stock on Nasdaq on the Grant Date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 under the Initial Grants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As noted above, it is proposed that, subject to stockholder approval at the Annual Meeting, Dr. Tarnoff and Mr. Woody will be granted RSUs to acquire shares of Common Stock equal in value to $140,700 (as of the date granted) and options to acquire shares of Common Stock equal in value to $69,300 (as of the date granted).</w:t>
      </w:r>
    </w:p>
    <w:p>
      <w:pPr>
        <w:spacing w:after="0" w:line="18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231F20"/>
        </w:rPr>
        <w:t>The number of NED Securities to be granted to Dr. Tarnoff as his Initial Grant was determined at the Board’s meeting on August 6</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2025; the number of NED Securities to be granted to Mr. Woody as his Initial Grant was determined at a special joint meeting of the Board and its Human Capital and Compensation Committee on January 5, 2026. Each of these Initial Grants was determined in accordance with the following formula: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In respect of the RSUs: </w:t>
      </w:r>
      <w:r>
        <w:rPr>
          <w:rFonts w:ascii="Times New Roman" w:cs="Times New Roman" w:eastAsia="Times New Roman" w:hAnsi="Times New Roman"/>
          <w:sz w:val="18"/>
          <w:szCs w:val="18"/>
          <w:color w:val="231F20"/>
        </w:rPr>
        <w:t>R = A /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where:</w:t>
      </w:r>
    </w:p>
    <w:p>
      <w:pPr>
        <w:spacing w:after="0" w:line="225" w:lineRule="exact"/>
        <w:rPr>
          <w:sz w:val="20"/>
          <w:szCs w:val="20"/>
          <w:color w:val="auto"/>
        </w:rPr>
      </w:pPr>
    </w:p>
    <w:p>
      <w:pPr>
        <w:ind w:left="800" w:right="1360" w:firstLine="4"/>
        <w:spacing w:after="0" w:line="261" w:lineRule="auto"/>
        <w:tabs>
          <w:tab w:leader="none" w:pos="11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means the number of RSUs to be issued to the relevant non-executive Director rounded down to the nearest whole RSU </w:t>
      </w:r>
      <w:r>
        <w:rPr>
          <w:rFonts w:ascii="Times New Roman" w:cs="Times New Roman" w:eastAsia="Times New Roman" w:hAnsi="Times New Roman"/>
          <w:sz w:val="18"/>
          <w:szCs w:val="18"/>
          <w:color w:val="000000"/>
        </w:rPr>
        <w:t xml:space="preserve">A </w:t>
      </w:r>
      <w:r>
        <w:rPr>
          <w:rFonts w:ascii="Times New Roman" w:cs="Times New Roman" w:eastAsia="Times New Roman" w:hAnsi="Times New Roman"/>
          <w:sz w:val="18"/>
          <w:szCs w:val="18"/>
          <w:color w:val="231F20"/>
        </w:rPr>
        <w:t>means the amount of $140,700</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231F20"/>
        </w:rPr>
        <w:t>means the closing price of the Company’s shares of Common Stock on Nasdaq on the date granted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In respect of the options: </w:t>
      </w:r>
      <w:r>
        <w:rPr>
          <w:rFonts w:ascii="Times New Roman" w:cs="Times New Roman" w:eastAsia="Times New Roman" w:hAnsi="Times New Roman"/>
          <w:sz w:val="18"/>
          <w:szCs w:val="18"/>
          <w:color w:val="231F20"/>
        </w:rPr>
        <w:t>O = X / Y</w:t>
      </w:r>
      <w:r>
        <w:rPr>
          <w:rFonts w:ascii="Times New Roman" w:cs="Times New Roman" w:eastAsia="Times New Roman" w:hAnsi="Times New Roman"/>
          <w:sz w:val="24"/>
          <w:szCs w:val="24"/>
          <w:color w:val="231F20"/>
          <w:vertAlign w:val="superscript"/>
        </w:rPr>
        <w:t>1</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where:</w:t>
      </w:r>
    </w:p>
    <w:p>
      <w:pPr>
        <w:spacing w:after="0" w:line="225" w:lineRule="exact"/>
        <w:rPr>
          <w:sz w:val="20"/>
          <w:szCs w:val="20"/>
          <w:color w:val="auto"/>
        </w:rPr>
      </w:pPr>
    </w:p>
    <w:p>
      <w:pPr>
        <w:ind w:left="680" w:right="1260" w:firstLine="3"/>
        <w:spacing w:after="0" w:line="261" w:lineRule="auto"/>
        <w:tabs>
          <w:tab w:leader="none" w:pos="10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means the number of options to be issued to the relevant non-executive Director rounded down to the nearest whole option </w:t>
      </w:r>
      <w:r>
        <w:rPr>
          <w:rFonts w:ascii="Times New Roman" w:cs="Times New Roman" w:eastAsia="Times New Roman" w:hAnsi="Times New Roman"/>
          <w:sz w:val="18"/>
          <w:szCs w:val="18"/>
          <w:color w:val="000000"/>
        </w:rPr>
        <w:t xml:space="preserve">X </w:t>
      </w:r>
      <w:r>
        <w:rPr>
          <w:rFonts w:ascii="Times New Roman" w:cs="Times New Roman" w:eastAsia="Times New Roman" w:hAnsi="Times New Roman"/>
          <w:sz w:val="18"/>
          <w:szCs w:val="18"/>
          <w:color w:val="231F20"/>
        </w:rPr>
        <w:t>means the amount of $69,300</w:t>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color w:val="231F20"/>
        </w:rPr>
        <w:t>means the closing price of the Company’s shares of Common Stock on Nasdaq on the date granted</w:t>
      </w:r>
    </w:p>
    <w:p>
      <w:pPr>
        <w:spacing w:after="0" w:line="2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NED Securities granted, and proposed to be issued, to each relevant non-executive Director are subject to stockholder approval and the terms and conditions of an RSU agreement (in respect of the RSUs) and an option agreement (in respect of the Options) between the relevant non-executive Director and the Company (the “NED Security Agreements”), the terms of which are summarized below.</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of the Proposals 4 – 11 is a separate proposal to be considered by stockholders independently. In addition, Proposals 4 – 11 are not interdependent proposals, meaning that the approval of one proposal will not impact the outcome of another proposal (e.g., if Proposal 4 is not approved, this does not impact the ability of Proposal 5 to be approved). Accordingly, if only some of the Proposals 4 – 11 are approved by stockholders, those proposals that are approved will remain valid even if certain of the Proposals 4 – 11 are not approved by stockholders. Those non-executive Directors whose respective Annual Grants or Initial Grants are approved at the Annual Meeting (pursuant to the relevant proposal) will be entitled to be granted those NED Securities whereas those non-executive Directors whose respective Annual Grants or Initial Grants are not approved will not be entitled to be granted those NED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00" w:hanging="92"/>
        <w:spacing w:after="0" w:line="223" w:lineRule="auto"/>
        <w:tabs>
          <w:tab w:leader="none" w:pos="10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Subject to Black-Scholes modeling.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ASX Listing Rules 7.1 and 10.11</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U.S. securities law requirements, the Company's grant and issuance of Equity Securities (as defined in ASX Listing Rule 19.12) is subject to ASX Listing Rules requirements. Specifically, ASX Listing Rule 7.1 prohibits a company from issuing more than 15% of its available securities in any twelve-month period without stockholder approval. Further, ASX Listing Rule 10.11 prohibits a company from issuing or agreeing to issue any Equity Securities to a related party, which includes a Director, without stockholder approval. Thus, stockholder approval of any of the Proposals 4 – 11 allows the Company to issue the NED Securities to the non-executive Directors in compliance with ASX Listing Rule 10.11, and any such issue will not be counted towards the placement capacity restriction under ASX Listing Rule 7.1.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grant of the NED Securities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has approved the proposed grant of the NED Securities in order to promote ownership of the Company by the non-executive Directors and to align their interests with stockholders by linking part of their compensation to the long-term success of the Company and its financial performance. The Board is of the view that the proposed grant of NED Securities to the non-executive Directors named below is a cost-effective method of remuneration that is aligned with market practice and is both reasonable and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the NED Security Agreements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the value, vesting schedules and other terms of the NED Securities noted in the tables above, the following is a summary of other material terms of the NED Security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Agreements</w:t>
      </w:r>
    </w:p>
    <w:p>
      <w:pPr>
        <w:spacing w:after="0" w:line="333"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Options.</w:t>
      </w:r>
    </w:p>
    <w:p>
      <w:pPr>
        <w:spacing w:after="0" w:line="117" w:lineRule="exact"/>
        <w:rPr>
          <w:rFonts w:ascii="Times New Roman" w:cs="Times New Roman" w:eastAsia="Times New Roman" w:hAnsi="Times New Roman"/>
          <w:sz w:val="18"/>
          <w:szCs w:val="18"/>
          <w:i w:val="1"/>
          <w:iCs w:val="1"/>
          <w:color w:val="auto"/>
        </w:rPr>
      </w:pPr>
    </w:p>
    <w:p>
      <w:pPr>
        <w:ind w:left="1020" w:right="180" w:hanging="503"/>
        <w:spacing w:after="0" w:line="284" w:lineRule="auto"/>
        <w:tabs>
          <w:tab w:leader="none" w:pos="10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payable for each share of Common Stock subject to the Option is as noted above, which was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Common Stock on Nasdaq on the date on which the Option was granted.</w:t>
      </w:r>
    </w:p>
    <w:p>
      <w:pPr>
        <w:spacing w:after="0" w:line="50" w:lineRule="exact"/>
        <w:rPr>
          <w:rFonts w:ascii="Times New Roman" w:cs="Times New Roman" w:eastAsia="Times New Roman" w:hAnsi="Times New Roman"/>
          <w:sz w:val="18"/>
          <w:szCs w:val="18"/>
          <w:i w:val="1"/>
          <w:iCs w:val="1"/>
          <w:color w:val="auto"/>
        </w:rPr>
      </w:pPr>
    </w:p>
    <w:p>
      <w:pPr>
        <w:ind w:left="1020" w:right="80" w:hanging="503"/>
        <w:spacing w:after="0" w:line="256" w:lineRule="auto"/>
        <w:tabs>
          <w:tab w:leader="none" w:pos="10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Each non-executive Director may pay the applicable exercise price by personal check (or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wire transfer, cashier’s check or by consideration received by the Company pursuant to a broker-assisted cashless exercise program implemented by the Administrator (as defined in the agreement) under the AVITA Medical, Inc. Stock Option Grant Agreement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74" w:lineRule="exact"/>
        <w:rPr>
          <w:rFonts w:ascii="Times New Roman" w:cs="Times New Roman" w:eastAsia="Times New Roman" w:hAnsi="Times New Roman"/>
          <w:sz w:val="18"/>
          <w:szCs w:val="18"/>
          <w:i w:val="1"/>
          <w:iCs w:val="1"/>
          <w:color w:val="auto"/>
        </w:rPr>
      </w:pPr>
    </w:p>
    <w:p>
      <w:pPr>
        <w:ind w:left="1020" w:right="400" w:hanging="503"/>
        <w:spacing w:after="0" w:line="261" w:lineRule="auto"/>
        <w:tabs>
          <w:tab w:leader="none" w:pos="10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Options will expire at the close of business at the Company’s headquarters on the applicable expiration date (being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71"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not CDIs) may be issued to the non-executive Director.</w:t>
      </w:r>
    </w:p>
    <w:p>
      <w:pPr>
        <w:spacing w:after="0" w:line="50" w:lineRule="exact"/>
        <w:rPr>
          <w:rFonts w:ascii="Times New Roman" w:cs="Times New Roman" w:eastAsia="Times New Roman" w:hAnsi="Times New Roman"/>
          <w:sz w:val="18"/>
          <w:szCs w:val="18"/>
          <w:i w:val="1"/>
          <w:iCs w:val="1"/>
          <w:color w:val="auto"/>
        </w:rPr>
      </w:pPr>
    </w:p>
    <w:p>
      <w:pPr>
        <w:ind w:left="1020" w:right="60" w:hanging="503"/>
        <w:spacing w:after="0" w:line="267" w:lineRule="auto"/>
        <w:tabs>
          <w:tab w:leader="none" w:pos="10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Options (which are entirely time-based) are set out in Table 1 above. Once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has vested it may be exercised at any time during the Option term applicable to it unless it otherwise lapses or is forfeited pursuant to the terms of the Option Agreement.</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 ceases to be a Director of the Company prior to the relevant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Human Capital and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ind w:left="960"/>
        <w:spacing w:after="0" w:line="258" w:lineRule="auto"/>
        <w:rPr>
          <w:sz w:val="20"/>
          <w:szCs w:val="20"/>
          <w:color w:val="auto"/>
        </w:rPr>
      </w:pPr>
      <w:r>
        <w:rPr>
          <w:rFonts w:ascii="Times New Roman" w:cs="Times New Roman" w:eastAsia="Times New Roman" w:hAnsi="Times New Roman"/>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60" w:lineRule="exact"/>
        <w:rPr>
          <w:sz w:val="20"/>
          <w:szCs w:val="20"/>
          <w:color w:val="auto"/>
        </w:rPr>
      </w:pPr>
    </w:p>
    <w:p>
      <w:pPr>
        <w:ind w:left="960" w:hanging="503"/>
        <w:spacing w:after="0" w:line="257" w:lineRule="auto"/>
        <w:tabs>
          <w:tab w:leader="none" w:pos="96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Rules or by a waiver granted by the ASX).</w:t>
      </w:r>
    </w:p>
    <w:p>
      <w:pPr>
        <w:spacing w:after="0" w:line="47" w:lineRule="exact"/>
        <w:rPr>
          <w:rFonts w:ascii="Times New Roman" w:cs="Times New Roman" w:eastAsia="Times New Roman" w:hAnsi="Times New Roman"/>
          <w:sz w:val="18"/>
          <w:szCs w:val="18"/>
          <w:i w:val="1"/>
          <w:iCs w:val="1"/>
          <w:color w:val="auto"/>
        </w:rPr>
      </w:pPr>
    </w:p>
    <w:p>
      <w:pPr>
        <w:ind w:left="960" w:right="20" w:hanging="503"/>
        <w:spacing w:after="0" w:line="253" w:lineRule="auto"/>
        <w:tabs>
          <w:tab w:leader="none" w:pos="96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or the Company’s stockholders and subject to compliance with, and to the extent permitted by, all Applicable Laws (as defined in the Option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Human Capital and Compensation Committee and in accordance with the ASX Listing Rules. Such adjustments may provide for the elimination of fractional shares that may otherwise be subject to the Option grant without any payment.</w:t>
      </w:r>
    </w:p>
    <w:p>
      <w:pPr>
        <w:spacing w:after="0" w:line="68" w:lineRule="exact"/>
        <w:rPr>
          <w:rFonts w:ascii="Times New Roman" w:cs="Times New Roman" w:eastAsia="Times New Roman" w:hAnsi="Times New Roman"/>
          <w:sz w:val="18"/>
          <w:szCs w:val="18"/>
          <w:i w:val="1"/>
          <w:iCs w:val="1"/>
          <w:color w:val="auto"/>
        </w:rPr>
      </w:pPr>
    </w:p>
    <w:p>
      <w:pPr>
        <w:ind w:left="960" w:right="20" w:hanging="503"/>
        <w:spacing w:after="0" w:line="267" w:lineRule="auto"/>
        <w:tabs>
          <w:tab w:leader="none" w:pos="96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Options granted to each non-executive Director under the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Option may be exercised at any one time.</w:t>
      </w:r>
    </w:p>
    <w:p>
      <w:pPr>
        <w:spacing w:after="0" w:line="51" w:lineRule="exact"/>
        <w:rPr>
          <w:rFonts w:ascii="Times New Roman" w:cs="Times New Roman" w:eastAsia="Times New Roman" w:hAnsi="Times New Roman"/>
          <w:sz w:val="18"/>
          <w:szCs w:val="18"/>
          <w:i w:val="1"/>
          <w:iCs w:val="1"/>
          <w:color w:val="auto"/>
        </w:rPr>
      </w:pPr>
    </w:p>
    <w:p>
      <w:pPr>
        <w:ind w:left="960" w:right="240" w:hanging="503"/>
        <w:spacing w:after="0" w:line="267" w:lineRule="auto"/>
        <w:tabs>
          <w:tab w:leader="none" w:pos="96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in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Option outstanding as of immediately prior to the change in control will vest in full as of the change in control.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Agreements</w:t>
      </w:r>
    </w:p>
    <w:p>
      <w:pPr>
        <w:spacing w:after="0" w:line="117" w:lineRule="exact"/>
        <w:rPr>
          <w:sz w:val="20"/>
          <w:szCs w:val="20"/>
          <w:color w:val="auto"/>
        </w:rPr>
      </w:pPr>
    </w:p>
    <w:p>
      <w:pPr>
        <w:ind w:left="960" w:hanging="503"/>
        <w:spacing w:after="0"/>
        <w:tabs>
          <w:tab w:leader="none" w:pos="96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RSUs.</w:t>
      </w:r>
    </w:p>
    <w:p>
      <w:pPr>
        <w:spacing w:after="0" w:line="117" w:lineRule="exact"/>
        <w:rPr>
          <w:rFonts w:ascii="Times New Roman" w:cs="Times New Roman" w:eastAsia="Times New Roman" w:hAnsi="Times New Roman"/>
          <w:sz w:val="18"/>
          <w:szCs w:val="18"/>
          <w:i w:val="1"/>
          <w:iCs w:val="1"/>
          <w:color w:val="auto"/>
        </w:rPr>
      </w:pPr>
    </w:p>
    <w:p>
      <w:pPr>
        <w:ind w:left="960" w:right="100" w:hanging="503"/>
        <w:spacing w:after="0" w:line="261" w:lineRule="auto"/>
        <w:tabs>
          <w:tab w:leader="none" w:pos="96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RSUs (which are entirely time based) are set out in Tables 1 and 2; such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only apply upon stockholder approval of the RSUs. The Company will issue or transfer shares of Common Stock to the non-executive Director on or as soon as administratively practical (and within 20 business days in accordance with the terms of the RSU agreement) following the relevant vesting date of the RSUs.</w:t>
      </w:r>
    </w:p>
    <w:p>
      <w:pPr>
        <w:spacing w:after="0" w:line="71" w:lineRule="exact"/>
        <w:rPr>
          <w:rFonts w:ascii="Times New Roman" w:cs="Times New Roman" w:eastAsia="Times New Roman" w:hAnsi="Times New Roman"/>
          <w:sz w:val="18"/>
          <w:szCs w:val="18"/>
          <w:i w:val="1"/>
          <w:iCs w:val="1"/>
          <w:color w:val="auto"/>
        </w:rPr>
      </w:pPr>
    </w:p>
    <w:p>
      <w:pPr>
        <w:ind w:left="960" w:right="40" w:hanging="503"/>
        <w:spacing w:after="0" w:line="267" w:lineRule="auto"/>
        <w:tabs>
          <w:tab w:leader="none" w:pos="96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Director’s continuous service as a non-executive Director of the Company terminates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65" w:lineRule="exact"/>
        <w:rPr>
          <w:rFonts w:ascii="Times New Roman" w:cs="Times New Roman" w:eastAsia="Times New Roman" w:hAnsi="Times New Roman"/>
          <w:sz w:val="18"/>
          <w:szCs w:val="18"/>
          <w:i w:val="1"/>
          <w:iCs w:val="1"/>
          <w:color w:val="auto"/>
        </w:rPr>
      </w:pPr>
    </w:p>
    <w:p>
      <w:pPr>
        <w:ind w:left="960" w:right="20" w:hanging="503"/>
        <w:spacing w:after="0" w:line="253" w:lineRule="auto"/>
        <w:tabs>
          <w:tab w:leader="none" w:pos="96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under an RSU will, subject to any required action by the Board or the Company’s stockholders and subject to compliance with, and to the extent permitted by, all Applicable Laws (as defined in the RSU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RSU grant and such other adjustments as are appropriate at the discretion of the Human Capital and Compensation Committee and in accordance with the ASX Listing Rules. Such adjustments may provide for the elimination of fractional shares that may otherwise be subject to RSU grants without any payment.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093" w:right="379" w:bottom="1440" w:gutter="0" w:footer="0" w:header="0"/>
        </w:sectPr>
      </w:pPr>
    </w:p>
    <w:bookmarkStart w:id="36" w:name="page37"/>
    <w:bookmarkEnd w:id="36"/>
    <w:p>
      <w:pPr>
        <w:ind w:left="1020" w:right="460" w:hanging="503"/>
        <w:spacing w:after="0" w:line="267" w:lineRule="auto"/>
        <w:tabs>
          <w:tab w:leader="none" w:pos="102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in Control (as that term is defined in the RSU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RSUs outstanding as of immediately prior to the change in control will vest in full as of the change in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Proposals 4 – 11 and not for award grantees,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RSUs do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(the “IRS Code”) and is not disallowed by the $1 million limitation on certain executive compensation under Section 162(m) of the IRS Code.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15" w:lineRule="exact"/>
        <w:rPr>
          <w:sz w:val="20"/>
          <w:szCs w:val="20"/>
          <w:color w:val="auto"/>
        </w:rPr>
      </w:pPr>
    </w:p>
    <w:p>
      <w:pPr>
        <w:ind w:left="1020" w:right="260" w:hanging="503"/>
        <w:spacing w:after="0" w:line="26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NED Securities have been granted, and are proposed to be issued, to the Company’s non-executive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namely Professor Suzanne Crowe, Jeremy Curnock Cook, Robert McNamara, Jan Stern Reed, Dr. Michael Tarnoff, and Joseph Woody.</w:t>
      </w:r>
    </w:p>
    <w:p>
      <w:pPr>
        <w:spacing w:after="0" w:line="65" w:lineRule="exact"/>
        <w:rPr>
          <w:rFonts w:ascii="Times New Roman" w:cs="Times New Roman" w:eastAsia="Times New Roman" w:hAnsi="Times New Roman"/>
          <w:sz w:val="18"/>
          <w:szCs w:val="18"/>
          <w:color w:val="auto"/>
        </w:rPr>
      </w:pPr>
    </w:p>
    <w:p>
      <w:pPr>
        <w:ind w:left="1020" w:right="42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Each of Professor Suzanne Crowe, Jeremy Curnock Cook, Robert McNamara, Jan Stern Reed, Dr. Michael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Tarnoff, and Joseph Woody are directors of the Company, and therefore fall into the category under ASX Listing Rule 10.11.1.</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number and class of securities granted and proposed to be issued to each relevant non-executive Director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out in Tables 1 and 2 above.</w:t>
      </w:r>
    </w:p>
    <w:p>
      <w:pPr>
        <w:spacing w:after="0" w:line="50" w:lineRule="exact"/>
        <w:rPr>
          <w:rFonts w:ascii="Times New Roman" w:cs="Times New Roman" w:eastAsia="Times New Roman" w:hAnsi="Times New Roman"/>
          <w:sz w:val="18"/>
          <w:szCs w:val="18"/>
          <w:color w:val="auto"/>
        </w:rPr>
      </w:pPr>
    </w:p>
    <w:p>
      <w:pPr>
        <w:ind w:left="1020" w:right="80" w:hanging="503"/>
        <w:spacing w:after="0" w:line="26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and 10.13.9): </w:t>
      </w:r>
      <w:r>
        <w:rPr>
          <w:rFonts w:ascii="Times New Roman" w:cs="Times New Roman" w:eastAsia="Times New Roman" w:hAnsi="Times New Roman"/>
          <w:sz w:val="18"/>
          <w:szCs w:val="18"/>
          <w:color w:val="auto"/>
        </w:rPr>
        <w:t>The securities granted and proposed to be issued under Proposals 4 – 11 (inclusive) are the 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comprised of RSUs and options to acquire fully paid shares of Common Stock, in accordance with the material terms of the NED Security Agreements. The material terms of the NED Securities and Agreements are set out above.</w:t>
      </w:r>
    </w:p>
    <w:p>
      <w:pPr>
        <w:spacing w:after="0" w:line="65" w:lineRule="exact"/>
        <w:rPr>
          <w:rFonts w:ascii="Times New Roman" w:cs="Times New Roman" w:eastAsia="Times New Roman" w:hAnsi="Times New Roman"/>
          <w:sz w:val="18"/>
          <w:szCs w:val="18"/>
          <w:color w:val="auto"/>
        </w:rPr>
      </w:pPr>
    </w:p>
    <w:p>
      <w:pPr>
        <w:ind w:left="1020" w:right="34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Any NED Securities granted, and proposed to be issued, to the relevant non-executive Directors, if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Proposals 4 – 11, will be issued on the date of the Annual Meeting, as planned, or if quorum is not achieved and postponement is required to achieve quorum, then the date of the postponed Annual Meeting, if the proposed grants to the non-executive Directors are approved at the Annual Meeting (and in any event, no later than one month after the date of the Annual Meeting).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7" w:name="page38"/>
    <w:bookmarkEnd w:id="37"/>
    <w:p>
      <w:pPr>
        <w:ind w:left="1020" w:right="2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RSUs (or for the Common Stock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or transferred upon the vesting of the RSUs) or the Options, other than the continued provision of non-executive Director services by the non-executive Directors. In relation to the Options, once vested and upon exercise, the relevant non-executive Director will be required to pay the exercise price. The exercise price for each share of Common Stock to be issued under each Option is the closing price of the Common Stock on Nasdaq on the date the Options were granted</w:t>
      </w:r>
      <w:r>
        <w:rPr>
          <w:rFonts w:ascii="Times New Roman" w:cs="Times New Roman" w:eastAsia="Times New Roman" w:hAnsi="Times New Roman"/>
          <w:sz w:val="18"/>
          <w:szCs w:val="18"/>
          <w:b w:val="1"/>
          <w:bCs w:val="1"/>
          <w:i w:val="1"/>
          <w:iCs w:val="1"/>
          <w:color w:val="auto"/>
        </w:rPr>
        <w:t>.</w:t>
      </w:r>
    </w:p>
    <w:p>
      <w:pPr>
        <w:spacing w:after="0" w:line="75"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As noted above, the purpose of the grant of the NED Securities proposed to be issued is to promote ownership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by the non-executive Directors and to align their interests with stockholders by linking part of their compensation to the financial performance of the Company and its long-term success.</w:t>
      </w:r>
    </w:p>
    <w:p>
      <w:pPr>
        <w:spacing w:after="0" w:line="65" w:lineRule="exact"/>
        <w:rPr>
          <w:rFonts w:ascii="Times New Roman" w:cs="Times New Roman" w:eastAsia="Times New Roman" w:hAnsi="Times New Roman"/>
          <w:sz w:val="18"/>
          <w:szCs w:val="18"/>
          <w:color w:val="auto"/>
        </w:rPr>
      </w:pPr>
    </w:p>
    <w:p>
      <w:pPr>
        <w:ind w:left="1020" w:right="420" w:hanging="503"/>
        <w:spacing w:after="0" w:line="284"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The details of each non-executive Director’s current total remuneration package (in U.S. dollars) are set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 Current Total Cash Remuneration Table (as of December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Board Chair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Human Capital</w:t>
            </w:r>
          </w:p>
        </w:tc>
        <w:tc>
          <w:tcPr>
            <w:tcW w:w="100" w:type="dxa"/>
            <w:vAlign w:val="bottom"/>
          </w:tcPr>
          <w:p>
            <w:pPr>
              <w:spacing w:after="0"/>
              <w:rPr>
                <w:sz w:val="12"/>
                <w:szCs w:val="12"/>
                <w:color w:val="auto"/>
              </w:rPr>
            </w:pPr>
          </w:p>
        </w:tc>
        <w:tc>
          <w:tcPr>
            <w:tcW w:w="1040" w:type="dxa"/>
            <w:vAlign w:val="bottom"/>
            <w:gridSpan w:val="2"/>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8"/>
              </w:rPr>
              <w:t>Nominating and</w:t>
            </w:r>
          </w:p>
        </w:tc>
        <w:tc>
          <w:tcPr>
            <w:tcW w:w="1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Nominating and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2"/>
                <w:szCs w:val="12"/>
                <w:b w:val="1"/>
                <w:bCs w:val="1"/>
                <w:color w:val="auto"/>
                <w:w w:val="92"/>
              </w:rPr>
              <w:t>Lead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2"/>
                <w:szCs w:val="12"/>
                <w:b w:val="1"/>
                <w:bCs w:val="1"/>
                <w:color w:val="auto"/>
              </w:rPr>
              <w:t>Audit</w:t>
            </w:r>
          </w:p>
        </w:tc>
        <w:tc>
          <w:tcPr>
            <w:tcW w:w="740" w:type="dxa"/>
            <w:vAlign w:val="bottom"/>
          </w:tcPr>
          <w:p>
            <w:pPr>
              <w:jc w:val="center"/>
              <w:ind w:right="106"/>
              <w:spacing w:after="0" w:line="135" w:lineRule="exact"/>
              <w:rPr>
                <w:sz w:val="20"/>
                <w:szCs w:val="20"/>
                <w:color w:val="auto"/>
              </w:rPr>
            </w:pPr>
            <w:r>
              <w:rPr>
                <w:rFonts w:ascii="Times New Roman" w:cs="Times New Roman" w:eastAsia="Times New Roman" w:hAnsi="Times New Roman"/>
                <w:sz w:val="12"/>
                <w:szCs w:val="12"/>
                <w:b w:val="1"/>
                <w:bCs w:val="1"/>
                <w:color w:val="auto"/>
                <w:w w:val="95"/>
              </w:rPr>
              <w:t>Audit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2"/>
                <w:szCs w:val="12"/>
                <w:b w:val="1"/>
                <w:bCs w:val="1"/>
                <w:color w:val="auto"/>
              </w:rPr>
              <w:t>and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Corporate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86"/>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Corporate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Independent</w:t>
            </w:r>
          </w:p>
        </w:tc>
        <w:tc>
          <w:tcPr>
            <w:tcW w:w="120" w:type="dxa"/>
            <w:vAlign w:val="bottom"/>
          </w:tcPr>
          <w:p>
            <w:pPr>
              <w:spacing w:after="0"/>
              <w:rPr>
                <w:sz w:val="11"/>
                <w:szCs w:val="11"/>
                <w:color w:val="auto"/>
              </w:rPr>
            </w:pPr>
          </w:p>
        </w:tc>
        <w:tc>
          <w:tcPr>
            <w:tcW w:w="94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Committee</w:t>
            </w:r>
          </w:p>
        </w:tc>
        <w:tc>
          <w:tcPr>
            <w:tcW w:w="74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Committee</w:t>
            </w:r>
          </w:p>
        </w:tc>
        <w:tc>
          <w:tcPr>
            <w:tcW w:w="100" w:type="dxa"/>
            <w:vAlign w:val="bottom"/>
          </w:tcPr>
          <w:p>
            <w:pPr>
              <w:spacing w:after="0"/>
              <w:rPr>
                <w:sz w:val="11"/>
                <w:szCs w:val="11"/>
                <w:color w:val="auto"/>
              </w:rPr>
            </w:pPr>
          </w:p>
        </w:tc>
        <w:tc>
          <w:tcPr>
            <w:tcW w:w="12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Human Capital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2"/>
                <w:szCs w:val="12"/>
                <w:b w:val="1"/>
                <w:bCs w:val="1"/>
                <w:color w:val="auto"/>
                <w:w w:val="99"/>
              </w:rPr>
              <w:t>Governance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2"/>
                <w:szCs w:val="12"/>
                <w:b w:val="1"/>
                <w:bCs w:val="1"/>
                <w:color w:val="auto"/>
                <w:w w:val="99"/>
              </w:rPr>
              <w:t>Governance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6"/>
        </w:trPr>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8"/>
              </w:rPr>
              <w:t>Board Member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2"/>
                <w:szCs w:val="12"/>
                <w:b w:val="1"/>
                <w:bCs w:val="1"/>
                <w:color w:val="auto"/>
                <w:w w:val="96"/>
              </w:rPr>
              <w:t>Director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w w:val="93"/>
              </w:rPr>
              <w:t>Chair</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2"/>
                <w:szCs w:val="12"/>
                <w:b w:val="1"/>
                <w:bCs w:val="1"/>
                <w:color w:val="auto"/>
                <w:w w:val="99"/>
              </w:rPr>
              <w:t>Member</w:t>
            </w:r>
          </w:p>
        </w:tc>
        <w:tc>
          <w:tcPr>
            <w:tcW w:w="100" w:type="dxa"/>
            <w:vAlign w:val="bottom"/>
          </w:tcPr>
          <w:p>
            <w:pPr>
              <w:spacing w:after="0"/>
              <w:rPr>
                <w:sz w:val="14"/>
                <w:szCs w:val="14"/>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w w:val="97"/>
              </w:rPr>
              <w:t>Compensation Chair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9"/>
              </w:rPr>
              <w:t>Member</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2"/>
                <w:szCs w:val="12"/>
                <w:b w:val="1"/>
                <w:bCs w:val="1"/>
                <w:color w:val="auto"/>
                <w:w w:val="99"/>
              </w:rPr>
              <w:t>Chair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2"/>
                <w:szCs w:val="12"/>
                <w:b w:val="1"/>
                <w:bCs w:val="1"/>
                <w:color w:val="auto"/>
                <w:w w:val="99"/>
              </w:rPr>
              <w:t>Member</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4"/>
                <w:szCs w:val="14"/>
                <w:color w:val="auto"/>
              </w:rPr>
            </w:pPr>
          </w:p>
        </w:tc>
      </w:tr>
      <w:tr>
        <w:trPr>
          <w:trHeight w:val="405"/>
        </w:trPr>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 Stern Reed (1)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4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104,792</w:t>
            </w:r>
          </w:p>
        </w:tc>
        <w:tc>
          <w:tcPr>
            <w:tcW w:w="100" w:type="dxa"/>
            <w:vAlign w:val="bottom"/>
            <w:shd w:val="clear" w:color="auto" w:fill="CFF0FC"/>
          </w:tcPr>
          <w:p>
            <w:pPr>
              <w:spacing w:after="0"/>
              <w:rPr>
                <w:sz w:val="24"/>
                <w:szCs w:val="24"/>
                <w:color w:val="auto"/>
              </w:rPr>
            </w:pPr>
          </w:p>
        </w:tc>
      </w:tr>
      <w:tr>
        <w:trPr>
          <w:trHeight w:val="189"/>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Professor Suzanne</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Crowe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100" w:type="dxa"/>
            <w:vAlign w:val="bottom"/>
          </w:tcPr>
          <w:p>
            <w:pPr>
              <w:spacing w:after="0"/>
              <w:rPr>
                <w:sz w:val="18"/>
                <w:szCs w:val="18"/>
                <w:color w:val="auto"/>
              </w:rPr>
            </w:pPr>
          </w:p>
        </w:tc>
      </w:tr>
      <w:tr>
        <w:trPr>
          <w:trHeight w:val="192"/>
        </w:trPr>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Jeremy Curnock</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Cook</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100" w:type="dxa"/>
            <w:vAlign w:val="bottom"/>
            <w:shd w:val="clear" w:color="auto" w:fill="CFF0FC"/>
          </w:tcPr>
          <w:p>
            <w:pPr>
              <w:spacing w:after="0"/>
              <w:rPr>
                <w:sz w:val="18"/>
                <w:szCs w:val="18"/>
                <w:color w:val="auto"/>
              </w:rPr>
            </w:pPr>
          </w:p>
        </w:tc>
      </w:tr>
      <w:tr>
        <w:trPr>
          <w:trHeight w:val="203"/>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Robert McNamara</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102,500</w:t>
            </w:r>
          </w:p>
        </w:tc>
        <w:tc>
          <w:tcPr>
            <w:tcW w:w="100" w:type="dxa"/>
            <w:vAlign w:val="bottom"/>
          </w:tcPr>
          <w:p>
            <w:pPr>
              <w:spacing w:after="0"/>
              <w:rPr>
                <w:sz w:val="17"/>
                <w:szCs w:val="17"/>
                <w:color w:val="auto"/>
              </w:rPr>
            </w:pPr>
          </w:p>
        </w:tc>
      </w:tr>
      <w:tr>
        <w:trPr>
          <w:trHeight w:val="203"/>
        </w:trPr>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Lou Panaccio (2)</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20,980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113,480</w:t>
            </w:r>
          </w:p>
        </w:tc>
        <w:tc>
          <w:tcPr>
            <w:tcW w:w="100" w:type="dxa"/>
            <w:vAlign w:val="bottom"/>
            <w:shd w:val="clear" w:color="auto" w:fill="CFF0FC"/>
          </w:tcPr>
          <w:p>
            <w:pPr>
              <w:spacing w:after="0"/>
              <w:rPr>
                <w:sz w:val="17"/>
                <w:szCs w:val="17"/>
                <w:color w:val="auto"/>
              </w:rPr>
            </w:pPr>
          </w:p>
        </w:tc>
      </w:tr>
      <w:tr>
        <w:trPr>
          <w:trHeight w:val="189"/>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Dr. Michael Tarnoff</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32,870</w:t>
            </w:r>
          </w:p>
        </w:tc>
        <w:tc>
          <w:tcPr>
            <w:tcW w:w="100" w:type="dxa"/>
            <w:vAlign w:val="bottom"/>
          </w:tcPr>
          <w:p>
            <w:pPr>
              <w:spacing w:after="0"/>
              <w:rPr>
                <w:sz w:val="18"/>
                <w:szCs w:val="18"/>
                <w:color w:val="auto"/>
              </w:rPr>
            </w:pPr>
          </w:p>
        </w:tc>
      </w:tr>
      <w:tr>
        <w:trPr>
          <w:trHeight w:val="205"/>
        </w:trPr>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Cary Vance (4)</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59,596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4,167</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91,516</w:t>
            </w:r>
          </w:p>
        </w:tc>
        <w:tc>
          <w:tcPr>
            <w:tcW w:w="100" w:type="dxa"/>
            <w:vAlign w:val="bottom"/>
            <w:shd w:val="clear" w:color="auto" w:fill="CFF0FC"/>
          </w:tcPr>
          <w:p>
            <w:pPr>
              <w:spacing w:after="0"/>
              <w:rPr>
                <w:sz w:val="17"/>
                <w:szCs w:val="17"/>
                <w:color w:val="auto"/>
              </w:rPr>
            </w:pPr>
          </w:p>
        </w:tc>
      </w:tr>
    </w:tbl>
    <w:p>
      <w:pPr>
        <w:spacing w:after="0" w:line="30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Reed was appointed by the Board to serve as Lead Independent Director on October 16, 2025.</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Panaccio resigned as Chairman of the Board of Directors in its third quarter 2025 meeting on August 6, 2025, with December 31, 2025 as his last day of service.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Tarnoff was appointed to the Board on August 6, 2025 and appointed Human Capital and Compensation Committee Chair on November 5, 2025.</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Vance was appointed Chairman of the Board in its third quarter 2025 meeting on August 6, 2025. Mr. Vance was appointed as our Interim CEO on October 16, 2025. While he maintained his position as Chairman of the Board, as an executive Director, he ceased receiving compensation for his service on our Board as of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Professor Suzanne Crowe, who abstains given her personal interest in Proposal 4) recommends that stockholders vote “FOR” Proposal 4.</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Jeremy Curnock Cook, who abstains given his personal interest in Proposal 5) recommends that stockholders vote “FOR” Proposal 5.</w:t>
      </w:r>
    </w:p>
    <w:p>
      <w:pPr>
        <w:spacing w:after="0" w:line="15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Robert McNamara, who abstains given his personal interest in Proposal 6) recommends that stockholders vote “FOR” Proposal 6.</w:t>
      </w:r>
    </w:p>
    <w:p>
      <w:pPr>
        <w:spacing w:after="0" w:line="15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Jan Stern Reed, who abstains given her personal interest in Proposal 7) recommends that stockholders vote “FOR” Proposal 7.</w:t>
      </w:r>
    </w:p>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Dr. Michael Tarnoff, who abstains given his personal interest in Proposal 8) recommends that stockholders vote “FOR” Proposal 8.</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8" w:name="page39"/>
    <w:bookmarkEnd w:id="38"/>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Dr. Michael Tarnoff, who abstains given his personal interest in Proposal 9) recommends that stockholders vote “FOR” Proposal 9.</w:t>
      </w:r>
    </w:p>
    <w:p>
      <w:pPr>
        <w:spacing w:after="0" w:line="15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Joseph Woody, who abstains given his personal interest in Proposal 10) recommends that stockholders vote “FOR” Proposal 10.</w:t>
      </w:r>
    </w:p>
    <w:p>
      <w:pPr>
        <w:spacing w:after="0" w:line="15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Joseph Woody, who abstains given his personal interest in Proposal 11) recommends that stockholders vote “FOR” Proposal 11.</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noted above, Proposals 4 – 11 (inclusive) are not interdependent proposals. Accordingly, if only some of Proposals 4 – 11 are approved by stockholders, those proposals that are approved will remain valid even if certain of Proposals 4 – 11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Approval of each of Proposals 4 – 11 requires the affirmative vote of the holders of a majority of the voting power of the Common Stock present in person or represented by proxy at the Annual Meeting and entitled to vote on the relevant Proposal. Abstentions will have the same effect as votes “AGAINST” these Proposals 4 - 11. Broker non-votes will have no effect on the voting for these Proposals 4 - 11.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disregard any votes cast in favor of:</w:t>
      </w:r>
    </w:p>
    <w:p>
      <w:pPr>
        <w:spacing w:after="0" w:line="333"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by or on behalf of Professor Suzanne Crowe or any of her associates;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by or on behalf of Jeremy Curnock Cook or any of his associates;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by or on behalf of Robert McNamara or any of his associates;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by or on behalf of Jan Stern Reed or any of her associates;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8 or 9 by or on behalf of Dr. Michael Tarnoff or any of his associates;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10 or 11 by or on behalf of Joseph Woody or any of his associates;</w:t>
      </w:r>
    </w:p>
    <w:p>
      <w:pPr>
        <w:spacing w:after="0" w:line="117" w:lineRule="exact"/>
        <w:rPr>
          <w:rFonts w:ascii="Times New Roman" w:cs="Times New Roman" w:eastAsia="Times New Roman" w:hAnsi="Times New Roman"/>
          <w:sz w:val="18"/>
          <w:szCs w:val="18"/>
          <w:color w:val="auto"/>
        </w:rPr>
      </w:pPr>
    </w:p>
    <w:p>
      <w:pPr>
        <w:ind w:left="102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other person who will obtain a material benefit as a result of the issue of the securities under the relevant Proposal (except a benefit solely by reason of being a holder of the Company’s shares of Common Stock (or CDI(s))).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any of Proposals 4 – 11 by:</w:t>
      </w:r>
    </w:p>
    <w:p>
      <w:pPr>
        <w:spacing w:after="0" w:line="117" w:lineRule="exact"/>
        <w:rPr>
          <w:sz w:val="20"/>
          <w:szCs w:val="20"/>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relevant Proposal, in accordance with directions given to the proxy or attorney; or</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53" w:lineRule="exact"/>
        <w:rPr>
          <w:rFonts w:ascii="Times New Roman" w:cs="Times New Roman" w:eastAsia="Times New Roman" w:hAnsi="Times New Roman"/>
          <w:sz w:val="18"/>
          <w:szCs w:val="18"/>
          <w:color w:val="auto"/>
        </w:rPr>
      </w:pPr>
    </w:p>
    <w:p>
      <w:pPr>
        <w:ind w:left="1540" w:right="120" w:hanging="51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relevant proposal in accordance with directions given by the beneficiary to the holder.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OUR NAMED EXECUTIVE OFFICER COMPENSATION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Dodd-Frank Act provides stockholders with the opportunity to vote, on an advisory basis, to approve the Company’s compensation policies (known as the “say-on-pay” vote). The Board believes that the Company’s compensation policies and procedures are aligned with the long-term interests of its stockholders. As described in the Executive Compensation discussion above, the Company believes that its compensation program is designed to support its long-term business strategies and create stockholder value through its pay-for-performance program. You are encouraged to read this Executive Compensation discussion for additional details on the Company’s executive compensation, including its philosophy and objectives, and the 2025 compensation of its named executive officers. This non-binding advisory “say-on-pay” vote gives you as a stockholder the opportunity to endorse the Company’s executive compensation program through the following resolution: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Executive Compensation discussion, compensation tables, and narrative discussion contained in this Proxy Statement is hereby APPROVED.”</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and the Human Capital and Compensation Committee value the opinions of the Company’s stockholders and will consider the outcome of the vote when making future compensation decisions for its named executive officers. The Company submits this “say-on-pay” proposal to stockholders on an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non-binding, advisory approval of the compensation of our named executive officers, as disclosed in the Executive Compensation discussion section in this Proxy Statement, requires the affirmative vote of the holders of a majority of the voting power of the Common Stock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on an advisory basis, of the compensation of the Company’s named executive officers.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13</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ON THE FREQUENCY (EVERY ONE, TWO, OR THREE YEARS) OF FUTURE ADVISORY VOTES TO APPROVE OF EXECUTIVE COMPENSATION.</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Dodd-Frank Act also provides stockholders with the opportunity to vote, on an advisory basis, as to the frequency of stockholder advisory “say-on-pay” votes such as that detailed in Proposal 12 above. You may abstain from voting, or you may select a recommendation as to the frequency of such votes: every one year, two years, or three years. This non-binding advisory vote gives you as a stockholder the opportunity to select a frequency of “say-on-pay” votes.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and the Human Capital and Compensation Committee value the opinions of stockholders and will consider the outcome of the vote when determining the frequency of “say-on-pay” votes. Nevertheless, the Board may decide to hold a non-binding advisory vote on future compensation of future named executive officers more or less frequently than the option voted by the shareholders.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Board has considered this matter and has determined that a non-binding advisory vote on executive compensation every year is appropriate to provide stockholders the opportunity to inform the Company of their opinion of our approach to compensation policies and practices, after having sufficient time to observe its impact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Pursuant to this non-binding advisory vote on the frequency of future non-binding advisory votes on named executive officer compensation, stockholders will be able to specify one of four choices for this proposal on the proxy card or voting instruction: ONE YEAR, TWO YEARS, THREE YEARS, or ABSTAIN. The option receiving the affirmative vote of the holders of a majority of the voting power of Common Stock present in person or represented by proxy at the Annual Meeting will be approved on a non-binding, advisory basis. Abstentions will have the same effect as votes “AGAINST” this Proposal, whereas broker non-votes will not be counted for the purposes of determining whether this advisory proposal has been approved.</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of “ONE YEAR” with respect to the advisory vote on the frequency of future advisory votes to approve named executive officer compensation.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14</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AGREEMENT TO ISSUE A WARRANT OR WARRANTS COVERING UP TO 650,000 SHARES OF COMMON STOCK OF THE COMPANY IN CONNECTION WITH THE CREDIT AGREEMENT AND GUARANTY BETWEEN THE COMPANY AND PERCEPTIVE CREDIT HOLDINGS V, LP</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 xml:space="preserve">On December 9, 2025, the Board approved the Company’s negotiation of and entry into a credit facility to refinance its existing debt. On January 13, 2026 (the “Closing Date”), the Company </w:t>
      </w:r>
      <w:r>
        <w:rPr>
          <w:rFonts w:ascii="Times New Roman" w:cs="Times New Roman" w:eastAsia="Times New Roman" w:hAnsi="Times New Roman"/>
          <w:sz w:val="18"/>
          <w:szCs w:val="18"/>
          <w:color w:val="000000"/>
        </w:rPr>
        <w:t>entered into a Credit Agreement and Guaranty (the “Credit Agreement”) by and among the Company, as borrower,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AVITA Medical Americas, LLC, a wholly-owned subsidiary of the Company, as guarantor, and Perceptive Credit Holdings V, LP as a lender and the administrative agent (the “Lender”). The Credit Agreement provides for a five-year senior secured credit facility in an aggregate principal amount of up to $60 million (the “Loan Facility”), of which (i) $50 million was funded on the Closing Date (the “Initial Commitment Amount”) and (ii) $10 million will be made available, at our discretion by notice to the Lender on or before March 31, 2027, subject to satisfaction of a certain net revenue requirement (the “Additional Commitment Amount”). On the Closing Date, simultaneously with closing on the Initial Commitment Amount, we repaid in full and terminated all of the obligations (other than previously issued warrants) under the prior credit agreement between the Company and ORCO IV, LLC. The Credit Agreement’s terms are materially more favorable than those of the prior credit agreement; in particular, the trailing twelve-month revenue covenants and the minimum cash balance covenant are less restrictive. The Credit Agreement’s terms, reviewed and approved by our Board, are better aligned with our operating trajectory.</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A copy of the Credit Agreement is contained in Annexure A to this Proxy Statement and was previously disclosed by the Company on a Current Report on Form 8-K filed with the SEC on January 13, 2026 and lodged on ASX on January 15, 2026.</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Under the Credit Agreement, the Company is obligated to use reasonable best efforts to seek stockholder approval to issue a warrant covering 500,000 shares of the Common Stock to the Lender (the “Initial Warrant”). In the event the Company elects to borrow the Additional Commitment Amount, the Company is obligated to issue an additional warrant covering 150,000 shares of the Common Stock (the “Additional Warrant” and, together with the Initial Warrant, the “Warrants”). So long as the Company issues the Initial Warrant by September 30, 2026, the exit fee of $2,000,000 that the Company would otherwise be obligated to pay upon repayment of the Loan Facility will be reduced to $0. If the Company fails to issue the Initial Warrant before November 30, 2026, the Company will be in default of the Credit Agreement, and the Lender may immediately terminate the Loan Facility and demand immediate and complete repayment of all amounts borrowed or otherwise owing thereunder.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If the Initial Warrant is issued, upon exercise by Perceptive, the total number of shares of Common Stock issued and outstanding will increase by 500,000 shares. If the Additional Warrant is issued, the total number of shares of Common Stock issued and outstanding will be increased by an additional 150,000 shares when Perceptive exercises the Additional Warrant. As of December 31, 2025, with total issued and outstanding shares of 30,571,662 of Common Stock, the existing stockholders will be diluted by approximately 1.6% if the Initial Warrant is issued to, and exercised by, Perceptive. If the Additional Warrant is issued to, and exercised by, Perceptive, based on the total issued and outstanding shares of Common Stock as of December 31, 2025, and the assumption that the Initial Warrant is issued to, and exercised by, Perceptive, the existing stockholders will be diluted by approximately an additional 0.5%. If Perceptive elects to exercise the Warrants on a cash basis, the Company will use funds received from such exercise for general corporate purposes.</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231F20"/>
        </w:rPr>
        <w:t>For the reasons explained above, the Board believes that the Credit Agreement (together with the issuance of the Warrants) positions the Company for long-term success. The trailing twelve-month revenue covenants, together with the minimum cash covenant, allow the Company to focus on operating discipline and execution. The Company is seeking stockholder approval of the issuance of the Initial Warrant and, if needed, the Additional Warrant, in order to comply with, and continue to benefit from, the terms of the Credit Agreement. Any such issuance would be subject to the ASX Listing Rules explained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ASX Listing Rules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U.S. securities law requirements, the Company's issuance of Equity Securities is also subject to ASX Listing Rule requirements.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certain exceptions, ASX Listing Rule 7.1 limits the amount of Equity Securities that a company can issue without the approval of stockholders over any 12-month period to 15% of the fully paid Equity Securities it had on issue at the start of that period. The Warrants sought to be issued under the Credit Agreement do not fit within any of these exceptions and the Company currently does not have the capacity to issue further Equity Securities without stockholder approval under ASX Listing Rule 7.1. In order to fulfill its obligation under the Credit Agreement to issue the Warrants to the Lender, the Company needs to be able to issue Equity Securities in accordance with the timing outlined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This Proposal 14 seeks stockholder approval to issue the Warrants under the Credit Agreement for the purposes of ASX Listing Rule 7.1.</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If this Proposal 14 is approved by the stockholders, the Company will issue the Initial Warrant and, if needed, the Additional Warrant, in accordance with the terms of the Credit Agreement. As set forth above, if the Initial Warrant is issued, upon exercise by Perceptive, the total number of shares of Common Stock issued and outstanding will increase by 500,000 shares. If the Additional Warrant is issued, the total of number of shares of Common Stock issued and outstanding will be increased by an additional 150,000 shares when Perceptive exercises the Additional Warrant. As of December 31, 2025, with total issued and outstanding shares of 30,571,662 of Common Stock, the existing stockholders will be diluted by approximately 1.6% if the Initial Warrant is issued to, and exercised by, Perceptive. If the Additional Warrant is issued to, and exercised by, Perceptive, based on the total issued and outstanding shares of Common Stock as of December 31, 2025, and the assumption that the Initial Warrant is issued to, and exercised by, Perceptive, the existing stockholders will be diluted by approximately an additional 0.5%. If Perceptive elects to exercise the Warrants on a cash basis, the Company will use funds received from such exercise for general corporate purposes.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In addition, the Common Stock issued pursuant to the Warrants will be excluded from the calculation of the number of Equity Securities that the Company can issue without stockholder approval under ASX Listing Rule 7.1.</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If this Proposal 14 is not approved by the stockholders, and the stockholders do not approve the issuance of the Initial Warrant before November 30, 2026, the Company will be in default of the Credit Agreement and owe an additional $2,000,000 exit fee to the Lender,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ASX Listing Rule 7.3 and ASX Guidance Note 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ASX Listing Rule 7.3 and ASX Guidance Note 21, the following information is provided: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Names of the persons to whom the Company is proposing to issue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and class of securities issued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issue</w:t>
      </w:r>
    </w:p>
    <w:p>
      <w:pPr>
        <w:spacing w:after="0" w:line="200" w:lineRule="exact"/>
        <w:rPr>
          <w:sz w:val="20"/>
          <w:szCs w:val="20"/>
          <w:color w:val="auto"/>
        </w:rPr>
      </w:pPr>
    </w:p>
    <w:p>
      <w:pPr>
        <w:spacing w:after="0" w:line="24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Issue price of other consideration the Company has received for the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purpose of the issue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exercise the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V, LP</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Warrants covering up to 650,000 shares of Common Stock (equivalent to 3.25M CDIs)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Initial Warrant will be issued no later than three months after the date of the Annual Meeting</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Warrants are being issued as part of the consideration for the Loan Facility provided by the Lender under the Credit Agreement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comply with the terms of the Credit Agreement, as announced to the ASX on January 15,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V, LP or its permitted assigns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Initial Warrant is exercisable at any time from its issue date until 5:00 p.m. Eastern time on the tenth anniversary of that date</w:t>
      </w:r>
    </w:p>
    <w:p>
      <w:pPr>
        <w:spacing w:after="0" w:line="158" w:lineRule="exact"/>
        <w:rPr>
          <w:sz w:val="20"/>
          <w:szCs w:val="20"/>
          <w:color w:val="auto"/>
        </w:rPr>
      </w:pPr>
    </w:p>
    <w:p>
      <w:pPr>
        <w:sectPr>
          <w:pgSz w:w="11900" w:h="16838" w:orient="portrait"/>
          <w:cols w:equalWidth="0" w:num="2">
            <w:col w:w="5240" w:space="720"/>
            <w:col w:w="528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 the securities can be exercised</w:t>
            </w:r>
          </w:p>
        </w:tc>
        <w:tc>
          <w:tcPr>
            <w:tcW w:w="6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Additional Warrant is exercisable at any time from the “Tranche B</w:t>
            </w:r>
          </w:p>
        </w:tc>
      </w:tr>
      <w:tr>
        <w:trPr>
          <w:trHeight w:val="216"/>
        </w:trPr>
        <w:tc>
          <w:tcPr>
            <w:tcW w:w="4320" w:type="dxa"/>
            <w:vAlign w:val="bottom"/>
          </w:tcPr>
          <w:p>
            <w:pPr>
              <w:spacing w:after="0"/>
              <w:rPr>
                <w:sz w:val="18"/>
                <w:szCs w:val="18"/>
                <w:color w:val="auto"/>
              </w:rPr>
            </w:pPr>
          </w:p>
        </w:tc>
        <w:tc>
          <w:tcPr>
            <w:tcW w:w="6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Term Loan Borrowing Date” as defined under the Credit Agreement</w:t>
            </w:r>
          </w:p>
        </w:tc>
      </w:tr>
      <w:tr>
        <w:trPr>
          <w:trHeight w:val="234"/>
        </w:trPr>
        <w:tc>
          <w:tcPr>
            <w:tcW w:w="4320" w:type="dxa"/>
            <w:vAlign w:val="bottom"/>
          </w:tcPr>
          <w:p>
            <w:pPr>
              <w:spacing w:after="0"/>
              <w:rPr>
                <w:sz w:val="20"/>
                <w:szCs w:val="20"/>
                <w:color w:val="auto"/>
              </w:rPr>
            </w:pPr>
          </w:p>
        </w:tc>
        <w:tc>
          <w:tcPr>
            <w:tcW w:w="6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until 5:00 p.m. Eastern time on the tenth anniversary of that date</w:t>
            </w:r>
          </w:p>
        </w:tc>
      </w:tr>
      <w:tr>
        <w:trPr>
          <w:trHeight w:val="414"/>
        </w:trPr>
        <w:tc>
          <w:tcPr>
            <w:tcW w:w="4320" w:type="dxa"/>
            <w:vAlign w:val="bottom"/>
          </w:tcPr>
          <w:p>
            <w:pPr>
              <w:spacing w:after="0"/>
              <w:rPr>
                <w:sz w:val="24"/>
                <w:szCs w:val="24"/>
                <w:color w:val="auto"/>
              </w:rPr>
            </w:pPr>
          </w:p>
        </w:tc>
        <w:tc>
          <w:tcPr>
            <w:tcW w:w="6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Exercise may occur on any trading day during the applicable exercise</w:t>
            </w:r>
          </w:p>
        </w:tc>
      </w:tr>
      <w:tr>
        <w:trPr>
          <w:trHeight w:val="234"/>
        </w:trPr>
        <w:tc>
          <w:tcPr>
            <w:tcW w:w="4320" w:type="dxa"/>
            <w:vAlign w:val="bottom"/>
          </w:tcPr>
          <w:p>
            <w:pPr>
              <w:spacing w:after="0"/>
              <w:rPr>
                <w:sz w:val="20"/>
                <w:szCs w:val="20"/>
                <w:color w:val="auto"/>
              </w:rPr>
            </w:pPr>
          </w:p>
        </w:tc>
        <w:tc>
          <w:tcPr>
            <w:tcW w:w="6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period, in whole or in part</w:t>
            </w:r>
          </w:p>
        </w:tc>
      </w:tr>
      <w:tr>
        <w:trPr>
          <w:trHeight w:val="414"/>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price at which the securities convert</w:t>
            </w:r>
          </w:p>
        </w:tc>
        <w:tc>
          <w:tcPr>
            <w:tcW w:w="6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If issued, the exercise price will be the lower of two 10-day VWAPs:</w:t>
            </w:r>
          </w:p>
        </w:tc>
      </w:tr>
      <w:tr>
        <w:trPr>
          <w:trHeight w:val="234"/>
        </w:trPr>
        <w:tc>
          <w:tcPr>
            <w:tcW w:w="4320" w:type="dxa"/>
            <w:vAlign w:val="bottom"/>
          </w:tcPr>
          <w:p>
            <w:pPr>
              <w:spacing w:after="0"/>
              <w:rPr>
                <w:sz w:val="20"/>
                <w:szCs w:val="20"/>
                <w:color w:val="auto"/>
              </w:rPr>
            </w:pPr>
          </w:p>
        </w:tc>
        <w:tc>
          <w:tcPr>
            <w:tcW w:w="6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 the 10-day VWAP ending on the business day immediately</w:t>
            </w:r>
          </w:p>
        </w:tc>
      </w:tr>
      <w:tr>
        <w:trPr>
          <w:trHeight w:val="432"/>
        </w:trPr>
        <w:tc>
          <w:tcPr>
            <w:tcW w:w="4320" w:type="dxa"/>
            <w:vAlign w:val="bottom"/>
          </w:tcPr>
          <w:p>
            <w:pPr>
              <w:spacing w:after="0"/>
              <w:rPr>
                <w:sz w:val="24"/>
                <w:szCs w:val="24"/>
                <w:color w:val="auto"/>
              </w:rPr>
            </w:pPr>
          </w:p>
        </w:tc>
        <w:tc>
          <w:tcPr>
            <w:tcW w:w="69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39</w:t>
            </w:r>
          </w:p>
        </w:tc>
      </w:tr>
      <w:tr>
        <w:trPr>
          <w:trHeight w:val="763"/>
        </w:trPr>
        <w:tc>
          <w:tcPr>
            <w:tcW w:w="432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3" w:name="page44"/>
    <w:bookmarkEnd w:id="43"/>
    <w:p>
      <w:pPr>
        <w:ind w:left="5960"/>
        <w:spacing w:after="0"/>
        <w:rPr>
          <w:sz w:val="20"/>
          <w:szCs w:val="20"/>
          <w:color w:val="auto"/>
        </w:rPr>
      </w:pPr>
      <w:r>
        <w:rPr>
          <w:rFonts w:ascii="Times New Roman" w:cs="Times New Roman" w:eastAsia="Times New Roman" w:hAnsi="Times New Roman"/>
          <w:sz w:val="18"/>
          <w:szCs w:val="18"/>
          <w:color w:val="auto"/>
        </w:rPr>
        <w:t>prior to the Closing Date (i.e., 13 January 2026); and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(ii) the 10-day VWAP ending on the business day immediately prior to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Warrant issuance date</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 addition, if and when the Warrants are issued, the exercise price 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subject to adjustment for dilutive share distributions below the then-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current exercise price, calculated using a weighted average formula set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forth in the Credit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Vote Required</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Approval of this Proposal 14 requires the affirmative vote of the holders of a majority of the voting power of the Common Stock present in person or represented by proxy at the Annual Meeting and entitled to vote on the relevant Proposal. Abstentions will have the same effect as votes “AGAINST” this Proposal 14. Broker non-votes will have no effect on the voting for this Proposal 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Recommendation</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231F20"/>
        </w:rPr>
        <w:t>The Board recommends that stockholders vote in favor of this Proposal 14 so that the Company can comply with its obligations under the Credit Agreement and comply with ASX Listing Rule 7.1.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Voting Exclusion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disregard any votes cast in favor of this Proposal by, or on behalf of, the Lender or its associates.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the Proposal by:</w:t>
      </w:r>
    </w:p>
    <w:p>
      <w:pPr>
        <w:spacing w:after="0" w:line="117" w:lineRule="exact"/>
        <w:rPr>
          <w:sz w:val="20"/>
          <w:szCs w:val="20"/>
          <w:color w:val="auto"/>
        </w:rPr>
      </w:pPr>
    </w:p>
    <w:p>
      <w:pPr>
        <w:ind w:left="1020" w:right="3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Proposal, in accordance with the directions given to the proxy or attorney for a person who is entitled to vote on the Proposal in that way;</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53" w:lineRule="exact"/>
        <w:rPr>
          <w:rFonts w:ascii="Times New Roman" w:cs="Times New Roman" w:eastAsia="Times New Roman" w:hAnsi="Times New Roman"/>
          <w:sz w:val="18"/>
          <w:szCs w:val="18"/>
          <w:color w:val="auto"/>
        </w:rPr>
      </w:pPr>
    </w:p>
    <w:p>
      <w:pPr>
        <w:ind w:left="1540" w:right="620" w:hanging="514"/>
        <w:spacing w:after="0" w:line="282"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stockholder that the beneficiary is not excluded from voting, and is not an associate of a person excluded from voting, on the Proposal; and</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Proposal in accordance with directions given by the beneficiary to the holder to vote in that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APPROVAL OF A 10% INCREASE TO THE COMPANY’S PLACEMENT CAPACITY UNDER ASX LISTING RULE 7.1A</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Subject to certain exceptions, ASX Listing Rule 7.1 limits the amount of Equity Securities that a listed company can issue without the approval of its stockholders over any 12-month period to 15% of the fully paid Equity Securities it had on issue at the start of that period. However, ASX Listing Rule 7.1A provides that an “eligible entity” may seek stockholder approval, by way of special resolution passed at an annual meeting of its stockholders, to increase this 15% limit by an extra 10% to 25% (the “Additional 10% Placement Capacity”).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Proposal 15 seeks stockholder approval by a special resolution to provide the Company the authorization to issue Equity Securities under the Additional 10% Placement Capacity during the Additional 10% Placement Period (as defined below) without stockholder approval. The number of Equity Securities to be issued under the Additional 10% Placement Capacity will be determined at the date of the issuance of such Equity Securities, in accordance with the formula set forth in ASX Listing Rule 7.1A.2.</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Proposal 15 is passed, the Company will be able to issue Equity Securities up to the combined 25% limit in accordance with ASX Listing Rules 7.1 and 7.1A (subject to certain restrictions) without further stockholder approval during the Additional 10% Placement Period.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Proposal 15 is not passed, the Company will not be able to access the Additional 10% Placement Capacity and will remain subject to the 15% limit on issuing Equity Securities without stockholder approval under ASX Listing Rule 7.1.</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ASX Listing Rule 7.1A</w:t>
      </w:r>
    </w:p>
    <w:p>
      <w:pPr>
        <w:spacing w:after="0" w:line="256" w:lineRule="exact"/>
        <w:rPr>
          <w:sz w:val="20"/>
          <w:szCs w:val="20"/>
          <w:color w:val="auto"/>
        </w:rPr>
      </w:pPr>
    </w:p>
    <w:p>
      <w:pPr>
        <w:ind w:left="520" w:hanging="435"/>
        <w:spacing w:after="0"/>
        <w:tabs>
          <w:tab w:leader="none" w:pos="520" w:val="left"/>
        </w:tabs>
        <w:numPr>
          <w:ilvl w:val="0"/>
          <w:numId w:val="43"/>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Eligible Entity</w:t>
      </w:r>
    </w:p>
    <w:p>
      <w:pPr>
        <w:spacing w:after="0" w:line="265" w:lineRule="exact"/>
        <w:rPr>
          <w:rFonts w:ascii="Arial" w:cs="Arial" w:eastAsia="Arial" w:hAnsi="Arial"/>
          <w:sz w:val="13"/>
          <w:szCs w:val="13"/>
          <w:color w:val="auto"/>
        </w:rPr>
      </w:pPr>
    </w:p>
    <w:p>
      <w:pPr>
        <w:ind w:left="540" w:right="40"/>
        <w:spacing w:after="0" w:line="282" w:lineRule="auto"/>
        <w:rPr>
          <w:rFonts w:ascii="Arial" w:cs="Arial" w:eastAsia="Arial" w:hAnsi="Arial"/>
          <w:sz w:val="13"/>
          <w:szCs w:val="13"/>
          <w:color w:val="auto"/>
        </w:rPr>
      </w:pPr>
      <w:r>
        <w:rPr>
          <w:rFonts w:ascii="Times New Roman" w:cs="Times New Roman" w:eastAsia="Times New Roman" w:hAnsi="Times New Roman"/>
          <w:sz w:val="18"/>
          <w:szCs w:val="18"/>
          <w:color w:val="auto"/>
        </w:rPr>
        <w:t>An “eligible entity” for the purposes of ASX Listing Rule 7.1A is an entity which is not included in the S&amp;P/ASX 300 Index and which has a market capitalization (excluding restricted securities and securities quoted on a deferred settlement basis) equal to or less than A$300 million.</w:t>
      </w:r>
    </w:p>
    <w:p>
      <w:pPr>
        <w:spacing w:after="0" w:line="175" w:lineRule="exact"/>
        <w:rPr>
          <w:rFonts w:ascii="Arial" w:cs="Arial" w:eastAsia="Arial" w:hAnsi="Arial"/>
          <w:sz w:val="13"/>
          <w:szCs w:val="13"/>
          <w:color w:val="auto"/>
        </w:rPr>
      </w:pPr>
    </w:p>
    <w:p>
      <w:pPr>
        <w:jc w:val="both"/>
        <w:ind w:left="540" w:right="40"/>
        <w:spacing w:after="0" w:line="266" w:lineRule="auto"/>
        <w:rPr>
          <w:rFonts w:ascii="Arial" w:cs="Arial" w:eastAsia="Arial" w:hAnsi="Arial"/>
          <w:sz w:val="13"/>
          <w:szCs w:val="13"/>
          <w:color w:val="auto"/>
        </w:rPr>
      </w:pPr>
      <w:r>
        <w:rPr>
          <w:rFonts w:ascii="Times New Roman" w:cs="Times New Roman" w:eastAsia="Times New Roman" w:hAnsi="Times New Roman"/>
          <w:sz w:val="18"/>
          <w:szCs w:val="18"/>
          <w:color w:val="auto"/>
        </w:rPr>
        <w:t>As of the Record Date, the Company’s market capitalization was A$172.2 million and is not included in the S&amp;P/ASX 300 Index and therefore, as an “eligible entity”, the Company is eligible to undertake an additional 10% placement under ASX Listing Rule 7.1A. If at the time of the Annual Meeting the Company is no longer an eligible entity, this Proposal 15 will be withdrawn.</w:t>
      </w:r>
    </w:p>
    <w:p>
      <w:pPr>
        <w:spacing w:after="0" w:line="189" w:lineRule="exact"/>
        <w:rPr>
          <w:rFonts w:ascii="Arial" w:cs="Arial" w:eastAsia="Arial" w:hAnsi="Arial"/>
          <w:sz w:val="13"/>
          <w:szCs w:val="13"/>
          <w:color w:val="auto"/>
        </w:rPr>
      </w:pPr>
    </w:p>
    <w:p>
      <w:pPr>
        <w:ind w:left="520" w:hanging="435"/>
        <w:spacing w:after="0"/>
        <w:tabs>
          <w:tab w:leader="none" w:pos="520" w:val="left"/>
        </w:tabs>
        <w:numPr>
          <w:ilvl w:val="0"/>
          <w:numId w:val="43"/>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Special resolution</w:t>
      </w:r>
    </w:p>
    <w:p>
      <w:pPr>
        <w:spacing w:after="0" w:line="265" w:lineRule="exact"/>
        <w:rPr>
          <w:rFonts w:ascii="Arial" w:cs="Arial" w:eastAsia="Arial" w:hAnsi="Arial"/>
          <w:sz w:val="13"/>
          <w:szCs w:val="13"/>
          <w:color w:val="auto"/>
        </w:rPr>
      </w:pPr>
    </w:p>
    <w:p>
      <w:pPr>
        <w:ind w:left="540"/>
        <w:spacing w:after="0" w:line="282" w:lineRule="auto"/>
        <w:rPr>
          <w:rFonts w:ascii="Arial" w:cs="Arial" w:eastAsia="Arial" w:hAnsi="Arial"/>
          <w:sz w:val="13"/>
          <w:szCs w:val="13"/>
          <w:color w:val="auto"/>
        </w:rPr>
      </w:pPr>
      <w:r>
        <w:rPr>
          <w:rFonts w:ascii="Times New Roman" w:cs="Times New Roman" w:eastAsia="Times New Roman" w:hAnsi="Times New Roman"/>
          <w:sz w:val="18"/>
          <w:szCs w:val="18"/>
          <w:color w:val="auto"/>
        </w:rPr>
        <w:t>Proposal 15 is required to be passed as a special resolution, and therefore, requires approval of at least 75% of the votes cast by stockholders present or represented by proxy at the Annual Meeting and entitled to vote on the proposal.</w:t>
      </w:r>
    </w:p>
    <w:p>
      <w:pPr>
        <w:spacing w:after="0" w:line="175" w:lineRule="exact"/>
        <w:rPr>
          <w:rFonts w:ascii="Arial" w:cs="Arial" w:eastAsia="Arial" w:hAnsi="Arial"/>
          <w:sz w:val="13"/>
          <w:szCs w:val="13"/>
          <w:color w:val="auto"/>
        </w:rPr>
      </w:pPr>
    </w:p>
    <w:p>
      <w:pPr>
        <w:ind w:left="520" w:hanging="435"/>
        <w:spacing w:after="0"/>
        <w:tabs>
          <w:tab w:leader="none" w:pos="520" w:val="left"/>
        </w:tabs>
        <w:numPr>
          <w:ilvl w:val="0"/>
          <w:numId w:val="43"/>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Type of Equity Securities which may be issued</w:t>
      </w:r>
    </w:p>
    <w:p>
      <w:pPr>
        <w:spacing w:after="0" w:line="252" w:lineRule="exact"/>
        <w:rPr>
          <w:rFonts w:ascii="Arial" w:cs="Arial" w:eastAsia="Arial" w:hAnsi="Arial"/>
          <w:sz w:val="13"/>
          <w:szCs w:val="13"/>
          <w:color w:val="auto"/>
        </w:rPr>
      </w:pPr>
    </w:p>
    <w:p>
      <w:pPr>
        <w:jc w:val="both"/>
        <w:ind w:left="540" w:right="20"/>
        <w:spacing w:after="0" w:line="266" w:lineRule="auto"/>
        <w:rPr>
          <w:rFonts w:ascii="Arial" w:cs="Arial" w:eastAsia="Arial" w:hAnsi="Arial"/>
          <w:sz w:val="13"/>
          <w:szCs w:val="13"/>
          <w:color w:val="auto"/>
        </w:rPr>
      </w:pPr>
      <w:r>
        <w:rPr>
          <w:rFonts w:ascii="Times New Roman" w:cs="Times New Roman" w:eastAsia="Times New Roman" w:hAnsi="Times New Roman"/>
          <w:sz w:val="18"/>
          <w:szCs w:val="18"/>
          <w:color w:val="auto"/>
        </w:rPr>
        <w:t>Any Equity Securities issued under the Additional 10% Placement Capacity must be in the same class as an existing quoted class of Equity Securities of the Company and issued for cash consideration. As at the date of this Proxy Statement, the Company has on issue one quoted class of Equity Securities on the ASX, being CDIs.</w:t>
      </w:r>
    </w:p>
    <w:p>
      <w:pPr>
        <w:spacing w:after="0" w:line="189" w:lineRule="exact"/>
        <w:rPr>
          <w:rFonts w:ascii="Arial" w:cs="Arial" w:eastAsia="Arial" w:hAnsi="Arial"/>
          <w:sz w:val="13"/>
          <w:szCs w:val="13"/>
          <w:color w:val="auto"/>
        </w:rPr>
      </w:pPr>
    </w:p>
    <w:p>
      <w:pPr>
        <w:ind w:left="520" w:hanging="435"/>
        <w:spacing w:after="0"/>
        <w:tabs>
          <w:tab w:leader="none" w:pos="520" w:val="left"/>
        </w:tabs>
        <w:numPr>
          <w:ilvl w:val="0"/>
          <w:numId w:val="43"/>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Number of Equity Securities which may be issued</w:t>
      </w:r>
    </w:p>
    <w:p>
      <w:pPr>
        <w:spacing w:after="0" w:line="225" w:lineRule="exact"/>
        <w:rPr>
          <w:rFonts w:ascii="Arial" w:cs="Arial" w:eastAsia="Arial" w:hAnsi="Arial"/>
          <w:sz w:val="13"/>
          <w:szCs w:val="13"/>
          <w:color w:val="auto"/>
        </w:rPr>
      </w:pPr>
    </w:p>
    <w:p>
      <w:pPr>
        <w:ind w:left="540"/>
        <w:spacing w:after="0" w:line="258" w:lineRule="auto"/>
        <w:rPr>
          <w:rFonts w:ascii="Arial" w:cs="Arial" w:eastAsia="Arial" w:hAnsi="Arial"/>
          <w:sz w:val="13"/>
          <w:szCs w:val="13"/>
          <w:color w:val="auto"/>
        </w:rPr>
      </w:pPr>
      <w:r>
        <w:rPr>
          <w:rFonts w:ascii="Times New Roman" w:cs="Times New Roman" w:eastAsia="Times New Roman" w:hAnsi="Times New Roman"/>
          <w:sz w:val="18"/>
          <w:szCs w:val="18"/>
          <w:color w:val="auto"/>
        </w:rPr>
        <w:t>Based on the number of Equity Securities on issue at the date of this Proxy Statement, the Company will have 30,776,689 Equity Securities on issue and therefore, subject to stockholder approval being obtained under this Proposal 15, 7,694,172 Equity Securities will be permitted to be issued in accordance with ASX Listing Rule 7.1A. Stockholders should note that the calculation of the number of Equity Securities permitted to be issued under the Additional 10% Placement Capacity is a moving calculation and will be based on the formula set out in ASX Listing Rule 7.1A.2 at the time of issue of the Equity Securities.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color w:val="auto"/>
        </w:rPr>
        <w:t>That formula is: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 x D) – E</w:t>
      </w:r>
    </w:p>
    <w:p>
      <w:pPr>
        <w:spacing w:after="0" w:line="229" w:lineRule="exact"/>
        <w:rPr>
          <w:sz w:val="20"/>
          <w:szCs w:val="20"/>
          <w:color w:val="auto"/>
        </w:rPr>
      </w:pPr>
    </w:p>
    <w:p>
      <w:pPr>
        <w:ind w:left="460" w:right="60" w:hanging="10"/>
        <w:spacing w:after="0" w:line="282" w:lineRule="auto"/>
        <w:tabs>
          <w:tab w:leader="none" w:pos="8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the number of Equity Securities on issue 12 months immediately preceding the date of issue or agreement (the period between that date and the date of the issue or agreement being the “Relevant Period”):</w:t>
      </w:r>
    </w:p>
    <w:p>
      <w:pPr>
        <w:spacing w:after="0" w:line="161" w:lineRule="exact"/>
        <w:rPr>
          <w:rFonts w:ascii="Times New Roman" w:cs="Times New Roman" w:eastAsia="Times New Roman" w:hAnsi="Times New Roman"/>
          <w:sz w:val="18"/>
          <w:szCs w:val="18"/>
          <w:b w:val="1"/>
          <w:bCs w:val="1"/>
          <w:color w:val="auto"/>
        </w:rPr>
      </w:pPr>
    </w:p>
    <w:p>
      <w:pPr>
        <w:ind w:left="1200" w:right="380" w:hanging="376"/>
        <w:spacing w:after="0" w:line="261" w:lineRule="auto"/>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the number of fully paid Equity Securities issued in the Relevant Period under an exception in ASX Listing Rule 7.2 other than exceptions 9, 16 or 17;</w:t>
      </w:r>
    </w:p>
    <w:p>
      <w:pPr>
        <w:ind w:left="1200" w:right="360" w:hanging="376"/>
        <w:spacing w:after="0" w:line="258" w:lineRule="auto"/>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the number of fully paid Equity Securities issued in the Relevant Period on the conversion of convertible securities within ASX Listing Rule 7.2 exception 9 where:</w:t>
      </w:r>
    </w:p>
    <w:p>
      <w:pPr>
        <w:ind w:left="1580" w:hanging="381"/>
        <w:spacing w:after="0"/>
        <w:tabs>
          <w:tab w:leader="none" w:pos="15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securities were issued or agreed to be issued before the commencement of the relevant period; or</w:t>
      </w:r>
    </w:p>
    <w:p>
      <w:pPr>
        <w:spacing w:after="0" w:line="9" w:lineRule="exact"/>
        <w:rPr>
          <w:rFonts w:ascii="Times New Roman" w:cs="Times New Roman" w:eastAsia="Times New Roman" w:hAnsi="Times New Roman"/>
          <w:sz w:val="18"/>
          <w:szCs w:val="18"/>
          <w:color w:val="auto"/>
        </w:rPr>
      </w:pPr>
    </w:p>
    <w:p>
      <w:pPr>
        <w:ind w:left="1580" w:right="420" w:hanging="381"/>
        <w:spacing w:after="0" w:line="250" w:lineRule="auto"/>
        <w:tabs>
          <w:tab w:leader="none" w:pos="15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or agreement to issue, the convertible securities was approved or taken under the ASX Listing Rules to have been approved, under ASX Listing Rules 7.1 or 7.4;</w:t>
      </w:r>
    </w:p>
    <w:p>
      <w:pPr>
        <w:ind w:left="1200" w:right="200" w:hanging="376"/>
        <w:spacing w:after="0" w:line="250" w:lineRule="auto"/>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the number of Equity Securities issued in the Relevant Period under an agreement to issue securities within ASX Listing Rule 7.2 exception 16 where:</w:t>
      </w:r>
    </w:p>
    <w:p>
      <w:pPr>
        <w:ind w:left="1580" w:hanging="381"/>
        <w:spacing w:after="0"/>
        <w:tabs>
          <w:tab w:leader="none" w:pos="15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was entered into before the commencement of the Relevant Period; or</w:t>
      </w:r>
    </w:p>
    <w:p>
      <w:pPr>
        <w:spacing w:after="0" w:line="9" w:lineRule="exact"/>
        <w:rPr>
          <w:rFonts w:ascii="Times New Roman" w:cs="Times New Roman" w:eastAsia="Times New Roman" w:hAnsi="Times New Roman"/>
          <w:sz w:val="18"/>
          <w:szCs w:val="18"/>
          <w:color w:val="auto"/>
        </w:rPr>
      </w:pPr>
    </w:p>
    <w:p>
      <w:pPr>
        <w:ind w:left="1580" w:hanging="381"/>
        <w:spacing w:after="0"/>
        <w:tabs>
          <w:tab w:leader="none" w:pos="15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or issue was approved, or taken under these rules to have been approved, under ASX Listing Rules 7.1 or 7.4;</w:t>
      </w:r>
    </w:p>
    <w:p>
      <w:pPr>
        <w:spacing w:after="0" w:line="9" w:lineRule="exact"/>
        <w:rPr>
          <w:rFonts w:ascii="Times New Roman" w:cs="Times New Roman" w:eastAsia="Times New Roman" w:hAnsi="Times New Roman"/>
          <w:sz w:val="18"/>
          <w:szCs w:val="18"/>
          <w:color w:val="auto"/>
        </w:rPr>
      </w:pPr>
    </w:p>
    <w:p>
      <w:pPr>
        <w:ind w:left="1200" w:right="220" w:hanging="376"/>
        <w:spacing w:after="0" w:line="250" w:lineRule="auto"/>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the number of fully paid Equity Securities issued in the Relevant Period with approval of holders of Equity Securities under ASX Listing Rules 7.1 and 7.4;</w:t>
      </w:r>
    </w:p>
    <w:p>
      <w:pPr>
        <w:ind w:left="1200" w:hanging="376"/>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the number of partly paid Equity Securities that become fully paid in the Relevant Period; and</w:t>
      </w:r>
    </w:p>
    <w:p>
      <w:pPr>
        <w:spacing w:after="0" w:line="9" w:lineRule="exact"/>
        <w:rPr>
          <w:rFonts w:ascii="Times New Roman" w:cs="Times New Roman" w:eastAsia="Times New Roman" w:hAnsi="Times New Roman"/>
          <w:sz w:val="18"/>
          <w:szCs w:val="18"/>
          <w:color w:val="auto"/>
        </w:rPr>
      </w:pPr>
    </w:p>
    <w:p>
      <w:pPr>
        <w:ind w:left="1200" w:hanging="376"/>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number of fully paid Equity Securities cancelled in the Relevant Period.</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 that ‘A’ has the same meaning in ASX Listing Rule 7.1 when calculating an entity's 15% placement capacity.</w:t>
      </w:r>
    </w:p>
    <w:p>
      <w:pPr>
        <w:spacing w:after="0" w:line="227" w:lineRule="exact"/>
        <w:rPr>
          <w:sz w:val="20"/>
          <w:szCs w:val="20"/>
          <w:color w:val="auto"/>
        </w:rPr>
      </w:pPr>
    </w:p>
    <w:p>
      <w:pPr>
        <w:ind w:left="820" w:hanging="370"/>
        <w:spacing w:after="0"/>
        <w:tabs>
          <w:tab w:leader="none" w:pos="8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10%; and</w:t>
      </w:r>
    </w:p>
    <w:p>
      <w:pPr>
        <w:spacing w:after="0" w:line="221" w:lineRule="exact"/>
        <w:rPr>
          <w:sz w:val="20"/>
          <w:szCs w:val="20"/>
          <w:color w:val="auto"/>
        </w:rPr>
      </w:pPr>
    </w:p>
    <w:p>
      <w:pPr>
        <w:ind w:left="460"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is the number of Equity Securities issued or agreed to be issued under ASX Listing Rule 7.1A.2 in the Relevant Period where the issue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issue has not been subsequently approved by stockholders under ASX Listing Rule 7.4.</w:t>
      </w:r>
    </w:p>
    <w:p>
      <w:pPr>
        <w:spacing w:after="0" w:line="172" w:lineRule="exact"/>
        <w:rPr>
          <w:sz w:val="20"/>
          <w:szCs w:val="20"/>
          <w:color w:val="auto"/>
        </w:rPr>
      </w:pPr>
    </w:p>
    <w:p>
      <w:pPr>
        <w:ind w:left="440" w:hanging="435"/>
        <w:spacing w:after="0"/>
        <w:tabs>
          <w:tab w:leader="none" w:pos="440" w:val="left"/>
        </w:tabs>
        <w:numPr>
          <w:ilvl w:val="0"/>
          <w:numId w:val="46"/>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Interaction with ASX Listing Rule 7.1</w:t>
      </w:r>
    </w:p>
    <w:p>
      <w:pPr>
        <w:spacing w:after="0" w:line="252" w:lineRule="exact"/>
        <w:rPr>
          <w:rFonts w:ascii="Arial" w:cs="Arial" w:eastAsia="Arial" w:hAnsi="Arial"/>
          <w:sz w:val="13"/>
          <w:szCs w:val="13"/>
          <w:color w:val="auto"/>
        </w:rPr>
      </w:pPr>
    </w:p>
    <w:p>
      <w:pPr>
        <w:jc w:val="both"/>
        <w:ind w:left="460"/>
        <w:spacing w:after="0" w:line="266" w:lineRule="auto"/>
        <w:rPr>
          <w:rFonts w:ascii="Arial" w:cs="Arial" w:eastAsia="Arial" w:hAnsi="Arial"/>
          <w:sz w:val="13"/>
          <w:szCs w:val="13"/>
          <w:color w:val="auto"/>
        </w:rPr>
      </w:pPr>
      <w:r>
        <w:rPr>
          <w:rFonts w:ascii="Times New Roman" w:cs="Times New Roman" w:eastAsia="Times New Roman" w:hAnsi="Times New Roman"/>
          <w:sz w:val="18"/>
          <w:szCs w:val="18"/>
          <w:color w:val="auto"/>
        </w:rPr>
        <w:t>The Additional 10% Placement Capacity under ASX Listing Rule 7.1A is in addition to the Company’s 15% placement capacity under Listing Rule 7.1. Therefore, approval of this Proposal 15 will enable the Company to issue securities under the Additional 10% Placement Capacity (in accordance with ASX Listing Rule 7.1A) without using its standard 15% placement capacity under Listing Rule 7.1.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information required by ASX Listing Rule 7.3A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and in accordance with ASX Listing Rule 7.3A, the following information is provided in relation to the Additional 10% Placement Capacity:</w:t>
      </w:r>
    </w:p>
    <w:p>
      <w:pPr>
        <w:spacing w:after="0" w:line="266" w:lineRule="exact"/>
        <w:rPr>
          <w:sz w:val="20"/>
          <w:szCs w:val="20"/>
          <w:color w:val="auto"/>
        </w:rPr>
      </w:pPr>
    </w:p>
    <w:p>
      <w:pPr>
        <w:ind w:left="440" w:hanging="435"/>
        <w:spacing w:after="0"/>
        <w:tabs>
          <w:tab w:leader="none" w:pos="440" w:val="left"/>
        </w:tabs>
        <w:numPr>
          <w:ilvl w:val="0"/>
          <w:numId w:val="47"/>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Approval period</w:t>
      </w:r>
    </w:p>
    <w:p>
      <w:pPr>
        <w:spacing w:after="0" w:line="252" w:lineRule="exact"/>
        <w:rPr>
          <w:rFonts w:ascii="Arial" w:cs="Arial" w:eastAsia="Arial" w:hAnsi="Arial"/>
          <w:sz w:val="13"/>
          <w:szCs w:val="13"/>
          <w:color w:val="auto"/>
        </w:rPr>
      </w:pPr>
    </w:p>
    <w:p>
      <w:pPr>
        <w:ind w:left="460" w:right="400"/>
        <w:spacing w:after="0" w:line="282" w:lineRule="auto"/>
        <w:rPr>
          <w:rFonts w:ascii="Arial" w:cs="Arial" w:eastAsia="Arial" w:hAnsi="Arial"/>
          <w:sz w:val="13"/>
          <w:szCs w:val="13"/>
          <w:color w:val="auto"/>
        </w:rPr>
      </w:pPr>
      <w:r>
        <w:rPr>
          <w:rFonts w:ascii="Times New Roman" w:cs="Times New Roman" w:eastAsia="Times New Roman" w:hAnsi="Times New Roman"/>
          <w:sz w:val="18"/>
          <w:szCs w:val="18"/>
          <w:color w:val="auto"/>
        </w:rPr>
        <w:t>If Proposal 15 is passed, the Additional 10% Placement Capacity will be valid during the period from the date of the Annual Meeting and will expire on the earlier of:</w:t>
      </w:r>
    </w:p>
    <w:p>
      <w:pPr>
        <w:spacing w:after="0" w:line="161" w:lineRule="exact"/>
        <w:rPr>
          <w:rFonts w:ascii="Arial" w:cs="Arial" w:eastAsia="Arial" w:hAnsi="Arial"/>
          <w:sz w:val="13"/>
          <w:szCs w:val="13"/>
          <w:color w:val="auto"/>
        </w:rPr>
      </w:pPr>
    </w:p>
    <w:p>
      <w:pPr>
        <w:ind w:left="900" w:hanging="450"/>
        <w:spacing w:after="0"/>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12 months after the date of the Annual Meeting;</w:t>
      </w:r>
    </w:p>
    <w:p>
      <w:pPr>
        <w:spacing w:after="0" w:line="63" w:lineRule="exact"/>
        <w:rPr>
          <w:rFonts w:ascii="Times New Roman" w:cs="Times New Roman" w:eastAsia="Times New Roman" w:hAnsi="Times New Roman"/>
          <w:sz w:val="18"/>
          <w:szCs w:val="18"/>
          <w:color w:val="auto"/>
        </w:rPr>
      </w:pPr>
    </w:p>
    <w:p>
      <w:pPr>
        <w:ind w:left="900" w:hanging="450"/>
        <w:spacing w:after="0"/>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date of the Company's next annual stockholders meeting; and</w:t>
      </w:r>
    </w:p>
    <w:p>
      <w:pPr>
        <w:spacing w:after="0" w:line="49" w:lineRule="exact"/>
        <w:rPr>
          <w:rFonts w:ascii="Times New Roman" w:cs="Times New Roman" w:eastAsia="Times New Roman" w:hAnsi="Times New Roman"/>
          <w:sz w:val="18"/>
          <w:szCs w:val="18"/>
          <w:color w:val="auto"/>
        </w:rPr>
      </w:pPr>
    </w:p>
    <w:p>
      <w:pPr>
        <w:ind w:left="900" w:right="160" w:hanging="450"/>
        <w:spacing w:after="0" w:line="282"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date on which the Company receives approval by its stockholders for a transaction under ASX Listing Rule 11.1.2 (significant change to nature or scale of activities) or 11.2 (change involving main undertaking), (the “Additional 10% Placement Period”)</w:t>
      </w:r>
      <w:r>
        <w:rPr>
          <w:rFonts w:ascii="Times New Roman" w:cs="Times New Roman" w:eastAsia="Times New Roman" w:hAnsi="Times New Roman"/>
          <w:sz w:val="18"/>
          <w:szCs w:val="18"/>
          <w:i w:val="1"/>
          <w:iCs w:val="1"/>
          <w:color w:val="auto"/>
        </w:rPr>
        <w:t>.</w:t>
      </w:r>
    </w:p>
    <w:p>
      <w:pPr>
        <w:spacing w:after="0" w:line="175" w:lineRule="exact"/>
        <w:rPr>
          <w:rFonts w:ascii="Times New Roman" w:cs="Times New Roman" w:eastAsia="Times New Roman" w:hAnsi="Times New Roman"/>
          <w:sz w:val="18"/>
          <w:szCs w:val="18"/>
          <w:color w:val="auto"/>
        </w:rPr>
      </w:pPr>
    </w:p>
    <w:p>
      <w:pPr>
        <w:ind w:left="440" w:hanging="435"/>
        <w:spacing w:after="0"/>
        <w:tabs>
          <w:tab w:leader="none" w:pos="440" w:val="left"/>
        </w:tabs>
        <w:numPr>
          <w:ilvl w:val="0"/>
          <w:numId w:val="47"/>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Minimum issue price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107" w:right="419" w:bottom="1440" w:gutter="0" w:footer="0" w:header="0"/>
        </w:sectPr>
      </w:pPr>
    </w:p>
    <w:bookmarkStart w:id="46" w:name="page47"/>
    <w:bookmarkEnd w:id="46"/>
    <w:p>
      <w:pPr>
        <w:ind w:left="540" w:right="100"/>
        <w:spacing w:after="0" w:line="282" w:lineRule="auto"/>
        <w:rPr>
          <w:sz w:val="20"/>
          <w:szCs w:val="20"/>
          <w:color w:val="auto"/>
        </w:rPr>
      </w:pPr>
      <w:r>
        <w:rPr>
          <w:rFonts w:ascii="Times New Roman" w:cs="Times New Roman" w:eastAsia="Times New Roman" w:hAnsi="Times New Roman"/>
          <w:sz w:val="18"/>
          <w:szCs w:val="18"/>
          <w:color w:val="auto"/>
        </w:rPr>
        <w:t>The Equity Securities to be issued under the Additional 10% Placement Capacity must be not less than 75% of the volume-weighted average price for the Company’s Equity Securities over the 15 days on which trades in that class were recorded (“Trading Days”) immediately before:</w:t>
      </w:r>
    </w:p>
    <w:p>
      <w:pPr>
        <w:spacing w:after="0" w:line="162" w:lineRule="exact"/>
        <w:rPr>
          <w:sz w:val="20"/>
          <w:szCs w:val="20"/>
          <w:color w:val="auto"/>
        </w:rPr>
      </w:pPr>
    </w:p>
    <w:p>
      <w:pPr>
        <w:ind w:left="980" w:hanging="450"/>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issue price for the Equity Securities is agreed by the Company and the recipient of the Equity Securities; or</w:t>
      </w:r>
    </w:p>
    <w:p>
      <w:pPr>
        <w:spacing w:after="0" w:line="63" w:lineRule="exact"/>
        <w:rPr>
          <w:rFonts w:ascii="Times New Roman" w:cs="Times New Roman" w:eastAsia="Times New Roman" w:hAnsi="Times New Roman"/>
          <w:sz w:val="18"/>
          <w:szCs w:val="18"/>
          <w:color w:val="auto"/>
        </w:rPr>
      </w:pPr>
    </w:p>
    <w:p>
      <w:pPr>
        <w:ind w:left="980" w:right="140" w:hanging="450"/>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Equity Securities are not issued within 10 Trading Days of the date in paragraph (i) above, the date on which the Equity Securities are issued.</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will disclose this information when Equity Securities are issued under the Additional 10% Placement Capacity.</w:t>
      </w:r>
    </w:p>
    <w:p>
      <w:pPr>
        <w:spacing w:after="0" w:line="266" w:lineRule="exact"/>
        <w:rPr>
          <w:sz w:val="20"/>
          <w:szCs w:val="20"/>
          <w:color w:val="auto"/>
        </w:rPr>
      </w:pPr>
    </w:p>
    <w:p>
      <w:pPr>
        <w:ind w:left="520" w:hanging="435"/>
        <w:spacing w:after="0"/>
        <w:tabs>
          <w:tab w:leader="none" w:pos="520" w:val="left"/>
        </w:tabs>
        <w:numPr>
          <w:ilvl w:val="0"/>
          <w:numId w:val="49"/>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Purpose for which funds raised by an issue of Equity Securities under ASX Listing Rule 7.1A may be used</w:t>
      </w:r>
    </w:p>
    <w:p>
      <w:pPr>
        <w:spacing w:after="0" w:line="252" w:lineRule="exact"/>
        <w:rPr>
          <w:rFonts w:ascii="Arial" w:cs="Arial" w:eastAsia="Arial" w:hAnsi="Arial"/>
          <w:sz w:val="13"/>
          <w:szCs w:val="13"/>
          <w:color w:val="auto"/>
        </w:rPr>
      </w:pPr>
    </w:p>
    <w:p>
      <w:pPr>
        <w:ind w:left="540" w:right="20"/>
        <w:spacing w:after="0" w:line="312" w:lineRule="auto"/>
        <w:rPr>
          <w:rFonts w:ascii="Arial" w:cs="Arial" w:eastAsia="Arial" w:hAnsi="Arial"/>
          <w:sz w:val="13"/>
          <w:szCs w:val="13"/>
          <w:color w:val="auto"/>
        </w:rPr>
      </w:pPr>
      <w:r>
        <w:rPr>
          <w:rFonts w:ascii="Times New Roman" w:cs="Times New Roman" w:eastAsia="Times New Roman" w:hAnsi="Times New Roman"/>
          <w:sz w:val="17"/>
          <w:szCs w:val="17"/>
          <w:color w:val="auto"/>
        </w:rPr>
        <w:t>As noted above, the Company may only issue Equity Securities under the Additional 10% Placement Capacity for cash consideration. Accordingly, every issue of Equity Securities under ASX Listing Rule 7.1A.2 will have an accompanying proposed use of funds at the time of issue.</w:t>
      </w:r>
    </w:p>
    <w:p>
      <w:pPr>
        <w:spacing w:after="0" w:line="153" w:lineRule="exact"/>
        <w:rPr>
          <w:rFonts w:ascii="Arial" w:cs="Arial" w:eastAsia="Arial" w:hAnsi="Arial"/>
          <w:sz w:val="13"/>
          <w:szCs w:val="13"/>
          <w:color w:val="auto"/>
        </w:rPr>
      </w:pPr>
    </w:p>
    <w:p>
      <w:pPr>
        <w:jc w:val="both"/>
        <w:ind w:left="540" w:right="20"/>
        <w:spacing w:after="0" w:line="261" w:lineRule="auto"/>
        <w:rPr>
          <w:rFonts w:ascii="Arial" w:cs="Arial" w:eastAsia="Arial" w:hAnsi="Arial"/>
          <w:sz w:val="13"/>
          <w:szCs w:val="13"/>
          <w:color w:val="auto"/>
        </w:rPr>
      </w:pPr>
      <w:r>
        <w:rPr>
          <w:rFonts w:ascii="Times New Roman" w:cs="Times New Roman" w:eastAsia="Times New Roman" w:hAnsi="Times New Roman"/>
          <w:sz w:val="18"/>
          <w:szCs w:val="18"/>
          <w:color w:val="auto"/>
        </w:rPr>
        <w:t>As of the date of this Proxy Statement, no decision has been made by the Company to undertake any issue of Equity Securities under the Additional 10% Placement Capacity if the stockholders approve this Proposal 15. However, if the stockholders approve this Proposal 15 and the Company raises funds from the issue of Equity Securities under the Additional 10% Placement Capacity, the Company considers that the funds may be used for any one or more of the following purposes:</w:t>
      </w:r>
    </w:p>
    <w:p>
      <w:pPr>
        <w:spacing w:after="0" w:line="193" w:lineRule="exact"/>
        <w:rPr>
          <w:rFonts w:ascii="Arial" w:cs="Arial" w:eastAsia="Arial" w:hAnsi="Arial"/>
          <w:sz w:val="13"/>
          <w:szCs w:val="13"/>
          <w:color w:val="auto"/>
        </w:rPr>
      </w:pPr>
    </w:p>
    <w:p>
      <w:pPr>
        <w:ind w:left="980" w:hanging="450"/>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working capital expenses;</w:t>
      </w:r>
    </w:p>
    <w:p>
      <w:pPr>
        <w:spacing w:after="0" w:line="49" w:lineRule="exact"/>
        <w:rPr>
          <w:rFonts w:ascii="Times New Roman" w:cs="Times New Roman" w:eastAsia="Times New Roman" w:hAnsi="Times New Roman"/>
          <w:sz w:val="18"/>
          <w:szCs w:val="18"/>
          <w:color w:val="auto"/>
        </w:rPr>
      </w:pPr>
    </w:p>
    <w:p>
      <w:pPr>
        <w:ind w:left="980" w:hanging="450"/>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research and development activities;</w:t>
      </w:r>
    </w:p>
    <w:p>
      <w:pPr>
        <w:spacing w:after="0" w:line="63" w:lineRule="exact"/>
        <w:rPr>
          <w:rFonts w:ascii="Times New Roman" w:cs="Times New Roman" w:eastAsia="Times New Roman" w:hAnsi="Times New Roman"/>
          <w:sz w:val="18"/>
          <w:szCs w:val="18"/>
          <w:color w:val="auto"/>
        </w:rPr>
      </w:pPr>
    </w:p>
    <w:p>
      <w:pPr>
        <w:ind w:left="980" w:hanging="450"/>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sales and marketing initiatives to grow market share; and</w:t>
      </w:r>
    </w:p>
    <w:p>
      <w:pPr>
        <w:spacing w:after="0" w:line="49" w:lineRule="exact"/>
        <w:rPr>
          <w:rFonts w:ascii="Times New Roman" w:cs="Times New Roman" w:eastAsia="Times New Roman" w:hAnsi="Times New Roman"/>
          <w:sz w:val="18"/>
          <w:szCs w:val="18"/>
          <w:color w:val="auto"/>
        </w:rPr>
      </w:pPr>
    </w:p>
    <w:p>
      <w:pPr>
        <w:ind w:left="980" w:hanging="450"/>
        <w:spacing w:after="0"/>
        <w:tabs>
          <w:tab w:leader="none" w:pos="9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investment in new assets (including associated expenses).</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will disclose this information when Equity Securities are issued under the Additional 10% Placement Capacity.</w:t>
      </w:r>
    </w:p>
    <w:p>
      <w:pPr>
        <w:spacing w:after="0" w:line="266" w:lineRule="exact"/>
        <w:rPr>
          <w:sz w:val="20"/>
          <w:szCs w:val="20"/>
          <w:color w:val="auto"/>
        </w:rPr>
      </w:pPr>
    </w:p>
    <w:p>
      <w:pPr>
        <w:ind w:left="520" w:hanging="435"/>
        <w:spacing w:after="0"/>
        <w:tabs>
          <w:tab w:leader="none" w:pos="520" w:val="left"/>
        </w:tabs>
        <w:numPr>
          <w:ilvl w:val="0"/>
          <w:numId w:val="50"/>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Economic and voting dilution risks</w:t>
      </w:r>
    </w:p>
    <w:p>
      <w:pPr>
        <w:spacing w:after="0" w:line="252" w:lineRule="exact"/>
        <w:rPr>
          <w:rFonts w:ascii="Arial" w:cs="Arial" w:eastAsia="Arial" w:hAnsi="Arial"/>
          <w:sz w:val="13"/>
          <w:szCs w:val="13"/>
          <w:color w:val="auto"/>
        </w:rPr>
      </w:pPr>
    </w:p>
    <w:p>
      <w:pPr>
        <w:ind w:left="540"/>
        <w:spacing w:after="0" w:line="282" w:lineRule="auto"/>
        <w:rPr>
          <w:rFonts w:ascii="Arial" w:cs="Arial" w:eastAsia="Arial" w:hAnsi="Arial"/>
          <w:sz w:val="13"/>
          <w:szCs w:val="13"/>
          <w:color w:val="auto"/>
        </w:rPr>
      </w:pPr>
      <w:r>
        <w:rPr>
          <w:rFonts w:ascii="Times New Roman" w:cs="Times New Roman" w:eastAsia="Times New Roman" w:hAnsi="Times New Roman"/>
          <w:sz w:val="18"/>
          <w:szCs w:val="18"/>
          <w:color w:val="auto"/>
        </w:rPr>
        <w:t>If this Proposal 15 is approved, and the Company issues Equity Securities under the Additional 10% Placement Capacity, the existing stockholders’ economic and voting interests in the Company will be diluted. There is also a risk that:</w:t>
      </w:r>
    </w:p>
    <w:p>
      <w:pPr>
        <w:spacing w:after="0" w:line="53" w:lineRule="exact"/>
        <w:rPr>
          <w:rFonts w:ascii="Arial" w:cs="Arial" w:eastAsia="Arial" w:hAnsi="Arial"/>
          <w:sz w:val="13"/>
          <w:szCs w:val="13"/>
          <w:color w:val="auto"/>
        </w:rPr>
      </w:pPr>
    </w:p>
    <w:p>
      <w:pPr>
        <w:jc w:val="both"/>
        <w:ind w:left="980" w:right="120" w:hanging="448"/>
        <w:spacing w:after="0" w:line="257"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the Company’s Equity Securities in the class of securities issued under the Additional 10% Placement Capacity may be significantly lower on the issue date than on the date that the Additional 10% Placement Capacity was approved (i.e., the date of the Annual Meeting); and</w:t>
      </w:r>
    </w:p>
    <w:p>
      <w:pPr>
        <w:spacing w:after="0" w:line="1" w:lineRule="exact"/>
        <w:rPr>
          <w:rFonts w:ascii="Times New Roman" w:cs="Times New Roman" w:eastAsia="Times New Roman" w:hAnsi="Times New Roman"/>
          <w:sz w:val="18"/>
          <w:szCs w:val="18"/>
          <w:color w:val="auto"/>
        </w:rPr>
      </w:pPr>
    </w:p>
    <w:p>
      <w:pPr>
        <w:ind w:left="980" w:right="260" w:hanging="450"/>
        <w:spacing w:after="0" w:line="260"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Securities may be issued under the Additional 10% Placement Capacity at a price that is at a discount to the market price of the Company’s Equity Securities as of the issue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market price variation or discount may have an effect on the amount of funds raised from the issue of the Equity Securities.</w:t>
      </w:r>
    </w:p>
    <w:p>
      <w:pPr>
        <w:spacing w:after="0" w:line="77" w:lineRule="exact"/>
        <w:rPr>
          <w:sz w:val="20"/>
          <w:szCs w:val="20"/>
          <w:color w:val="auto"/>
        </w:rPr>
      </w:pPr>
    </w:p>
    <w:p>
      <w:pPr>
        <w:jc w:val="both"/>
        <w:ind w:left="540" w:right="20"/>
        <w:spacing w:after="0" w:line="266" w:lineRule="auto"/>
        <w:rPr>
          <w:sz w:val="20"/>
          <w:szCs w:val="20"/>
          <w:color w:val="auto"/>
        </w:rPr>
      </w:pPr>
      <w:r>
        <w:rPr>
          <w:rFonts w:ascii="Times New Roman" w:cs="Times New Roman" w:eastAsia="Times New Roman" w:hAnsi="Times New Roman"/>
          <w:sz w:val="18"/>
          <w:szCs w:val="18"/>
          <w:color w:val="auto"/>
        </w:rPr>
        <w:t>As required by ASX Listing Rule 7.3A.4, the table below illustrates the potential dilution of existing stockholders on the basis of three different assumed issue prices and values for variable ‘A’ in the formula in ASX Listing Rule 7.1A.2 as at the date of the Proxy Statement (“Variable A”). This table shows:</w:t>
      </w:r>
    </w:p>
    <w:p>
      <w:pPr>
        <w:spacing w:after="0" w:line="68" w:lineRule="exact"/>
        <w:rPr>
          <w:sz w:val="20"/>
          <w:szCs w:val="20"/>
          <w:color w:val="auto"/>
        </w:rPr>
      </w:pPr>
    </w:p>
    <w:p>
      <w:pPr>
        <w:jc w:val="both"/>
        <w:ind w:left="980" w:right="20" w:hanging="448"/>
        <w:spacing w:after="0" w:line="255"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examples where Variable A has increased by 50% and 100% respectively. Variable 'A' is based on the number of Equity Securities the Company has on issue as at the date of this Proxy Statement. The number of Equity Securities on issue may increase as a result of issues of Equity Securities that do not require stockholder approval (e.g., a pro rata entitlement offer or securities issued under a takeover offer) or future specific placements under ASX Listing Rule 7.1 that are approved at a future general meeting; and</w:t>
      </w:r>
    </w:p>
    <w:p>
      <w:pPr>
        <w:spacing w:after="0" w:line="2" w:lineRule="exact"/>
        <w:rPr>
          <w:rFonts w:ascii="Times New Roman" w:cs="Times New Roman" w:eastAsia="Times New Roman" w:hAnsi="Times New Roman"/>
          <w:sz w:val="18"/>
          <w:szCs w:val="18"/>
          <w:color w:val="auto"/>
        </w:rPr>
      </w:pPr>
    </w:p>
    <w:p>
      <w:pPr>
        <w:ind w:left="980" w:right="20" w:hanging="450"/>
        <w:spacing w:after="0" w:line="260"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examples of where the issue price of Equity Securities has decreased by 50% and increased by 50%, respectively, as against the market price as of the Record Date.</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0" w:right="3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60" w:type="dxa"/>
            <w:vAlign w:val="bottom"/>
          </w:tcPr>
          <w:p>
            <w:pPr>
              <w:spacing w:after="0"/>
              <w:rPr>
                <w:sz w:val="20"/>
                <w:szCs w:val="20"/>
                <w:color w:val="auto"/>
              </w:rPr>
            </w:pPr>
          </w:p>
        </w:tc>
        <w:tc>
          <w:tcPr>
            <w:tcW w:w="27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 Decrease in Issue Price</w:t>
            </w:r>
          </w:p>
        </w:tc>
        <w:tc>
          <w:tcPr>
            <w:tcW w:w="220" w:type="dxa"/>
            <w:vAlign w:val="bottom"/>
          </w:tcPr>
          <w:p>
            <w:pPr>
              <w:spacing w:after="0"/>
              <w:rPr>
                <w:sz w:val="20"/>
                <w:szCs w:val="20"/>
                <w:color w:val="auto"/>
              </w:rPr>
            </w:pPr>
          </w:p>
        </w:tc>
        <w:tc>
          <w:tcPr>
            <w:tcW w:w="29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220" w:type="dxa"/>
            <w:vAlign w:val="bottom"/>
          </w:tcPr>
          <w:p>
            <w:pPr>
              <w:spacing w:after="0"/>
              <w:rPr>
                <w:sz w:val="20"/>
                <w:szCs w:val="20"/>
                <w:color w:val="auto"/>
              </w:rPr>
            </w:pPr>
          </w:p>
        </w:tc>
        <w:tc>
          <w:tcPr>
            <w:tcW w:w="308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100% Increase in Issue Price</w:t>
            </w:r>
          </w:p>
        </w:tc>
        <w:tc>
          <w:tcPr>
            <w:tcW w:w="0" w:type="dxa"/>
            <w:vAlign w:val="bottom"/>
          </w:tcPr>
          <w:p>
            <w:pPr>
              <w:spacing w:after="0"/>
              <w:rPr>
                <w:sz w:val="1"/>
                <w:szCs w:val="1"/>
                <w:color w:val="auto"/>
              </w:rPr>
            </w:pPr>
          </w:p>
        </w:tc>
      </w:tr>
      <w:tr>
        <w:trPr>
          <w:trHeight w:val="187"/>
        </w:trPr>
        <w:tc>
          <w:tcPr>
            <w:tcW w:w="1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Shares Issued</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Shares Issued</w:t>
            </w: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Shares Issued</w:t>
            </w: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Issue</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Voting</w:t>
            </w: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Funds Raised</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Voting</w:t>
            </w:r>
          </w:p>
        </w:tc>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Funds Raised</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Voting</w:t>
            </w:r>
          </w:p>
        </w:tc>
        <w:tc>
          <w:tcPr>
            <w:tcW w:w="1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Funds Raised</w:t>
            </w:r>
          </w:p>
        </w:tc>
        <w:tc>
          <w:tcPr>
            <w:tcW w:w="0" w:type="dxa"/>
            <w:vAlign w:val="bottom"/>
          </w:tcPr>
          <w:p>
            <w:pPr>
              <w:spacing w:after="0"/>
              <w:rPr>
                <w:sz w:val="1"/>
                <w:szCs w:val="1"/>
                <w:color w:val="auto"/>
              </w:rPr>
            </w:pPr>
          </w:p>
        </w:tc>
      </w:tr>
      <w:tr>
        <w:trPr>
          <w:trHeight w:val="238"/>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(Variable A)</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Dilution)</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30,776,689</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3,077,669</w:t>
            </w:r>
          </w:p>
        </w:tc>
        <w:tc>
          <w:tcPr>
            <w:tcW w:w="1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8,609,642</w:t>
            </w: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3,077,669</w:t>
            </w:r>
          </w:p>
        </w:tc>
        <w:tc>
          <w:tcPr>
            <w:tcW w:w="1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17,219,284</w:t>
            </w: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3,077,669</w:t>
            </w:r>
          </w:p>
        </w:tc>
        <w:tc>
          <w:tcPr>
            <w:tcW w:w="1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34,438,568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260" w:type="dxa"/>
            <w:vAlign w:val="bottom"/>
            <w:shd w:val="clear" w:color="auto" w:fill="CCECFF"/>
          </w:tcPr>
          <w:p>
            <w:pPr>
              <w:spacing w:after="0"/>
              <w:rPr>
                <w:sz w:val="18"/>
                <w:szCs w:val="18"/>
                <w:color w:val="auto"/>
              </w:rPr>
            </w:pPr>
          </w:p>
        </w:tc>
        <w:tc>
          <w:tcPr>
            <w:tcW w:w="14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46,165,034</w:t>
            </w:r>
          </w:p>
        </w:tc>
        <w:tc>
          <w:tcPr>
            <w:tcW w:w="17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4,616,503</w:t>
            </w:r>
          </w:p>
        </w:tc>
        <w:tc>
          <w:tcPr>
            <w:tcW w:w="12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12,914,463</w:t>
            </w:r>
          </w:p>
        </w:tc>
        <w:tc>
          <w:tcPr>
            <w:tcW w:w="16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4,616,503</w:t>
            </w:r>
          </w:p>
        </w:tc>
        <w:tc>
          <w:tcPr>
            <w:tcW w:w="15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25,828,926</w:t>
            </w:r>
          </w:p>
        </w:tc>
        <w:tc>
          <w:tcPr>
            <w:tcW w:w="16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4,616,503</w:t>
            </w:r>
          </w:p>
        </w:tc>
        <w:tc>
          <w:tcPr>
            <w:tcW w:w="15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51,657,852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(50% Increase)</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61,553,378</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6,155,338</w:t>
            </w:r>
          </w:p>
        </w:tc>
        <w:tc>
          <w:tcPr>
            <w:tcW w:w="1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17,219,284</w:t>
            </w: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6,155,338</w:t>
            </w:r>
          </w:p>
        </w:tc>
        <w:tc>
          <w:tcPr>
            <w:tcW w:w="1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34,438,568</w:t>
            </w: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6,155,338</w:t>
            </w:r>
          </w:p>
        </w:tc>
        <w:tc>
          <w:tcPr>
            <w:tcW w:w="1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68,877,135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Increase)</w:t>
            </w:r>
          </w:p>
        </w:tc>
        <w:tc>
          <w:tcPr>
            <w:tcW w:w="260" w:type="dxa"/>
            <w:vAlign w:val="bottom"/>
            <w:shd w:val="clear" w:color="auto" w:fill="CCECFF"/>
          </w:tcPr>
          <w:p>
            <w:pPr>
              <w:spacing w:after="0"/>
              <w:rPr>
                <w:sz w:val="18"/>
                <w:szCs w:val="18"/>
                <w:color w:val="auto"/>
              </w:rPr>
            </w:pPr>
          </w:p>
        </w:tc>
        <w:tc>
          <w:tcPr>
            <w:tcW w:w="14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67"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currently 30,776,689 Equity Securities on issue as of the Record Date.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used is the closing price of the Equity Securities on the ASX as of the Record Date.</w:t>
      </w:r>
    </w:p>
    <w:p>
      <w:pPr>
        <w:spacing w:after="0" w:line="63"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assumes that the Company issues the maximum possible number of Equity Securities under the Additional 10% Placement Capacity.</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assumes that the Company has not issued any Equity Securities in the 12 months prior to the Annual Meeting that were not issued under an exception in ASX Listing Rule 7.2, with approval under ASX Listing Rule 7.1, or as ratified under ASX Listing Rule 7.4.</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Equity Securities under the Additional 10% Placement Capacity consists only of CDIs and the consideration provided for those CDIs is cash. It is assumed that no Options are exercised into CDIs before the date of issue of the Equity Securities. If the issue of Equity Securities includes new Options, it is assumed that those new Options are exercised into CDIs for the purpose of calculating the voting dilution effect on existing stockholders.</w:t>
      </w:r>
    </w:p>
    <w:p>
      <w:pPr>
        <w:spacing w:after="0" w:line="17"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do not show the dilution that any one particular stockholder will be subject to. All stockholders should consider the dilution caused to their own shareholding depending on their specific circumstances.</w:t>
      </w:r>
    </w:p>
    <w:p>
      <w:pPr>
        <w:spacing w:after="0" w:line="1"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show any dilution pursuant to the issue of Equity Securities under the Company's standard 15% placement capacity under ASX Listing Rule 7.1.</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show any dilution pursuant to ratification under ASX Listing Rule 7.4.</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issued" reflects the aggregate percentage dilution against the issued share capital at the time of issue.</w:t>
      </w:r>
    </w:p>
    <w:p>
      <w:pPr>
        <w:spacing w:after="0" w:line="225"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Allocation policy</w:t>
      </w:r>
    </w:p>
    <w:p>
      <w:pPr>
        <w:spacing w:after="0" w:line="252" w:lineRule="exact"/>
        <w:rPr>
          <w:sz w:val="20"/>
          <w:szCs w:val="20"/>
          <w:color w:val="auto"/>
        </w:rPr>
      </w:pPr>
    </w:p>
    <w:p>
      <w:pPr>
        <w:ind w:left="540" w:right="620"/>
        <w:spacing w:after="0" w:line="282" w:lineRule="auto"/>
        <w:rPr>
          <w:sz w:val="20"/>
          <w:szCs w:val="20"/>
          <w:color w:val="auto"/>
        </w:rPr>
      </w:pPr>
      <w:r>
        <w:rPr>
          <w:rFonts w:ascii="Times New Roman" w:cs="Times New Roman" w:eastAsia="Times New Roman" w:hAnsi="Times New Roman"/>
          <w:sz w:val="18"/>
          <w:szCs w:val="18"/>
          <w:color w:val="auto"/>
        </w:rPr>
        <w:t>The Company's allocation policy and the identity of the recipients of the Equity Securities to be issued under the Additional 10% Placement Capacity will depend on a number of factors and will be determined on a case-by-case basis at the Company's discretion.</w:t>
      </w:r>
    </w:p>
    <w:p>
      <w:pPr>
        <w:spacing w:after="0" w:line="175" w:lineRule="exact"/>
        <w:rPr>
          <w:sz w:val="20"/>
          <w:szCs w:val="20"/>
          <w:color w:val="auto"/>
        </w:rPr>
      </w:pPr>
    </w:p>
    <w:p>
      <w:pPr>
        <w:ind w:left="540" w:right="640"/>
        <w:spacing w:after="0" w:line="282" w:lineRule="auto"/>
        <w:rPr>
          <w:sz w:val="20"/>
          <w:szCs w:val="20"/>
          <w:color w:val="auto"/>
        </w:rPr>
      </w:pPr>
      <w:r>
        <w:rPr>
          <w:rFonts w:ascii="Times New Roman" w:cs="Times New Roman" w:eastAsia="Times New Roman" w:hAnsi="Times New Roman"/>
          <w:sz w:val="18"/>
          <w:szCs w:val="18"/>
          <w:color w:val="auto"/>
        </w:rPr>
        <w:t>No decision has been made in relation to an issue of Equity Securities under the Additional 10% Placement Capacity, including whether the Company will engage with new investors or existing stockholders (including the identities of any such persons).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However, when determining the allocation policy and the identity of the recipients, the Company will consider:</w:t>
      </w:r>
    </w:p>
    <w:p>
      <w:pPr>
        <w:spacing w:after="0" w:line="266" w:lineRule="exact"/>
        <w:rPr>
          <w:sz w:val="20"/>
          <w:szCs w:val="20"/>
          <w:color w:val="auto"/>
        </w:rPr>
      </w:pPr>
    </w:p>
    <w:p>
      <w:pPr>
        <w:ind w:left="980" w:hanging="450"/>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conditions;</w:t>
      </w:r>
    </w:p>
    <w:p>
      <w:pPr>
        <w:spacing w:after="0" w:line="76" w:lineRule="exact"/>
        <w:rPr>
          <w:rFonts w:ascii="Times New Roman" w:cs="Times New Roman" w:eastAsia="Times New Roman" w:hAnsi="Times New Roman"/>
          <w:sz w:val="18"/>
          <w:szCs w:val="18"/>
          <w:color w:val="auto"/>
        </w:rPr>
      </w:pPr>
    </w:p>
    <w:p>
      <w:pPr>
        <w:ind w:left="980" w:hanging="450"/>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for the issue of the Equity Securities;</w:t>
      </w:r>
    </w:p>
    <w:p>
      <w:pPr>
        <w:spacing w:after="0" w:line="49" w:lineRule="exact"/>
        <w:rPr>
          <w:rFonts w:ascii="Times New Roman" w:cs="Times New Roman" w:eastAsia="Times New Roman" w:hAnsi="Times New Roman"/>
          <w:sz w:val="18"/>
          <w:szCs w:val="18"/>
          <w:color w:val="auto"/>
        </w:rPr>
      </w:pPr>
    </w:p>
    <w:p>
      <w:pPr>
        <w:ind w:left="980" w:hanging="450"/>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position and likely future capital requirements of the Company;</w:t>
      </w:r>
    </w:p>
    <w:p>
      <w:pPr>
        <w:spacing w:after="0" w:line="63" w:lineRule="exact"/>
        <w:rPr>
          <w:rFonts w:ascii="Times New Roman" w:cs="Times New Roman" w:eastAsia="Times New Roman" w:hAnsi="Times New Roman"/>
          <w:sz w:val="18"/>
          <w:szCs w:val="18"/>
          <w:color w:val="auto"/>
        </w:rPr>
      </w:pPr>
    </w:p>
    <w:p>
      <w:pPr>
        <w:ind w:left="980" w:hanging="450"/>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placement on the control of the Company;</w:t>
      </w:r>
    </w:p>
    <w:p>
      <w:pPr>
        <w:spacing w:after="0" w:line="49" w:lineRule="exact"/>
        <w:rPr>
          <w:rFonts w:ascii="Times New Roman" w:cs="Times New Roman" w:eastAsia="Times New Roman" w:hAnsi="Times New Roman"/>
          <w:sz w:val="18"/>
          <w:szCs w:val="18"/>
          <w:color w:val="auto"/>
        </w:rPr>
      </w:pPr>
    </w:p>
    <w:p>
      <w:pPr>
        <w:ind w:left="980" w:right="220" w:hanging="450"/>
        <w:spacing w:after="0" w:line="261"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and timeframe of other methods of raising capital available to the Company (including but not limited to a pro rata entitlement offer or share purchase plan offer); and</w:t>
      </w:r>
    </w:p>
    <w:p>
      <w:pPr>
        <w:ind w:left="980" w:hanging="450"/>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from corporate, financial and investment advisers (if applicable).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8" w:name="page49"/>
    <w:bookmarkEnd w:id="48"/>
    <w:p>
      <w:pPr>
        <w:ind w:left="560" w:right="280"/>
        <w:spacing w:after="0" w:line="282" w:lineRule="auto"/>
        <w:rPr>
          <w:sz w:val="20"/>
          <w:szCs w:val="20"/>
          <w:color w:val="auto"/>
        </w:rPr>
      </w:pPr>
      <w:r>
        <w:rPr>
          <w:rFonts w:ascii="Times New Roman" w:cs="Times New Roman" w:eastAsia="Times New Roman" w:hAnsi="Times New Roman"/>
          <w:sz w:val="18"/>
          <w:szCs w:val="18"/>
          <w:color w:val="auto"/>
        </w:rPr>
        <w:t>Recipients may include existing stockholders or new investors, but not persons who are related parties who would otherwise require stockholder approval under ASX Listing Rule 10.11.</w:t>
      </w:r>
    </w:p>
    <w:p>
      <w:pPr>
        <w:spacing w:after="0" w:line="175"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3"/>
          <w:szCs w:val="13"/>
          <w:color w:val="auto"/>
        </w:rPr>
      </w:pPr>
      <w:r>
        <w:rPr>
          <w:rFonts w:ascii="Times New Roman" w:cs="Times New Roman" w:eastAsia="Times New Roman" w:hAnsi="Times New Roman"/>
          <w:sz w:val="18"/>
          <w:szCs w:val="18"/>
          <w:u w:val="single" w:color="auto"/>
          <w:color w:val="auto"/>
        </w:rPr>
        <w:t>Previous approval and issues under ASX Listing Rule 7.1A</w:t>
      </w:r>
    </w:p>
    <w:p>
      <w:pPr>
        <w:spacing w:after="0" w:line="266" w:lineRule="exact"/>
        <w:rPr>
          <w:sz w:val="20"/>
          <w:szCs w:val="20"/>
          <w:color w:val="auto"/>
        </w:r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The Company has not previously sought stockholder approval under ASX Listing Rule 7.1A, and therefore, has not issued or agreed to issue Equity Securities under ASX Listing Rule 7.1A in the 12 months preceding the date of the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 of this Proposal 15 requires the affirmative vote of the holders of 75% of the voting power of the Common Stock present in person or represented by proxy at the Annual Meeting and entitled to vote on the relevant Proposal. Abstentions will have the same effect as votes “AGAINST” this Proposal 15. Broker non-votes will have no effect on the voting for this Proposal 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Recommendation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Board recommends that stockholders vote in favor of this Proposal 15.</w:t>
      </w:r>
    </w:p>
    <w:p>
      <w:pPr>
        <w:spacing w:after="0" w:line="221" w:lineRule="exact"/>
        <w:rPr>
          <w:sz w:val="20"/>
          <w:szCs w:val="20"/>
          <w:color w:val="auto"/>
        </w:rPr>
      </w:pPr>
    </w:p>
    <w:p>
      <w:pPr>
        <w:jc w:val="both"/>
        <w:ind w:left="80"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unanimously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Additional 10% Placement Capacity as described herein. Proxy holders and CDN will vote as directed on the Proxy Card (in the case of stockholders) or CDI Voting Instruction Form or online (in the case of CDI Holders) or, if no direction is made in a duly dated, executed and returned Proxy Card (in the case of stockholders) or CDI Voting Instruction Form or online (in the case of CDI 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Additional 10% Placement Capacity. However, brokers who are members of a U.S. national securities exchange may not vote or submit instructions to the proxy holders or CDN if the beneficial owner of the shares has not given instructions. The Additional 10% Placement Capacity requires the affirmative vote of 75% of votes cast by stockholders present or represented by proxy at Meeting and entitled to vote on the Additional 10% Placement Capacity.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exclusion</w:t>
      </w:r>
    </w:p>
    <w:p>
      <w:pPr>
        <w:spacing w:after="0" w:line="2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 voting exclusion statement is included for Proposal 15 because the Company is not proposing any issues of Equity Securities under ASX Listing Rule 7.1A as of the date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does not know of any matters other than those mentioned above to be presented at the Annual Meeting.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Form 10-K for the year ended December 31, 2025, including audited financial statements, is available at the Company’s website at www.avitamedical.com and is also available on the SEC’s website at www.sec.gov. The Form 10-K is not incorporated in this Proxy Statement and is not to be considered a part of the soliciting material.</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WRITTEN REQUEST, THE COMPANY WILL PROVIDE, WITHOUT CHARGE, A COPY OF THE COMPANY’S ANNUAL REPORT ON FORM 10-K FOR THE YEAR ENDED DECEMBER 31, 2025 TO EACH STOCKHOLDER OF RECORD, TO EACH HOLDER OF CDIS OR TO EACH STOCKHOLDER WHO OWNED THE COMPANY’S COMMON STOCK LISTED IN THE NAME OF A BANK OR BROKER, AS NOMINEE, AT THE CLOSE OF BUSINESS ON APRIL 9, 2026. ANY REQUEST BY A STOCKHOLDER OR CDI HOLDER FOR THE COMPANY’S ANNUAL REPORT ON FORM 10-K SHOULD BE SENT TO INVESTOR RELATIONS AT AVITA MEDICAL, INC., 28159 AVENUE STANFORD, SUITE 220, VALENCIA, CALIFORNIA 91355.</w:t>
      </w:r>
    </w:p>
    <w:p>
      <w:pPr>
        <w:spacing w:after="0" w:line="18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2027 ANNUAL MEETING OF STOCKHOLDERS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Stockholders’ proposals intended to be considered for inclusion in the proxy materials for the 2027 Annual Meeting of Stockholders pursuant to Rule 14a-8 under the Exchange Act must be submitted in writing to the Company’s Secretary at AVITA Medical, Inc., 28159 Avenue Stanford, Suite 220, Valencia, California 91355, and received no later than December 28, 2026, in order to be considered for inclusion in the Company’s proxy statement and form of proxy for that meeting. In addition, such proposals must satisfy the requirements set forth in the Company's Bylaws.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Notice of any director nomination or other proposal that you intend to present at the 2027 Annual Meeting of Stockholders, but do not intend to have included in the proxy statement and form of proxy relating to that meeting, must be delivered to the Company’s Secretary at 28159 Avenue Stanford, Suite 220, Valencia, California, 91355 no earlier than the close of business on February 3, 2027, and not later than the close of business on March 5, 2027. In addition, your notice must set forth the information required by the Company’s Bylaws with respect to each director nomination or other proposal that you intend to present at the 2027 Annual Meeting of Stockholders.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must provide timely notice by April 4, 2027, and include in the notice the information required by Rule 14a-19(b) under the Exchange Act.</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section is subject to, and qualified entirely by, the requirements for stockholder proposals set forth in the Company’s Bylaws. A copy of the Company’s Bylaws is available upon written request to the Company’s Secretary at 28159 Avenue Stanford, Suite 220, Valencia, California, 91355.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as of the end of the last two completed fiscal years, any transaction or currently proposed transaction in which the Company is a participant and in which any related person has or will have a direct or indirect material interest involving the lesser of $120,000 or 1% of the average of the Company’s total assets. A related person is any executive officer, director, nominee for director, or holder of 5% or more of the Company’s Common Stock, or an immediate family member of any of those persons. Since January 1, 2024, the Company has not participated in any such related party transaction.</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certain of its executive officers and persons who beneficially own more than 10% of the Common Stock to file reports of and changes in ownership with the SEC. Based solely on the Company’s review of copies of SEC filings it has received or filed, the Company believes that each of its directors, executive officers, and beneficial owners of more than 10% of the Common Stock satisfied the Section 16(a) filing requirements during the year ended December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 rules permit registrants to send a single copy of their proxy materials to any household at which two or more stockholders reside if the registrant believes they are members of the same family. This procedure, referred to as “householding,” reduces the volume of duplicate information stockholders receive and reduces the expense to the Company. While the Company has not implemented these householding rules with respect to its record holders, a number of brokerage firms have instituted householding, which may affect certain beneficial owners of Common Stock. If your family has multiple accounts by which you hold Common Stock, you may have previously received a householding notification from your broker. Please contact your broker directly if you require additional copies of the proxy materials or have any questions, or if you wish to revoke your decision to household so that you may receive multiple copies of the proxy materials. These options are available to you at any time.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files annual, quarterly, and special reports, proxy statements and other information with the SEC. Stockholders may read and copy any reports, statements, or other information that the Company files at the SEC’s public reference room in Washington, D.C. Please call the SEC at 1-800-SEC-0330 for further information about the public reference room. The Company’s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announcements lodged by the Company on ASX are available on the ASX website (www.asx.com.au).</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APRIL 22, 2026. STOCKHOLDERS AND CDI HOLDERS SHOULD NOT ASSUME THAT THE INFORMATION CONTAINED IN THIS PROXY STATEMENT IS ACCURATE AS OF ANY DATE OTHER THAN THAT DATE.</w:t>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Nicole Kelsey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Nicole Kelsey</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Legal and Compliance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Annexure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and</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14"/>
          <w:szCs w:val="14"/>
          <w:color w:val="auto"/>
        </w:rPr>
        <w:t>anuary</w:t>
      </w:r>
      <w:r>
        <w:rPr>
          <w:rFonts w:ascii="Times New Roman" w:cs="Times New Roman" w:eastAsia="Times New Roman" w:hAnsi="Times New Roman"/>
          <w:sz w:val="22"/>
          <w:szCs w:val="22"/>
          <w:color w:val="auto"/>
        </w:rPr>
        <w:t xml:space="preserve"> 13, 2026</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7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uarantors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Guarantors,</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enders from</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Lenders,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and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the Administrative Agent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458470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475615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86"/>
        </w:trPr>
        <w:tc>
          <w:tcPr>
            <w:tcW w:w="4700" w:type="dxa"/>
            <w:vAlign w:val="bottom"/>
          </w:tcPr>
          <w:p>
            <w:pPr>
              <w:spacing w:after="0"/>
              <w:rPr>
                <w:sz w:val="24"/>
                <w:szCs w:val="24"/>
                <w:color w:val="auto"/>
              </w:rPr>
            </w:pPr>
          </w:p>
        </w:tc>
        <w:tc>
          <w:tcPr>
            <w:tcW w:w="4600" w:type="dxa"/>
            <w:vAlign w:val="bottom"/>
          </w:tcPr>
          <w:p>
            <w:pPr>
              <w:jc w:val="center"/>
              <w:ind w:right="2664"/>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tc>
        <w:tc>
          <w:tcPr>
            <w:tcW w:w="1940" w:type="dxa"/>
            <w:vAlign w:val="bottom"/>
          </w:tcPr>
          <w:p>
            <w:pPr>
              <w:spacing w:after="0"/>
              <w:rPr>
                <w:sz w:val="24"/>
                <w:szCs w:val="24"/>
                <w:color w:val="auto"/>
              </w:rPr>
            </w:pPr>
          </w:p>
        </w:tc>
      </w:tr>
      <w:tr>
        <w:trPr>
          <w:trHeight w:val="44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600" w:type="dxa"/>
            <w:vAlign w:val="bottom"/>
          </w:tcPr>
          <w:p>
            <w:pPr>
              <w:jc w:val="center"/>
              <w:ind w:right="2684"/>
              <w:spacing w:after="0"/>
              <w:rPr>
                <w:sz w:val="20"/>
                <w:szCs w:val="20"/>
                <w:color w:val="auto"/>
              </w:rPr>
            </w:pPr>
            <w:r>
              <w:rPr>
                <w:rFonts w:ascii="Times New Roman" w:cs="Times New Roman" w:eastAsia="Times New Roman" w:hAnsi="Times New Roman"/>
                <w:sz w:val="18"/>
                <w:szCs w:val="18"/>
                <w:color w:val="auto"/>
                <w:w w:val="99"/>
              </w:rPr>
              <w:t>HEADING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754"/>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I D</w:t>
            </w:r>
            <w:r>
              <w:rPr>
                <w:rFonts w:ascii="Times New Roman" w:cs="Times New Roman" w:eastAsia="Times New Roman" w:hAnsi="Times New Roman"/>
                <w:sz w:val="14"/>
                <w:szCs w:val="14"/>
                <w:color w:val="auto"/>
              </w:rPr>
              <w:t>efinitions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1.01. Certain Defined Terms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Section 1.02. Accounting Terms and Principles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1.03. Interpretation</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1.04. Divisions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8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1.05. Interest Rates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500"/>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2 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2.01. Term Loans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2.02. Proportionate Shares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2.03. Fees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2.04. Notes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2.05. Use of Proceeds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99"/>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3 P</w:t>
            </w:r>
            <w:r>
              <w:rPr>
                <w:rFonts w:ascii="Times New Roman" w:cs="Times New Roman" w:eastAsia="Times New Roman" w:hAnsi="Times New Roman"/>
                <w:sz w:val="14"/>
                <w:szCs w:val="14"/>
                <w:color w:val="auto"/>
              </w:rPr>
              <w:t>ayments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rincipal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nterest</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3.01. Repayment</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3.02. Interest</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8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3.03. Prepayments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99"/>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4 P</w:t>
            </w:r>
            <w:r>
              <w:rPr>
                <w:rFonts w:ascii="Times New Roman" w:cs="Times New Roman" w:eastAsia="Times New Roman" w:hAnsi="Times New Roman"/>
                <w:sz w:val="14"/>
                <w:szCs w:val="14"/>
                <w:color w:val="auto"/>
              </w:rPr>
              <w:t>ayments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4.01. Payments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4.02. Computations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16"/>
        </w:trPr>
        <w:tc>
          <w:tcPr>
            <w:tcW w:w="470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4.03. Notices</w:t>
            </w:r>
          </w:p>
        </w:tc>
        <w:tc>
          <w:tcPr>
            <w:tcW w:w="4600" w:type="dxa"/>
            <w:vAlign w:val="bottom"/>
          </w:tcPr>
          <w:p>
            <w:pPr>
              <w:spacing w:after="0"/>
              <w:rPr>
                <w:sz w:val="18"/>
                <w:szCs w:val="18"/>
                <w:color w:val="auto"/>
              </w:rPr>
            </w:pPr>
          </w:p>
        </w:tc>
        <w:tc>
          <w:tcPr>
            <w:tcW w:w="19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39</w:t>
            </w:r>
          </w:p>
        </w:tc>
      </w:tr>
      <w:tr>
        <w:trPr>
          <w:trHeight w:val="362"/>
        </w:trPr>
        <w:tc>
          <w:tcPr>
            <w:tcW w:w="470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4.04.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60"/>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5 Y</w:t>
            </w:r>
            <w:r>
              <w:rPr>
                <w:rFonts w:ascii="Times New Roman" w:cs="Times New Roman" w:eastAsia="Times New Roman" w:hAnsi="Times New Roman"/>
                <w:sz w:val="14"/>
                <w:szCs w:val="14"/>
                <w:color w:val="auto"/>
              </w:rPr>
              <w:t>ield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rotection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22"/>
                <w:szCs w:val="22"/>
                <w:color w:val="auto"/>
              </w:rPr>
              <w:t>.</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1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5.01. Additional Costs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5.02. Illegality</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5.03. Taxes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8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5.04. Delay in Requests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500"/>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6 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recedent</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12"/>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6.01. Conditions to Tranche A Term Loan; Closing Date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82"/>
        </w:trPr>
        <w:tc>
          <w:tcPr>
            <w:tcW w:w="930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Section 6.02. Conditions to Tranche B Term Loan; Tranche B Loan Borrowing Date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500"/>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7 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1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7.01. Power and Authority</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7.02. Authorization; Enforceability</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930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7.03. Governmental and Other Approvals; No Conflicts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930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7.04. Financial Statements; Projections; Material Adverse Change</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470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7.05. Properties</w:t>
            </w:r>
          </w:p>
        </w:tc>
        <w:tc>
          <w:tcPr>
            <w:tcW w:w="4600" w:type="dxa"/>
            <w:vAlign w:val="bottom"/>
          </w:tcPr>
          <w:p>
            <w:pPr>
              <w:spacing w:after="0"/>
              <w:rPr>
                <w:sz w:val="21"/>
                <w:szCs w:val="21"/>
                <w:color w:val="auto"/>
              </w:rPr>
            </w:pP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82"/>
        </w:trPr>
        <w:tc>
          <w:tcPr>
            <w:tcW w:w="47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7.06. No Actions or Proceedings</w:t>
            </w:r>
          </w:p>
        </w:tc>
        <w:tc>
          <w:tcPr>
            <w:tcW w:w="46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447"/>
        </w:trPr>
        <w:tc>
          <w:tcPr>
            <w:tcW w:w="4700" w:type="dxa"/>
            <w:vAlign w:val="bottom"/>
          </w:tcPr>
          <w:p>
            <w:pPr>
              <w:spacing w:after="0"/>
              <w:rPr>
                <w:sz w:val="24"/>
                <w:szCs w:val="24"/>
                <w:color w:val="auto"/>
              </w:rPr>
            </w:pPr>
          </w:p>
        </w:tc>
        <w:tc>
          <w:tcPr>
            <w:tcW w:w="4600" w:type="dxa"/>
            <w:vAlign w:val="bottom"/>
          </w:tcPr>
          <w:p>
            <w:pPr>
              <w:jc w:val="center"/>
              <w:ind w:right="2644"/>
              <w:spacing w:after="0"/>
              <w:rPr>
                <w:sz w:val="20"/>
                <w:szCs w:val="20"/>
                <w:color w:val="auto"/>
              </w:rPr>
            </w:pPr>
            <w:r>
              <w:rPr>
                <w:rFonts w:ascii="Times New Roman" w:cs="Times New Roman" w:eastAsia="Times New Roman" w:hAnsi="Times New Roman"/>
                <w:sz w:val="18"/>
                <w:szCs w:val="18"/>
                <w:color w:val="auto"/>
                <w:w w:val="99"/>
              </w:rPr>
              <w:t>49</w:t>
            </w:r>
          </w:p>
        </w:tc>
        <w:tc>
          <w:tcPr>
            <w:tcW w:w="1940" w:type="dxa"/>
            <w:vAlign w:val="bottom"/>
          </w:tcPr>
          <w:p>
            <w:pPr>
              <w:spacing w:after="0"/>
              <w:rPr>
                <w:sz w:val="24"/>
                <w:szCs w:val="24"/>
                <w:color w:val="auto"/>
              </w:rPr>
            </w:pPr>
          </w:p>
        </w:tc>
      </w:tr>
      <w:tr>
        <w:trPr>
          <w:trHeight w:val="776"/>
        </w:trPr>
        <w:tc>
          <w:tcPr>
            <w:tcW w:w="47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3"/>
        </w:trPr>
        <w:tc>
          <w:tcPr>
            <w:tcW w:w="96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7.07. Compliance with Laws and Agreements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7.08. Taxes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7.09. Full Disclosure</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7.10. Regulation</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7.11. Solvency</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7.12. Subsidiaries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7.13. Indebtedness and Liens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7.14. Material Agreements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7.15. Restrictive Agreements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7.16. Real Property</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7.17. Pension and Other Plans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7.18. Collateral; Security Interest</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7.19. Regulatory Approvals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7.20. Capitalization</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7.21. Insurance</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7.22. Certain Fees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16"/>
        </w:trPr>
        <w:tc>
          <w:tcPr>
            <w:tcW w:w="966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7.23. Sanctions Laws</w:t>
            </w:r>
          </w:p>
        </w:tc>
        <w:tc>
          <w:tcPr>
            <w:tcW w:w="15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61</w:t>
            </w:r>
          </w:p>
        </w:tc>
      </w:tr>
      <w:tr>
        <w:trPr>
          <w:trHeight w:val="257"/>
        </w:trPr>
        <w:tc>
          <w:tcPr>
            <w:tcW w:w="966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7.24.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83"/>
        </w:trPr>
        <w:tc>
          <w:tcPr>
            <w:tcW w:w="966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7.25.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82"/>
        </w:trPr>
        <w:tc>
          <w:tcPr>
            <w:tcW w:w="96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7.26. Royalty and Other Payments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500"/>
        </w:trPr>
        <w:tc>
          <w:tcPr>
            <w:tcW w:w="966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8 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 and</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12"/>
        </w:trPr>
        <w:tc>
          <w:tcPr>
            <w:tcW w:w="96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8.01. Financial Statements and Other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8.02. Notices of Material Events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8.03. Existence; Maintenance of Properties, Etc</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8.04. Payment of Obligations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8.05. Insurance</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8.06. Books and Records; Inspection Rights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8.07. Compliance with Laws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8.08. Licenses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8.09. Action under Environmental Laws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8.10. Use of Proceeds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16"/>
        </w:trPr>
        <w:tc>
          <w:tcPr>
            <w:tcW w:w="966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8.11. Certain Obligations Respecting Subsidiaries; Further Assurances</w:t>
            </w:r>
          </w:p>
        </w:tc>
        <w:tc>
          <w:tcPr>
            <w:tcW w:w="15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70</w:t>
            </w:r>
          </w:p>
        </w:tc>
      </w:tr>
      <w:tr>
        <w:trPr>
          <w:trHeight w:val="256"/>
        </w:trPr>
        <w:tc>
          <w:tcPr>
            <w:tcW w:w="966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8.12. Termination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Permitted Liens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57"/>
        </w:trPr>
        <w:tc>
          <w:tcPr>
            <w:tcW w:w="966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8.13.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Consolidation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3"/>
        </w:trPr>
        <w:tc>
          <w:tcPr>
            <w:tcW w:w="966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8.14.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8.15. Financial Covenants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8.16. Maintenance of Regulatory Approvals, Contracts, Intellectual Property, Etc.</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8.17. Cash Management</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8.18. Post-Closing Obligations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82"/>
        </w:trPr>
        <w:tc>
          <w:tcPr>
            <w:tcW w:w="96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8.19. Warrant Certificate</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500"/>
        </w:trPr>
        <w:tc>
          <w:tcPr>
            <w:tcW w:w="966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9 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12"/>
        </w:trPr>
        <w:tc>
          <w:tcPr>
            <w:tcW w:w="96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9.01. Indebtedness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9.02. Liens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9.03. Fundamental Changes and Acquisitions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96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9.04. Lines of Business</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82"/>
        </w:trPr>
        <w:tc>
          <w:tcPr>
            <w:tcW w:w="96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9.05.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447"/>
        </w:trPr>
        <w:tc>
          <w:tcPr>
            <w:tcW w:w="96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tcPr>
          <w:p>
            <w:pPr>
              <w:spacing w:after="0"/>
              <w:rPr>
                <w:sz w:val="24"/>
                <w:szCs w:val="24"/>
                <w:color w:val="auto"/>
              </w:rPr>
            </w:pPr>
          </w:p>
        </w:tc>
      </w:tr>
      <w:tr>
        <w:trPr>
          <w:trHeight w:val="776"/>
        </w:trPr>
        <w:tc>
          <w:tcPr>
            <w:tcW w:w="9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9.06. Restricted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9.07. Payments of Indebtedness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9.08. Change in Fiscal Year</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9.09. Sales of Assets, Etc</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9.10. Transactions with Affiliates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9.11. Restrictive Agreements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9.12. Organizational Documents, Material Agreements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9.13. Reserved.</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9.14. Sales and Leasebacks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9.15. Hazardous Material</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9.16. Accounting Changes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9.17. Compliance with ERISA</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9.18. Deposit Accounts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9.19. Outbound Licenses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9.20. Inbound Licenses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8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9.21. Reimbursement from Third-Party Payor Program</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499"/>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10 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1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10.01. Events of Default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10.02. Remedies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8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10.03. Exit Fee; Prepayment Premium and Redemption Price</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500"/>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11 G</w:t>
            </w:r>
            <w:r>
              <w:rPr>
                <w:rFonts w:ascii="Times New Roman" w:cs="Times New Roman" w:eastAsia="Times New Roman" w:hAnsi="Times New Roman"/>
                <w:sz w:val="14"/>
                <w:szCs w:val="14"/>
                <w:color w:val="auto"/>
              </w:rPr>
              <w:t>uarantee</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1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11.01. The Guarantee</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11.02. Obligations Unconditional</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11.03. Reinstatement</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11.04. Subrogation</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11.05. Remedies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11.06. Instrument for the Payment of Money</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11.07. Continuing Guarantee</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11.08. Rights of Contribution</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8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11.09. General Limitation on Guarantee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500"/>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12 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1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12.01. Appointment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12.02. Rights as a Lender</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12.03. Exculpatory Provisions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12.04. Reliance by Administrative Agent</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12.05. Delegation of Duties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16"/>
        </w:trPr>
        <w:tc>
          <w:tcPr>
            <w:tcW w:w="932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Section 12.06. Resignation of Agent</w:t>
            </w:r>
          </w:p>
        </w:tc>
        <w:tc>
          <w:tcPr>
            <w:tcW w:w="19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93</w:t>
            </w:r>
          </w:p>
        </w:tc>
      </w:tr>
      <w:tr>
        <w:trPr>
          <w:trHeight w:val="283"/>
        </w:trPr>
        <w:tc>
          <w:tcPr>
            <w:tcW w:w="932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Section 12.07.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 on Administrative Agent and Other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43"/>
        </w:trPr>
        <w:tc>
          <w:tcPr>
            <w:tcW w:w="93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12.08. Administrative Agent May File Proofs of Claim</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8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12.09. Collateral and Guaranty Matters; Appointment of Collateral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499"/>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22"/>
                <w:szCs w:val="22"/>
                <w:color w:val="auto"/>
              </w:rPr>
              <w:t xml:space="preserve"> 13 M</w:t>
            </w:r>
            <w:r>
              <w:rPr>
                <w:rFonts w:ascii="Times New Roman" w:cs="Times New Roman" w:eastAsia="Times New Roman" w:hAnsi="Times New Roman"/>
                <w:sz w:val="14"/>
                <w:szCs w:val="14"/>
                <w:color w:val="auto"/>
              </w:rPr>
              <w:t>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1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13.01. No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82"/>
        </w:trPr>
        <w:tc>
          <w:tcPr>
            <w:tcW w:w="93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Section 13.02. Notices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447"/>
        </w:trPr>
        <w:tc>
          <w:tcPr>
            <w:tcW w:w="93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51</w:t>
            </w:r>
          </w:p>
        </w:tc>
        <w:tc>
          <w:tcPr>
            <w:tcW w:w="1920" w:type="dxa"/>
            <w:vAlign w:val="bottom"/>
          </w:tcPr>
          <w:p>
            <w:pPr>
              <w:spacing w:after="0"/>
              <w:rPr>
                <w:sz w:val="24"/>
                <w:szCs w:val="24"/>
                <w:color w:val="auto"/>
              </w:rPr>
            </w:pPr>
          </w:p>
        </w:tc>
      </w:tr>
      <w:tr>
        <w:trPr>
          <w:trHeight w:val="776"/>
        </w:trPr>
        <w:tc>
          <w:tcPr>
            <w:tcW w:w="9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3"/>
        </w:trPr>
        <w:tc>
          <w:tcPr>
            <w:tcW w:w="8540" w:type="dxa"/>
            <w:vAlign w:val="bottom"/>
            <w:gridSpan w:val="5"/>
          </w:tcPr>
          <w:p>
            <w:pPr>
              <w:ind w:left="540"/>
              <w:spacing w:after="0"/>
              <w:rPr>
                <w:sz w:val="20"/>
                <w:szCs w:val="20"/>
                <w:color w:val="auto"/>
              </w:rPr>
            </w:pPr>
            <w:r>
              <w:rPr>
                <w:rFonts w:ascii="Times New Roman" w:cs="Times New Roman" w:eastAsia="Times New Roman" w:hAnsi="Times New Roman"/>
                <w:sz w:val="22"/>
                <w:szCs w:val="22"/>
                <w:color w:val="auto"/>
              </w:rPr>
              <w:t>Section 13.03. Expenses, Indemnification, Etc</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13.04. Amendments, Etc</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13.05. Successors and Assigns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98</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13.06. Survival</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13.07. Captions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13.08. Counterparts</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13.09. Governing Law</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13.10. Jurisdiction, Service of Process and Venue</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13.11. Waiver of Jury Trial</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13.12. Waiver of Immunity</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13.13. Entire Agreement</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13.14. Severability</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13.15. No Fiduciary Relationship</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13.16. USA Patriot Act</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8540" w:type="dxa"/>
            <w:vAlign w:val="bottom"/>
            <w:gridSpan w:val="5"/>
          </w:tcPr>
          <w:p>
            <w:pPr>
              <w:ind w:left="540"/>
              <w:spacing w:after="0" w:line="243" w:lineRule="exact"/>
              <w:rPr>
                <w:sz w:val="20"/>
                <w:szCs w:val="20"/>
                <w:color w:val="auto"/>
              </w:rPr>
            </w:pPr>
            <w:r>
              <w:rPr>
                <w:rFonts w:ascii="Times New Roman" w:cs="Times New Roman" w:eastAsia="Times New Roman" w:hAnsi="Times New Roman"/>
                <w:sz w:val="22"/>
                <w:szCs w:val="22"/>
                <w:color w:val="auto"/>
              </w:rPr>
              <w:t>Section 13.17. Treatment of Certain Information; Confidentiality</w:t>
            </w:r>
          </w:p>
        </w:tc>
        <w:tc>
          <w:tcPr>
            <w:tcW w:w="2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82"/>
        </w:trPr>
        <w:tc>
          <w:tcPr>
            <w:tcW w:w="8540" w:type="dxa"/>
            <w:vAlign w:val="bottom"/>
            <w:gridSpan w:val="5"/>
          </w:tcPr>
          <w:p>
            <w:pPr>
              <w:ind w:left="540"/>
              <w:spacing w:after="0"/>
              <w:rPr>
                <w:sz w:val="20"/>
                <w:szCs w:val="20"/>
                <w:color w:val="auto"/>
              </w:rPr>
            </w:pPr>
            <w:r>
              <w:rPr>
                <w:rFonts w:ascii="Times New Roman" w:cs="Times New Roman" w:eastAsia="Times New Roman" w:hAnsi="Times New Roman"/>
                <w:sz w:val="22"/>
                <w:szCs w:val="22"/>
                <w:color w:val="auto"/>
              </w:rPr>
              <w:t>Section 13.18. Releases of Guarantees and Liens</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chedules</w:t>
            </w: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7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w:t>
            </w:r>
          </w:p>
        </w:tc>
        <w:tc>
          <w:tcPr>
            <w:tcW w:w="34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Commitments</w:t>
            </w:r>
          </w:p>
        </w:tc>
        <w:tc>
          <w:tcPr>
            <w:tcW w:w="2700" w:type="dxa"/>
            <w:vAlign w:val="bottom"/>
          </w:tcPr>
          <w:p>
            <w:pPr>
              <w:spacing w:after="0"/>
              <w:rPr>
                <w:sz w:val="24"/>
                <w:szCs w:val="24"/>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2</w:t>
            </w:r>
          </w:p>
        </w:tc>
        <w:tc>
          <w:tcPr>
            <w:tcW w:w="340" w:type="dxa"/>
            <w:vAlign w:val="bottom"/>
          </w:tcPr>
          <w:p>
            <w:pPr>
              <w:spacing w:after="0"/>
              <w:rPr>
                <w:sz w:val="21"/>
                <w:szCs w:val="21"/>
                <w:color w:val="auto"/>
              </w:rPr>
            </w:pP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Notice Addresses</w:t>
            </w:r>
          </w:p>
        </w:tc>
        <w:tc>
          <w:tcPr>
            <w:tcW w:w="2700" w:type="dxa"/>
            <w:vAlign w:val="bottom"/>
          </w:tcPr>
          <w:p>
            <w:pPr>
              <w:spacing w:after="0"/>
              <w:rPr>
                <w:sz w:val="21"/>
                <w:szCs w:val="2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3</w:t>
            </w:r>
          </w:p>
        </w:tc>
        <w:tc>
          <w:tcPr>
            <w:tcW w:w="340" w:type="dxa"/>
            <w:vAlign w:val="bottom"/>
          </w:tcPr>
          <w:p>
            <w:pPr>
              <w:spacing w:after="0"/>
              <w:rPr>
                <w:sz w:val="21"/>
                <w:szCs w:val="21"/>
                <w:color w:val="auto"/>
              </w:rPr>
            </w:pPr>
          </w:p>
        </w:tc>
        <w:tc>
          <w:tcPr>
            <w:tcW w:w="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Products</w:t>
            </w:r>
          </w:p>
        </w:tc>
        <w:tc>
          <w:tcPr>
            <w:tcW w:w="2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7.05(b)</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Obligor Intellectual Property</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7.14</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Material Agreements</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7.15</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Restrictive Agreements</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7.16</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Real Property</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7.17</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Pension Matters</w:t>
            </w:r>
          </w:p>
        </w:tc>
        <w:tc>
          <w:tcPr>
            <w:tcW w:w="2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7.19(b)</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Regulatory Approvals</w:t>
            </w:r>
          </w:p>
        </w:tc>
        <w:tc>
          <w:tcPr>
            <w:tcW w:w="2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7.19(e)</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Regulatory Notices</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7.20</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7.22</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Broker’s Fee</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7.26</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Royalty and Other Payments</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8.18</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Post-Closing Obligations</w:t>
            </w:r>
          </w:p>
        </w:tc>
        <w:tc>
          <w:tcPr>
            <w:tcW w:w="2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9.01(a)</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Permitted Indebtedness</w:t>
            </w:r>
          </w:p>
        </w:tc>
        <w:tc>
          <w:tcPr>
            <w:tcW w:w="2700" w:type="dxa"/>
            <w:vAlign w:val="bottom"/>
          </w:tcPr>
          <w:p>
            <w:pPr>
              <w:spacing w:after="0"/>
              <w:rPr>
                <w:sz w:val="21"/>
                <w:szCs w:val="21"/>
                <w:color w:val="auto"/>
              </w:rPr>
            </w:pPr>
          </w:p>
        </w:tc>
      </w:tr>
      <w:tr>
        <w:trPr>
          <w:trHeight w:val="243"/>
        </w:trPr>
        <w:tc>
          <w:tcPr>
            <w:tcW w:w="1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9.02(b)</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Permitted Liens</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9.05</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Existing Investments</w:t>
            </w:r>
          </w:p>
        </w:tc>
        <w:tc>
          <w:tcPr>
            <w:tcW w:w="2700" w:type="dxa"/>
            <w:vAlign w:val="bottom"/>
          </w:tcPr>
          <w:p>
            <w:pPr>
              <w:spacing w:after="0"/>
              <w:rPr>
                <w:sz w:val="21"/>
                <w:szCs w:val="21"/>
                <w:color w:val="auto"/>
              </w:rPr>
            </w:pPr>
          </w:p>
        </w:tc>
      </w:tr>
      <w:tr>
        <w:trPr>
          <w:trHeight w:val="282"/>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9.10</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2700" w:type="dxa"/>
            <w:vAlign w:val="bottom"/>
          </w:tcPr>
          <w:p>
            <w:pPr>
              <w:spacing w:after="0"/>
              <w:rPr>
                <w:sz w:val="24"/>
                <w:szCs w:val="24"/>
                <w:color w:val="auto"/>
              </w:rPr>
            </w:pPr>
          </w:p>
        </w:tc>
      </w:tr>
      <w:tr>
        <w:trPr>
          <w:trHeight w:val="486"/>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xhibits</w:t>
            </w: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9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Form of Guarantee Assumption Agreement</w:t>
            </w:r>
          </w:p>
        </w:tc>
        <w:tc>
          <w:tcPr>
            <w:tcW w:w="2700" w:type="dxa"/>
            <w:vAlign w:val="bottom"/>
          </w:tcPr>
          <w:p>
            <w:pPr>
              <w:spacing w:after="0"/>
              <w:rPr>
                <w:sz w:val="24"/>
                <w:szCs w:val="24"/>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Borrowing Notice</w:t>
            </w:r>
          </w:p>
        </w:tc>
        <w:tc>
          <w:tcPr>
            <w:tcW w:w="2700" w:type="dxa"/>
            <w:vAlign w:val="bottom"/>
          </w:tcPr>
          <w:p>
            <w:pPr>
              <w:spacing w:after="0"/>
              <w:rPr>
                <w:sz w:val="21"/>
                <w:szCs w:val="2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Note</w:t>
            </w:r>
          </w:p>
        </w:tc>
        <w:tc>
          <w:tcPr>
            <w:tcW w:w="2700" w:type="dxa"/>
            <w:vAlign w:val="bottom"/>
          </w:tcPr>
          <w:p>
            <w:pPr>
              <w:spacing w:after="0"/>
              <w:rPr>
                <w:sz w:val="21"/>
                <w:szCs w:val="2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D</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U.S. Tax Compliance Certificate</w:t>
            </w:r>
          </w:p>
        </w:tc>
        <w:tc>
          <w:tcPr>
            <w:tcW w:w="2700" w:type="dxa"/>
            <w:vAlign w:val="bottom"/>
          </w:tcPr>
          <w:p>
            <w:pPr>
              <w:spacing w:after="0"/>
              <w:rPr>
                <w:sz w:val="21"/>
                <w:szCs w:val="2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E</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Compliance Certificate</w:t>
            </w:r>
          </w:p>
        </w:tc>
        <w:tc>
          <w:tcPr>
            <w:tcW w:w="2700" w:type="dxa"/>
            <w:vAlign w:val="bottom"/>
          </w:tcPr>
          <w:p>
            <w:pPr>
              <w:spacing w:after="0"/>
              <w:rPr>
                <w:sz w:val="21"/>
                <w:szCs w:val="2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F</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Assignment Agreement</w:t>
            </w:r>
          </w:p>
        </w:tc>
        <w:tc>
          <w:tcPr>
            <w:tcW w:w="2700" w:type="dxa"/>
            <w:vAlign w:val="bottom"/>
          </w:tcPr>
          <w:p>
            <w:pPr>
              <w:spacing w:after="0"/>
              <w:rPr>
                <w:sz w:val="21"/>
                <w:szCs w:val="2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G</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Security Agreement</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H-1 —</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Patent &amp; Trademark Security Agreement</w:t>
            </w:r>
          </w:p>
        </w:tc>
        <w:tc>
          <w:tcPr>
            <w:tcW w:w="2700" w:type="dxa"/>
            <w:vAlign w:val="bottom"/>
          </w:tcPr>
          <w:p>
            <w:pPr>
              <w:spacing w:after="0"/>
              <w:rPr>
                <w:sz w:val="21"/>
                <w:szCs w:val="21"/>
                <w:color w:val="auto"/>
              </w:rPr>
            </w:pPr>
          </w:p>
        </w:tc>
      </w:tr>
      <w:tr>
        <w:trPr>
          <w:trHeight w:val="243"/>
        </w:trPr>
        <w:tc>
          <w:tcPr>
            <w:tcW w:w="1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H-2 —</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Copyright Security Agreement</w:t>
            </w:r>
          </w:p>
        </w:tc>
        <w:tc>
          <w:tcPr>
            <w:tcW w:w="2700" w:type="dxa"/>
            <w:vAlign w:val="bottom"/>
          </w:tcPr>
          <w:p>
            <w:pPr>
              <w:spacing w:after="0"/>
              <w:rPr>
                <w:sz w:val="21"/>
                <w:szCs w:val="2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I</w:t>
            </w:r>
          </w:p>
        </w:tc>
        <w:tc>
          <w:tcPr>
            <w:tcW w:w="3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Form of Collateral Questionnaire</w:t>
            </w:r>
          </w:p>
        </w:tc>
        <w:tc>
          <w:tcPr>
            <w:tcW w:w="2700" w:type="dxa"/>
            <w:vAlign w:val="bottom"/>
          </w:tcPr>
          <w:p>
            <w:pPr>
              <w:spacing w:after="0"/>
              <w:rPr>
                <w:sz w:val="21"/>
                <w:szCs w:val="2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J</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Form of Warrant Certificate</w:t>
            </w:r>
          </w:p>
        </w:tc>
        <w:tc>
          <w:tcPr>
            <w:tcW w:w="2700" w:type="dxa"/>
            <w:vAlign w:val="bottom"/>
          </w:tcPr>
          <w:p>
            <w:pPr>
              <w:spacing w:after="0"/>
              <w:rPr>
                <w:sz w:val="24"/>
                <w:szCs w:val="24"/>
                <w:color w:val="auto"/>
              </w:rPr>
            </w:pPr>
          </w:p>
        </w:tc>
      </w:tr>
      <w:tr>
        <w:trPr>
          <w:trHeight w:val="447"/>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52</w:t>
            </w:r>
          </w:p>
        </w:tc>
        <w:tc>
          <w:tcPr>
            <w:tcW w:w="2700" w:type="dxa"/>
            <w:vAlign w:val="bottom"/>
          </w:tcPr>
          <w:p>
            <w:pPr>
              <w:spacing w:after="0"/>
              <w:rPr>
                <w:sz w:val="24"/>
                <w:szCs w:val="24"/>
                <w:color w:val="auto"/>
              </w:rPr>
            </w:pPr>
          </w:p>
        </w:tc>
      </w:tr>
      <w:tr>
        <w:trPr>
          <w:trHeight w:val="776"/>
        </w:trPr>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6" w:name="page57"/>
    <w:bookmarkEnd w:id="56"/>
    <w:p>
      <w:pPr>
        <w:spacing w:after="0" w:line="1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22"/>
          <w:szCs w:val="22"/>
          <w:color w:val="auto"/>
        </w:rPr>
        <w:t xml:space="preserve">, dated as of January 13, 2026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xml:space="preserve">), certain Guarantors from time to time parties hereto, the lenders from time to time party hereto (each, as a </w:t>
      </w: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and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 a Delaware limited partnership (</w:t>
      </w:r>
      <w:r>
        <w:rPr>
          <w:rFonts w:ascii="Times New Roman" w:cs="Times New Roman" w:eastAsia="Times New Roman" w:hAnsi="Times New Roman"/>
          <w:sz w:val="22"/>
          <w:szCs w:val="22"/>
          <w:i w:val="1"/>
          <w:iCs w:val="1"/>
          <w:color w:val="auto"/>
        </w:rPr>
        <w:t>“Perceptive”</w:t>
      </w:r>
      <w:r>
        <w:rPr>
          <w:rFonts w:ascii="Times New Roman" w:cs="Times New Roman" w:eastAsia="Times New Roman" w:hAnsi="Times New Roman"/>
          <w:sz w:val="22"/>
          <w:szCs w:val="22"/>
          <w:color w:val="auto"/>
        </w:rPr>
        <w:t xml:space="preserve">), as a Lender and as administrative agent for the Lenders (in such capacity, together with its successors and assigns,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itnesseth</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Borrower has requested that the Lenders make certain term loans to the Borrower, and the Lenders are prepared to make such loans on and subject to the terms and conditions hereof. Accordingly, the parties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p>
    <w:p>
      <w:pPr>
        <w:spacing w:after="0" w:line="98"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1.01.</w:t>
      </w:r>
      <w:r>
        <w:rPr>
          <w:sz w:val="20"/>
          <w:szCs w:val="20"/>
          <w:color w:val="auto"/>
        </w:rPr>
        <w:tab/>
      </w:r>
      <w:r>
        <w:rPr>
          <w:rFonts w:ascii="Times New Roman" w:cs="Times New Roman" w:eastAsia="Times New Roman" w:hAnsi="Times New Roman"/>
          <w:sz w:val="21"/>
          <w:szCs w:val="21"/>
          <w:i w:val="1"/>
          <w:iCs w:val="1"/>
          <w:color w:val="auto"/>
        </w:rPr>
        <w:t>Certain Defined Terms</w:t>
      </w:r>
      <w:r>
        <w:rPr>
          <w:rFonts w:ascii="Times New Roman" w:cs="Times New Roman" w:eastAsia="Times New Roman" w:hAnsi="Times New Roman"/>
          <w:sz w:val="21"/>
          <w:szCs w:val="21"/>
          <w:color w:val="auto"/>
        </w:rPr>
        <w:t>. As used herein, the following terms have the following respective meanings:</w:t>
      </w:r>
    </w:p>
    <w:p>
      <w:pPr>
        <w:spacing w:after="0" w:line="23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“510(k)” </w:t>
      </w:r>
      <w:r>
        <w:rPr>
          <w:rFonts w:ascii="Times New Roman" w:cs="Times New Roman" w:eastAsia="Times New Roman" w:hAnsi="Times New Roman"/>
          <w:sz w:val="22"/>
          <w:szCs w:val="22"/>
          <w:color w:val="auto"/>
        </w:rPr>
        <w:t>means (a) any premarket notification and corresponding FDA clearance for a Device pursuant to FDA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(b) any corresponding or substantially equivalent notification, application or clearance of a non-U.S. Regulatory Authority, and (c) all amendments, supplements and other additions and modifications thereto, and all documents, data and other information concerning any applicable Device which are necessary for, filed with, incorporated by reference in, or otherwise supportive of any of the foregoing.</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w:t>
      </w:r>
      <w:r>
        <w:rPr>
          <w:rFonts w:ascii="Times New Roman" w:cs="Times New Roman" w:eastAsia="Times New Roman" w:hAnsi="Times New Roman"/>
          <w:sz w:val="22"/>
          <w:szCs w:val="22"/>
          <w:color w:val="auto"/>
        </w:rPr>
        <w:t>has the meaning set forth in Section 1.02.</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Notice” </w:t>
      </w:r>
      <w:r>
        <w:rPr>
          <w:rFonts w:ascii="Times New Roman" w:cs="Times New Roman" w:eastAsia="Times New Roman" w:hAnsi="Times New Roman"/>
          <w:sz w:val="22"/>
          <w:szCs w:val="22"/>
          <w:color w:val="auto"/>
        </w:rPr>
        <w:t>has the meaning set forth in Section 1.02.</w:t>
      </w:r>
    </w:p>
    <w:p>
      <w:pPr>
        <w:spacing w:after="0" w:line="233"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“Acquisition” </w:t>
      </w:r>
      <w:r>
        <w:rPr>
          <w:rFonts w:ascii="Times New Roman" w:cs="Times New Roman" w:eastAsia="Times New Roman" w:hAnsi="Times New Roman"/>
          <w:sz w:val="21"/>
          <w:szCs w:val="21"/>
          <w:color w:val="auto"/>
        </w:rPr>
        <w:t>means any transaction, or any series of related transactions, by which any Person directly or indirectly,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of a take-over bid, tender offer, amalgamation, merger, purchase of assets, or similar transaction having the same effect as any of the foregoing, (a) acquires all or substantially all of the assets of any Person engaged in any business, (b) acquires all or substantially all of a business line or unit or division of any other Person, (c) acquires Control of securities of a Person engaged in a business representing more than 50% of the ordinary voting power for the election of directors or other governing body if the business affairs of such Person are managed by a Board or other governing body, or (d) acquires Control of more than 50% of the ownership interest in any Person engaged in any business that is not managed by a Board or other governing body.</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has the meaning set forth in Section 13.16.</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has the meaning set forth in the introduction hereto.</w:t>
      </w:r>
    </w:p>
    <w:p>
      <w:pPr>
        <w:spacing w:after="0" w:line="16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with respect to a specified Person, another Person that directly, or indirectly through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intermediaries, Controls or is Controlled by or is under common Control with the Person specified.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has the meaning set forth in the introduction hereto.</w:t>
      </w:r>
    </w:p>
    <w:p>
      <w:pPr>
        <w:spacing w:after="0" w:line="179"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“Anti-Corruption Laws” </w:t>
      </w:r>
      <w:r>
        <w:rPr>
          <w:rFonts w:ascii="Times New Roman" w:cs="Times New Roman" w:eastAsia="Times New Roman" w:hAnsi="Times New Roman"/>
          <w:sz w:val="22"/>
          <w:szCs w:val="22"/>
          <w:color w:val="auto"/>
        </w:rPr>
        <w:t>means all laws, rules and regulations of any jurisdiction applicable to the Obligors and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Affiliates concerning or relating to bribery or corruption, including, without limitation, the Foreign Corrupt Practices Act of 1977, as amended.</w:t>
      </w:r>
    </w:p>
    <w:p>
      <w:pPr>
        <w:spacing w:after="0" w:line="96"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Terrorism Laws” </w:t>
      </w:r>
      <w:r>
        <w:rPr>
          <w:rFonts w:ascii="Times New Roman" w:cs="Times New Roman" w:eastAsia="Times New Roman" w:hAnsi="Times New Roman"/>
          <w:sz w:val="22"/>
          <w:szCs w:val="22"/>
          <w:color w:val="auto"/>
        </w:rPr>
        <w:t>means any laws or regulations relating to terrorism or money laundering, including,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limitation the </w:t>
      </w:r>
      <w:r>
        <w:rPr>
          <w:rFonts w:ascii="Times New Roman" w:cs="Times New Roman" w:eastAsia="Times New Roman" w:hAnsi="Times New Roman"/>
          <w:sz w:val="22"/>
          <w:szCs w:val="22"/>
          <w:i w:val="1"/>
          <w:iCs w:val="1"/>
          <w:color w:val="auto"/>
        </w:rPr>
        <w:t>Bank Secrecy Act</w:t>
      </w:r>
      <w:r>
        <w:rPr>
          <w:rFonts w:ascii="Times New Roman" w:cs="Times New Roman" w:eastAsia="Times New Roman" w:hAnsi="Times New Roman"/>
          <w:sz w:val="22"/>
          <w:szCs w:val="22"/>
          <w:color w:val="auto"/>
        </w:rPr>
        <w:t xml:space="preserve"> (31 U.S.C. §§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Money Laundering Control Act of 1986</w:t>
      </w:r>
      <w:r>
        <w:rPr>
          <w:rFonts w:ascii="Times New Roman" w:cs="Times New Roman" w:eastAsia="Times New Roman" w:hAnsi="Times New Roman"/>
          <w:sz w:val="22"/>
          <w:szCs w:val="22"/>
          <w:color w:val="auto"/>
        </w:rPr>
        <w:t xml:space="preserve"> (18 U.S.C. §§ 1956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 the USA Patriot Act and any similar law enacted in the United States after the date of this Agreement.</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means 7.50% per annum.</w:t>
      </w:r>
    </w:p>
    <w:p>
      <w:pPr>
        <w:spacing w:after="0" w:line="17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“Approved Fund” </w:t>
      </w:r>
      <w:r>
        <w:rPr>
          <w:rFonts w:ascii="Times New Roman" w:cs="Times New Roman" w:eastAsia="Times New Roman" w:hAnsi="Times New Roman"/>
          <w:sz w:val="21"/>
          <w:szCs w:val="21"/>
          <w:color w:val="auto"/>
        </w:rPr>
        <w:t>means any Person (other than a natural person) that is engaged in making, purchasing, holding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“Asset Sale” </w:t>
      </w:r>
      <w:r>
        <w:rPr>
          <w:rFonts w:ascii="Times New Roman" w:cs="Times New Roman" w:eastAsia="Times New Roman" w:hAnsi="Times New Roman"/>
          <w:sz w:val="22"/>
          <w:szCs w:val="22"/>
          <w:color w:val="auto"/>
        </w:rPr>
        <w:t>has the meaning set forth in Section 9.09.</w:t>
      </w:r>
    </w:p>
    <w:p>
      <w:pPr>
        <w:spacing w:after="0" w:line="16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“Assignment Agreement” </w:t>
      </w:r>
      <w:r>
        <w:rPr>
          <w:rFonts w:ascii="Times New Roman" w:cs="Times New Roman" w:eastAsia="Times New Roman" w:hAnsi="Times New Roman"/>
          <w:sz w:val="22"/>
          <w:szCs w:val="22"/>
          <w:color w:val="auto"/>
        </w:rPr>
        <w:t>means an assignment and assumption entered into by a Lender and an assignee of such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substantially the form of Exhibit F.</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“ASX” </w:t>
      </w:r>
      <w:r>
        <w:rPr>
          <w:rFonts w:ascii="Times New Roman" w:cs="Times New Roman" w:eastAsia="Times New Roman" w:hAnsi="Times New Roman"/>
          <w:sz w:val="22"/>
          <w:szCs w:val="22"/>
          <w:color w:val="auto"/>
        </w:rPr>
        <w:t>means the Australian Securities Exchange.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“Available Tenor” </w:t>
      </w:r>
      <w:r>
        <w:rPr>
          <w:rFonts w:ascii="Times New Roman" w:cs="Times New Roman" w:eastAsia="Times New Roman" w:hAnsi="Times New Roman"/>
          <w:sz w:val="21"/>
          <w:szCs w:val="21"/>
          <w:color w:val="auto"/>
        </w:rPr>
        <w:t>means, as of the Closing Date, the only Available Tenor for Term SOFR is an interest period of one</w:t>
      </w:r>
    </w:p>
    <w:p>
      <w:pPr>
        <w:spacing w:after="0" w:line="30" w:lineRule="exact"/>
        <w:rPr>
          <w:sz w:val="20"/>
          <w:szCs w:val="20"/>
          <w:color w:val="auto"/>
        </w:rPr>
      </w:pPr>
    </w:p>
    <w:p>
      <w:pPr>
        <w:ind w:firstLine="8"/>
        <w:spacing w:after="0" w:line="237" w:lineRule="auto"/>
        <w:tabs>
          <w:tab w:leader="none" w:pos="31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may select to use additional interest periods in accordance with the terms of Section 3.02(c)(iv) and such interest periods shall become Available Tenors upon such selection.</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“Avita Americas” </w:t>
      </w:r>
      <w:r>
        <w:rPr>
          <w:rFonts w:ascii="Times New Roman" w:cs="Times New Roman" w:eastAsia="Times New Roman" w:hAnsi="Times New Roman"/>
          <w:sz w:val="22"/>
          <w:szCs w:val="22"/>
          <w:color w:val="auto"/>
        </w:rPr>
        <w:t>means Avita Medical Americas, LLC, a Delaware limited liability company.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AVITA Japan</w:t>
      </w:r>
      <w:r>
        <w:rPr>
          <w:rFonts w:ascii="Times New Roman" w:cs="Times New Roman" w:eastAsia="Times New Roman" w:hAnsi="Times New Roman"/>
          <w:sz w:val="22"/>
          <w:szCs w:val="22"/>
          <w:color w:val="auto"/>
        </w:rPr>
        <w:t>” means AVITA Medical Japan GK, a Japanese company established with limited liability.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means Title 11 of the United States Code entitled “Bankruptcy.”</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3.02(c).</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means the first alternative set forth in the order below that can be determined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for the applicable Benchmark Replacement Date:</w:t>
      </w:r>
    </w:p>
    <w:p>
      <w:pPr>
        <w:spacing w:after="0" w:line="88" w:lineRule="exact"/>
        <w:rPr>
          <w:sz w:val="20"/>
          <w:szCs w:val="20"/>
          <w:color w:val="auto"/>
        </w:rPr>
      </w:pPr>
    </w:p>
    <w:p>
      <w:pPr>
        <w:ind w:left="1920" w:hanging="415"/>
        <w:spacing w:after="0"/>
        <w:tabs>
          <w:tab w:leader="none" w:pos="19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Simple SOFR; or</w:t>
      </w:r>
    </w:p>
    <w:p>
      <w:pPr>
        <w:spacing w:after="0" w:line="11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1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a date and time determined by the Administrative Agent, which date shall be no later than the earliest to occur of the following events with respect to the then-current Benchmark:</w:t>
      </w:r>
    </w:p>
    <w:p>
      <w:pPr>
        <w:spacing w:after="0" w:line="194" w:lineRule="exact"/>
        <w:rPr>
          <w:sz w:val="20"/>
          <w:szCs w:val="20"/>
          <w:color w:val="auto"/>
        </w:rPr>
      </w:pPr>
    </w:p>
    <w:p>
      <w:pPr>
        <w:jc w:val="both"/>
        <w:ind w:left="760" w:firstLine="745"/>
        <w:spacing w:after="0" w:line="239" w:lineRule="auto"/>
        <w:tabs>
          <w:tab w:leader="none" w:pos="192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5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non-representativeness will be determined by reference to the most recent statement or publication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referenced in such clause (c) and even if any Available Tenor of such Benchmark (or such component thereof) continues to be provided on such date.</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1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59" w:lineRule="exact"/>
        <w:rPr>
          <w:sz w:val="20"/>
          <w:szCs w:val="20"/>
          <w:color w:val="auto"/>
        </w:rPr>
      </w:pPr>
    </w:p>
    <w:p>
      <w:pPr>
        <w:jc w:val="both"/>
        <w:ind w:left="760" w:firstLine="745"/>
        <w:spacing w:after="0" w:line="238" w:lineRule="auto"/>
        <w:tabs>
          <w:tab w:leader="none" w:pos="192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82" w:lineRule="exact"/>
        <w:rPr>
          <w:rFonts w:ascii="Times New Roman" w:cs="Times New Roman" w:eastAsia="Times New Roman" w:hAnsi="Times New Roman"/>
          <w:sz w:val="22"/>
          <w:szCs w:val="22"/>
          <w:color w:val="auto"/>
        </w:rPr>
      </w:pPr>
    </w:p>
    <w:p>
      <w:pPr>
        <w:ind w:left="760" w:firstLine="745"/>
        <w:spacing w:after="0" w:line="258" w:lineRule="auto"/>
        <w:tabs>
          <w:tab w:leader="none" w:pos="193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59" w:name="page60"/>
    <w:bookmarkEnd w:id="59"/>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 xml:space="preserve">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97" w:lineRule="exact"/>
        <w:rPr>
          <w:sz w:val="20"/>
          <w:szCs w:val="20"/>
          <w:color w:val="auto"/>
        </w:rPr>
      </w:pPr>
    </w:p>
    <w:p>
      <w:pPr>
        <w:jc w:val="both"/>
        <w:ind w:left="760" w:firstLine="745"/>
        <w:spacing w:after="0" w:line="244" w:lineRule="auto"/>
        <w:tabs>
          <w:tab w:leader="none" w:pos="193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has the meaning set forth in Section 13.16.</w:t>
      </w:r>
    </w:p>
    <w:p>
      <w:pPr>
        <w:spacing w:after="0" w:line="16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“Benefit Plan” </w:t>
      </w:r>
      <w:r>
        <w:rPr>
          <w:rFonts w:ascii="Times New Roman" w:cs="Times New Roman" w:eastAsia="Times New Roman" w:hAnsi="Times New Roman"/>
          <w:sz w:val="22"/>
          <w:szCs w:val="22"/>
          <w:color w:val="auto"/>
        </w:rPr>
        <w:t>means any “employee benefit plan” as defined in Section 3(3) of ERISA (other than a Multiemployer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to which any Obligor or Subsidiary thereof incurs or otherwise has any obligation or liability, contingent or otherwise.</w:t>
      </w:r>
    </w:p>
    <w:p>
      <w:pPr>
        <w:spacing w:after="0" w:line="10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with respect to any Person, the board of managers or directors (as applicable) (or equivalent governing body) of such Person or any committee thereof.</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has the meaning set forth in the introduction hereto.</w:t>
      </w:r>
    </w:p>
    <w:p>
      <w:pPr>
        <w:spacing w:after="0" w:line="16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means a borrowing consisting of the Tranche A Term Loan made by the Lenders on the Closing Date or the Tranche B Term Loan made by the Lenders on the Tranche B Term Loan Borrowing Date, as applicable.</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means a notice substantially in the form attached hereto as Exhibit B.</w:t>
      </w:r>
    </w:p>
    <w:p>
      <w:pPr>
        <w:spacing w:after="0" w:line="17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 day (other than a Saturday or Sunday) on which commercial banks are not authorized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to close in New York City.</w:t>
      </w:r>
    </w:p>
    <w:p>
      <w:pPr>
        <w:spacing w:after="0" w:line="1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“Capital Lease Obligations” </w:t>
      </w:r>
      <w:r>
        <w:rPr>
          <w:rFonts w:ascii="Times New Roman" w:cs="Times New Roman" w:eastAsia="Times New Roman" w:hAnsi="Times New Roman"/>
          <w:sz w:val="22"/>
          <w:szCs w:val="22"/>
          <w:color w:val="auto"/>
        </w:rPr>
        <w:t>means, as to any Person, the obligations of such Person to pay rent or other amounts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w:t>
      </w:r>
    </w:p>
    <w:p>
      <w:pPr>
        <w:spacing w:after="0" w:line="13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“Casualty Event” </w:t>
      </w:r>
      <w:r>
        <w:rPr>
          <w:rFonts w:ascii="Times New Roman" w:cs="Times New Roman" w:eastAsia="Times New Roman" w:hAnsi="Times New Roman"/>
          <w:sz w:val="22"/>
          <w:szCs w:val="22"/>
          <w:color w:val="auto"/>
        </w:rPr>
        <w:t>means any actual or constructive loss, condemnation, destruction, confiscation, requisition, seizure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forfeiture of all or any material portion of the assets of the Borrower or any other Obligor, excluding only those assets, individually or in the aggregate, subject to any such event during any calendar year with a fair market value as of the date thereof equal to or less than $250,000.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0" w:name="page61"/>
    <w:bookmarkEnd w:id="60"/>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“Change of Control” </w:t>
      </w:r>
      <w:r>
        <w:rPr>
          <w:rFonts w:ascii="Times New Roman" w:cs="Times New Roman" w:eastAsia="Times New Roman" w:hAnsi="Times New Roman"/>
          <w:sz w:val="22"/>
          <w:szCs w:val="22"/>
          <w:color w:val="auto"/>
        </w:rPr>
        <w:t>means and shall be deemed to have occurred if:</w:t>
      </w:r>
    </w:p>
    <w:p>
      <w:pPr>
        <w:spacing w:after="0" w:line="183" w:lineRule="exact"/>
        <w:rPr>
          <w:sz w:val="20"/>
          <w:szCs w:val="20"/>
          <w:color w:val="auto"/>
        </w:rPr>
      </w:pPr>
    </w:p>
    <w:p>
      <w:pPr>
        <w:jc w:val="both"/>
        <w:ind w:left="760" w:firstLine="745"/>
        <w:spacing w:after="0" w:line="244" w:lineRule="auto"/>
        <w:tabs>
          <w:tab w:leader="none" w:pos="195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the Borrower;</w:t>
      </w:r>
    </w:p>
    <w:p>
      <w:pPr>
        <w:spacing w:after="0" w:line="132"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5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twelve (12) consecutive calendar months, the occupation of a majority of the seats (other than vacant seats) on the Board of the Borrower by Persons who were neither (i) nominated or approved by the Board of the Borrower, nor (ii) appointed by directors on the Board on the date hereof or so nominated; and</w:t>
      </w:r>
    </w:p>
    <w:p>
      <w:pPr>
        <w:spacing w:after="0" w:line="132" w:lineRule="exact"/>
        <w:rPr>
          <w:rFonts w:ascii="Times New Roman" w:cs="Times New Roman" w:eastAsia="Times New Roman" w:hAnsi="Times New Roman"/>
          <w:sz w:val="22"/>
          <w:szCs w:val="22"/>
          <w:color w:val="auto"/>
        </w:rPr>
      </w:pPr>
    </w:p>
    <w:p>
      <w:pPr>
        <w:ind w:left="760" w:firstLine="745"/>
        <w:spacing w:after="0" w:line="258" w:lineRule="auto"/>
        <w:tabs>
          <w:tab w:leader="none" w:pos="188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shall cease to own directly, beneficially and of record, determined on a fully diluted basis, 100% of the issued and outstanding Equity Interests of its Subsidiaries.</w:t>
      </w:r>
    </w:p>
    <w:p>
      <w:pPr>
        <w:spacing w:after="0" w:line="127" w:lineRule="exact"/>
        <w:rPr>
          <w:sz w:val="20"/>
          <w:szCs w:val="20"/>
          <w:color w:val="auto"/>
        </w:rPr>
      </w:pPr>
    </w:p>
    <w:p>
      <w:pPr>
        <w:jc w:val="both"/>
        <w:ind w:firstLine="110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“Claims” </w:t>
      </w:r>
      <w:r>
        <w:rPr>
          <w:rFonts w:ascii="Times New Roman" w:cs="Times New Roman" w:eastAsia="Times New Roman" w:hAnsi="Times New Roman"/>
          <w:sz w:val="22"/>
          <w:szCs w:val="22"/>
          <w:color w:val="auto"/>
        </w:rPr>
        <w:t>includes claims, litigation, demands, complaints, grievances, actions, applications, suits, causes of 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orders, charges, indictments, prosecutions, information (brought by a public prosecutor without grand jury indictment) or other similar processes, assessments or reassessments.</w:t>
      </w:r>
    </w:p>
    <w:p>
      <w:pPr>
        <w:spacing w:after="0" w:line="12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“Closing Date” </w:t>
      </w:r>
      <w:r>
        <w:rPr>
          <w:rFonts w:ascii="Times New Roman" w:cs="Times New Roman" w:eastAsia="Times New Roman" w:hAnsi="Times New Roman"/>
          <w:sz w:val="22"/>
          <w:szCs w:val="22"/>
          <w:color w:val="auto"/>
        </w:rPr>
        <w:t>means the Business Day on which all of the conditions set forth in Section 6.01 have been satisfied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waived by the Lenders and the Tranche A Term Loan is made.</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Fee</w:t>
      </w:r>
      <w:r>
        <w:rPr>
          <w:rFonts w:ascii="Times New Roman" w:cs="Times New Roman" w:eastAsia="Times New Roman" w:hAnsi="Times New Roman"/>
          <w:sz w:val="22"/>
          <w:szCs w:val="22"/>
          <w:color w:val="auto"/>
        </w:rPr>
        <w:t>” has the meaning set forth in the Fee Letter.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from time to time.</w:t>
      </w:r>
    </w:p>
    <w:p>
      <w:pPr>
        <w:spacing w:after="0" w:line="16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any Property in which a Lien is purported to be granted under any of the Security Documents (or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Property, as the context may require).</w:t>
      </w:r>
    </w:p>
    <w:p>
      <w:pPr>
        <w:spacing w:after="0" w:line="10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“Collateral Assignment of Business Interruption Insurance Policy” </w:t>
      </w:r>
      <w:r>
        <w:rPr>
          <w:rFonts w:ascii="Times New Roman" w:cs="Times New Roman" w:eastAsia="Times New Roman" w:hAnsi="Times New Roman"/>
          <w:sz w:val="22"/>
          <w:szCs w:val="22"/>
          <w:color w:val="auto"/>
        </w:rPr>
        <w:t>means a collateral assignment of any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interruption insurance in favor of the Administrative Agent, in form and substance reasonably satisfactory to the Administrative Agent.</w:t>
      </w:r>
    </w:p>
    <w:p>
      <w:pPr>
        <w:spacing w:after="0" w:line="14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“Collateral Questionnaire” </w:t>
      </w:r>
      <w:r>
        <w:rPr>
          <w:rFonts w:ascii="Times New Roman" w:cs="Times New Roman" w:eastAsia="Times New Roman" w:hAnsi="Times New Roman"/>
          <w:sz w:val="22"/>
          <w:szCs w:val="22"/>
          <w:color w:val="auto"/>
        </w:rPr>
        <w:t>means that certain Collateral Questionnaire and certification by a Responsible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substantially in the form of attached hereto as Exhibit I and otherwise in form and substance satisfactory to the Administrative Agent.</w:t>
      </w:r>
    </w:p>
    <w:p>
      <w:pPr>
        <w:spacing w:after="0" w:line="12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“Commitment” </w:t>
      </w:r>
      <w:r>
        <w:rPr>
          <w:rFonts w:ascii="Times New Roman" w:cs="Times New Roman" w:eastAsia="Times New Roman" w:hAnsi="Times New Roman"/>
          <w:sz w:val="22"/>
          <w:szCs w:val="22"/>
          <w:color w:val="auto"/>
        </w:rPr>
        <w:t>means, with respect to each Lender, such Lender’s (a) Tranche A Term Loan Commitment and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B Term Loan Commitment and “Commitments” means all such commitments of all Lenders. The amount of each Lender’s Commitments is set forth on Schedule 1. The aggregate Commitments of all Lenders as of the Closing Date is $60,000,000.</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“Commodity Account” </w:t>
      </w:r>
      <w:r>
        <w:rPr>
          <w:rFonts w:ascii="Times New Roman" w:cs="Times New Roman" w:eastAsia="Times New Roman" w:hAnsi="Times New Roman"/>
          <w:sz w:val="22"/>
          <w:szCs w:val="22"/>
          <w:color w:val="auto"/>
        </w:rPr>
        <w:t>has the meaning set forth in the Security Agreement.</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“Competitor” </w:t>
      </w:r>
      <w:r>
        <w:rPr>
          <w:rFonts w:ascii="Times New Roman" w:cs="Times New Roman" w:eastAsia="Times New Roman" w:hAnsi="Times New Roman"/>
          <w:sz w:val="22"/>
          <w:szCs w:val="22"/>
          <w:color w:val="auto"/>
        </w:rPr>
        <w:t>means any Person that is a bona fide direct competitor of any Obligor in the same industry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substantially similar industry which offers a substantially similar product or service as any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or Affiliate of a Lender shall be deemed to be a direct competitor of any Obligor as a result of such Lender or Affiliate of such Lender being an investor in a business that may be a competitor of any Obligor.</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“Compliance Certificate” </w:t>
      </w:r>
      <w:r>
        <w:rPr>
          <w:rFonts w:ascii="Times New Roman" w:cs="Times New Roman" w:eastAsia="Times New Roman" w:hAnsi="Times New Roman"/>
          <w:sz w:val="22"/>
          <w:szCs w:val="22"/>
          <w:color w:val="auto"/>
        </w:rPr>
        <w:t>has the meaning set forth in Section 8.01(c).</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1" w:name="page62"/>
    <w:bookmarkEnd w:id="61"/>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5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“Connection Income Taxes” </w:t>
      </w:r>
      <w:r>
        <w:rPr>
          <w:rFonts w:ascii="Times New Roman" w:cs="Times New Roman" w:eastAsia="Times New Roman" w:hAnsi="Times New Roman"/>
          <w:sz w:val="22"/>
          <w:szCs w:val="22"/>
          <w:color w:val="auto"/>
        </w:rPr>
        <w:t>means Other Connection Taxes that are imposed on or measured by net income (however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denominated) or that are franchise Taxes or branch profits Taxes.</w:t>
      </w:r>
    </w:p>
    <w:p>
      <w:pPr>
        <w:spacing w:after="0" w:line="10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“Contracts” </w:t>
      </w:r>
      <w:r>
        <w:rPr>
          <w:rFonts w:ascii="Times New Roman" w:cs="Times New Roman" w:eastAsia="Times New Roman" w:hAnsi="Times New Roman"/>
          <w:sz w:val="22"/>
          <w:szCs w:val="22"/>
          <w:color w:val="auto"/>
        </w:rPr>
        <w:t>means any contract, license, instrument, lease, agreement, obligation, promise, undertaking, understanding,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spacing w:after="0" w:line="13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“Control” </w:t>
      </w:r>
      <w:r>
        <w:rPr>
          <w:rFonts w:ascii="Times New Roman" w:cs="Times New Roman" w:eastAsia="Times New Roman" w:hAnsi="Times New Roman"/>
          <w:sz w:val="22"/>
          <w:szCs w:val="22"/>
          <w:color w:val="auto"/>
        </w:rPr>
        <w:t>means, in respect of a particular Person, the possession, directly or indirectly, of the power to direct or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direction of the management or policies of such Person, whether through the ability to exercise voting power, by contract or otherwise.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have meanings correlative thereto.</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“Controlled Account” </w:t>
      </w:r>
      <w:r>
        <w:rPr>
          <w:rFonts w:ascii="Times New Roman" w:cs="Times New Roman" w:eastAsia="Times New Roman" w:hAnsi="Times New Roman"/>
          <w:sz w:val="22"/>
          <w:szCs w:val="22"/>
          <w:color w:val="auto"/>
        </w:rPr>
        <w:t>has the meaning set forth in Section 8.17(a).</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“Copyrights” </w:t>
      </w:r>
      <w:r>
        <w:rPr>
          <w:rFonts w:ascii="Times New Roman" w:cs="Times New Roman" w:eastAsia="Times New Roman" w:hAnsi="Times New Roman"/>
          <w:sz w:val="22"/>
          <w:szCs w:val="22"/>
          <w:color w:val="auto"/>
        </w:rPr>
        <w:t>has the meaning set forth in the Security Agreement.</w:t>
      </w:r>
    </w:p>
    <w:p>
      <w:pPr>
        <w:spacing w:after="0" w:line="16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 SOFR</w:t>
      </w:r>
      <w:r>
        <w:rPr>
          <w:rFonts w:ascii="Times New Roman" w:cs="Times New Roman" w:eastAsia="Times New Roman" w:hAnsi="Times New Roman"/>
          <w:sz w:val="22"/>
          <w:szCs w:val="22"/>
          <w:color w:val="auto"/>
        </w:rPr>
        <w:t xml:space="preserve">” 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SOFR determined pursuant to this sentence shall be utilized for purposes of calculation of Daily Simple SOFR for no more than three</w:t>
      </w:r>
    </w:p>
    <w:p>
      <w:pPr>
        <w:spacing w:after="0" w:line="11" w:lineRule="exact"/>
        <w:rPr>
          <w:sz w:val="20"/>
          <w:szCs w:val="20"/>
          <w:color w:val="auto"/>
        </w:rPr>
      </w:pPr>
    </w:p>
    <w:p>
      <w:pPr>
        <w:jc w:val="both"/>
        <w:ind w:firstLine="8"/>
        <w:spacing w:after="0" w:line="235" w:lineRule="auto"/>
        <w:tabs>
          <w:tab w:leader="none" w:pos="34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consecutive SOFR Rate Days;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Daily Simple SOFR shall be rounded upwards to the next 1/100% (if necessary). Any change in Daily Simple SOFR due to a change in SOFR shall be effective from and including the effective date of such change in SOFR without notice to the Borrower.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2" w:name="page63"/>
    <w:bookmarkEnd w:id="62"/>
    <w:p>
      <w:pPr>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any Event of Default and any event that, upon the giving of notice, the lapse of time or both,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an Event of Default.</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“Default Rate” </w:t>
      </w:r>
      <w:r>
        <w:rPr>
          <w:rFonts w:ascii="Times New Roman" w:cs="Times New Roman" w:eastAsia="Times New Roman" w:hAnsi="Times New Roman"/>
          <w:sz w:val="22"/>
          <w:szCs w:val="22"/>
          <w:color w:val="auto"/>
        </w:rPr>
        <w:t>has the meaning set forth in Section 3.02(d).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“Deposit Account” </w:t>
      </w:r>
      <w:r>
        <w:rPr>
          <w:rFonts w:ascii="Times New Roman" w:cs="Times New Roman" w:eastAsia="Times New Roman" w:hAnsi="Times New Roman"/>
          <w:sz w:val="22"/>
          <w:szCs w:val="22"/>
          <w:color w:val="auto"/>
        </w:rPr>
        <w:t>has the meaning set forth in the Security Agreement.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“Designated Person” </w:t>
      </w:r>
      <w:r>
        <w:rPr>
          <w:rFonts w:ascii="Times New Roman" w:cs="Times New Roman" w:eastAsia="Times New Roman" w:hAnsi="Times New Roman"/>
          <w:sz w:val="22"/>
          <w:szCs w:val="22"/>
          <w:color w:val="auto"/>
        </w:rPr>
        <w:t>means a person or entity:</w:t>
      </w:r>
    </w:p>
    <w:p>
      <w:pPr>
        <w:spacing w:after="0" w:line="183" w:lineRule="exact"/>
        <w:rPr>
          <w:sz w:val="20"/>
          <w:szCs w:val="20"/>
          <w:color w:val="auto"/>
        </w:rPr>
      </w:pPr>
    </w:p>
    <w:p>
      <w:pPr>
        <w:ind w:left="760" w:firstLine="745"/>
        <w:spacing w:after="0" w:line="285" w:lineRule="exact"/>
        <w:tabs>
          <w:tab w:leader="none" w:pos="197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listed in the annex to, or otherwise targeted by the provisions of, the Executive Order (as disclosed by World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Check or another reputable commercially available database);</w:t>
      </w:r>
    </w:p>
    <w:p>
      <w:pPr>
        <w:spacing w:after="0" w:line="105" w:lineRule="exact"/>
        <w:rPr>
          <w:rFonts w:ascii="Times New Roman" w:cs="Times New Roman" w:eastAsia="Times New Roman" w:hAnsi="Times New Roman"/>
          <w:sz w:val="22"/>
          <w:szCs w:val="22"/>
          <w:color w:val="auto"/>
        </w:rPr>
      </w:pPr>
    </w:p>
    <w:p>
      <w:pPr>
        <w:jc w:val="both"/>
        <w:ind w:left="760" w:firstLine="745"/>
        <w:spacing w:after="0" w:line="271" w:lineRule="exact"/>
        <w:tabs>
          <w:tab w:leader="none" w:pos="197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named as a “Specially Designated National and Blocked Person” on the most current list published by OFAC at its official website or any replacement website or other replacement official publication of such list (as disclosed by World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Check or another reputable commercially available database); or</w:t>
      </w:r>
    </w:p>
    <w:p>
      <w:pPr>
        <w:spacing w:after="0" w:line="105" w:lineRule="exact"/>
        <w:rPr>
          <w:rFonts w:ascii="Times New Roman" w:cs="Times New Roman" w:eastAsia="Times New Roman" w:hAnsi="Times New Roman"/>
          <w:sz w:val="22"/>
          <w:szCs w:val="22"/>
          <w:color w:val="auto"/>
        </w:rPr>
      </w:pPr>
    </w:p>
    <w:p>
      <w:pPr>
        <w:ind w:left="760" w:firstLine="745"/>
        <w:spacing w:after="0" w:line="258" w:lineRule="auto"/>
        <w:tabs>
          <w:tab w:leader="none" w:pos="198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the Lenders are prohibited from dealing or otherwise engaging in any transaction by any Economic Sanctions Laws.</w:t>
      </w:r>
    </w:p>
    <w:p>
      <w:pPr>
        <w:spacing w:after="0" w:line="19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“Device” </w:t>
      </w:r>
      <w:r>
        <w:rPr>
          <w:rFonts w:ascii="Times New Roman" w:cs="Times New Roman" w:eastAsia="Times New Roman" w:hAnsi="Times New Roman"/>
          <w:sz w:val="22"/>
          <w:szCs w:val="22"/>
          <w:color w:val="auto"/>
        </w:rPr>
        <w:t>means (a) any instrument, apparatus, implement, machine, contrivance, implant, in vitro reagent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similar or related item, including any component, part or accessory, that (i) is intended for use in the diagnosis of disease or other conditions or in the cure, mitigation, treatment or prevention of disease, in man, or is intended to affect the structure or any function of the body of man, (ii) does not achieve its primary intended purpose or purposes through chemical action within or on the body of man and (iii) is not dependent upon being metabolized for the achievement of its primary intended purpose or purposes, (b) any other item that meets the definition of “device” as set forth in Section 201 of the FD&amp;C Act (21 U.S.C. § 321) and its implementing regulations, or (c) any other item that is regulated as a medical device by any applicable non U.S. Regulatory Authority.</w:t>
      </w:r>
    </w:p>
    <w:p>
      <w:pPr>
        <w:spacing w:after="0" w:line="219"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i w:val="1"/>
          <w:iCs w:val="1"/>
          <w:color w:val="auto"/>
        </w:rPr>
        <w:t xml:space="preserve">“Device Clearance Application” </w:t>
      </w:r>
      <w:r>
        <w:rPr>
          <w:rFonts w:ascii="Times New Roman" w:cs="Times New Roman" w:eastAsia="Times New Roman" w:hAnsi="Times New Roman"/>
          <w:sz w:val="22"/>
          <w:szCs w:val="22"/>
          <w:color w:val="auto"/>
        </w:rPr>
        <w:t>means (a) any premarket approval application submitted under Section 515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FD&amp;C Act (21 U.S.C. § 360e) (a “</w:t>
      </w:r>
      <w:r>
        <w:rPr>
          <w:rFonts w:ascii="Times New Roman" w:cs="Times New Roman" w:eastAsia="Times New Roman" w:hAnsi="Times New Roman"/>
          <w:sz w:val="22"/>
          <w:szCs w:val="22"/>
          <w:i w:val="1"/>
          <w:iCs w:val="1"/>
          <w:color w:val="auto"/>
        </w:rPr>
        <w:t>Premarket Approval</w:t>
      </w:r>
      <w:r>
        <w:rPr>
          <w:rFonts w:ascii="Times New Roman" w:cs="Times New Roman" w:eastAsia="Times New Roman" w:hAnsi="Times New Roman"/>
          <w:sz w:val="22"/>
          <w:szCs w:val="22"/>
          <w:color w:val="auto"/>
        </w:rPr>
        <w:t>”), (b) any de novo request submitted under Section 513(f) of the FD&amp;C Act (21 U.S.C. § 360c(f)), (c) any 510(k) submitted under Section 510(k) of the FD&amp;C Act (21 U.S.C. § 360(k)) seeking clearance from the FDA for a Device that is substantially equivalent to a legally marketed predicate Device, as defined in the FD&amp;C Act, (d) any Investigational Device Exemption as defined in the FD&amp;C Act, (e) any corresponding or substantially equivalent notification, application or clearance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Regulatory Authority including, with respect to the European Union, any equivalent submission to a Standard Body pursuant to an applicable directive of the European Council with respect to CE marking (or, if applicable, a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certification of conformity with respect to any such directive through a “declaration of conformity”), and (f) all amendments, variations, extensions and renewals of any of the foregoing.</w:t>
      </w:r>
    </w:p>
    <w:p>
      <w:pPr>
        <w:spacing w:after="0" w:line="20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“Disqualified Equity Interests” </w:t>
      </w:r>
      <w:r>
        <w:rPr>
          <w:rFonts w:ascii="Times New Roman" w:cs="Times New Roman" w:eastAsia="Times New Roman" w:hAnsi="Times New Roman"/>
          <w:sz w:val="22"/>
          <w:szCs w:val="22"/>
          <w:color w:val="auto"/>
        </w:rPr>
        <w:t>means, with respect to any Person, any Equity Interest of such Person that, by its terms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by the terms of any security or other Equity Interest into which it is convertible or for which it is exchangeable upon exercise or otherwise), or upon the happening of any event or condition (a) matures or is mandatorily redeemable (other than solely for Qualified Equity Interests), including pursuant to a sinking fund obligation or otherwise, (b) is redeemable at the option of the holder thereof (other than solely for Qualified Equity Interests), in whole or in part, (c) provides for the scheduled payments of dividends or other distributions in cash or other securities that would constitute Disqualified Equity Interests, or (d) is or becomes convertible into or exchangeable for Indebtedness or any other Equity Interests that would constitute Disqualified Equity Interests, in each</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3" w:name="page64"/>
    <w:bookmarkEnd w:id="63"/>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case, prior to the date that is one hundred and eighty (180) days after the Stated Maturity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lawful money of the United States of America.</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“Domestic Subsidiary” </w:t>
      </w:r>
      <w:r>
        <w:rPr>
          <w:rFonts w:ascii="Times New Roman" w:cs="Times New Roman" w:eastAsia="Times New Roman" w:hAnsi="Times New Roman"/>
          <w:sz w:val="22"/>
          <w:szCs w:val="22"/>
          <w:color w:val="auto"/>
        </w:rPr>
        <w:t>means any Subsidiary that is organized under the laws of the United States, any state thereof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District of Columbia.</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“Economic Sanctions Laws” </w:t>
      </w:r>
      <w:r>
        <w:rPr>
          <w:rFonts w:ascii="Times New Roman" w:cs="Times New Roman" w:eastAsia="Times New Roman" w:hAnsi="Times New Roman"/>
          <w:sz w:val="22"/>
          <w:szCs w:val="22"/>
          <w:color w:val="auto"/>
        </w:rPr>
        <w:t>means: (a) the Executive Order, the</w:t>
      </w:r>
      <w:r>
        <w:rPr>
          <w:rFonts w:ascii="Times New Roman" w:cs="Times New Roman" w:eastAsia="Times New Roman" w:hAnsi="Times New Roman"/>
          <w:sz w:val="22"/>
          <w:szCs w:val="22"/>
          <w:i w:val="1"/>
          <w:iCs w:val="1"/>
          <w:color w:val="auto"/>
        </w:rPr>
        <w:t xml:space="preserve"> International Emergency Economic Powers Act </w:t>
      </w:r>
      <w:r>
        <w:rPr>
          <w:rFonts w:ascii="Times New Roman" w:cs="Times New Roman" w:eastAsia="Times New Roman" w:hAnsi="Times New Roman"/>
          <w:sz w:val="22"/>
          <w:szCs w:val="22"/>
          <w:color w:val="auto"/>
        </w:rPr>
        <w:t>(50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U.S.C. §§ 1701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Trading with the Enemy Act</w:t>
      </w:r>
      <w:r>
        <w:rPr>
          <w:rFonts w:ascii="Times New Roman" w:cs="Times New Roman" w:eastAsia="Times New Roman" w:hAnsi="Times New Roman"/>
          <w:sz w:val="22"/>
          <w:szCs w:val="22"/>
          <w:color w:val="auto"/>
        </w:rPr>
        <w:t xml:space="preserve"> (50 U.S.C. App.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spacing w:after="0" w:line="19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“Environmental Law” </w:t>
      </w:r>
      <w:r>
        <w:rPr>
          <w:rFonts w:ascii="Times New Roman" w:cs="Times New Roman" w:eastAsia="Times New Roman" w:hAnsi="Times New Roman"/>
          <w:sz w:val="22"/>
          <w:szCs w:val="22"/>
          <w:color w:val="auto"/>
        </w:rPr>
        <w:t>means any federal, state, provincial or local governmental law, rule, regulation, order, writ,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spacing w:after="0" w:line="21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“Equity Interest” </w:t>
      </w:r>
      <w:r>
        <w:rPr>
          <w:rFonts w:ascii="Times New Roman" w:cs="Times New Roman" w:eastAsia="Times New Roman" w:hAnsi="Times New Roman"/>
          <w:sz w:val="22"/>
          <w:szCs w:val="22"/>
          <w:color w:val="auto"/>
        </w:rPr>
        <w:t>means, with respect to any Person, any and all shares, interests, participations or other equivalents,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United States Employee Retirement Income Security Act of 1974, as amended.</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any Person that, as of the relevant time, would be considered a single employer with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pursuant to Section 414(b), (c), (m) or (o) of the Code.</w:t>
      </w:r>
    </w:p>
    <w:p>
      <w:pPr>
        <w:spacing w:after="0" w:line="19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“ERISA Event” </w:t>
      </w:r>
      <w:r>
        <w:rPr>
          <w:rFonts w:ascii="Times New Roman" w:cs="Times New Roman" w:eastAsia="Times New Roman" w:hAnsi="Times New Roman"/>
          <w:sz w:val="21"/>
          <w:szCs w:val="21"/>
          <w:color w:val="auto"/>
        </w:rPr>
        <w:t>means (a) a “reportable event” as defined in Section 4043 of ERISA with respect to a Title IV Plan,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w:t>
      </w:r>
    </w:p>
    <w:p>
      <w:pPr>
        <w:spacing w:after="0" w:line="2" w:lineRule="exact"/>
        <w:rPr>
          <w:sz w:val="20"/>
          <w:szCs w:val="20"/>
          <w:color w:val="auto"/>
        </w:rPr>
      </w:pPr>
    </w:p>
    <w:p>
      <w:pPr>
        <w:jc w:val="both"/>
        <w:ind w:firstLine="8"/>
        <w:spacing w:after="0" w:line="233" w:lineRule="auto"/>
        <w:tabs>
          <w:tab w:leader="none" w:pos="31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64" w:name="page65"/>
    <w:bookmarkEnd w:id="64"/>
    <w:p>
      <w:pPr>
        <w:jc w:val="both"/>
        <w:spacing w:after="0" w:line="249" w:lineRule="exact"/>
        <w:rPr>
          <w:sz w:val="20"/>
          <w:szCs w:val="20"/>
          <w:color w:val="auto"/>
        </w:rPr>
      </w:pPr>
      <w:r>
        <w:rPr>
          <w:rFonts w:ascii="Times New Roman" w:cs="Times New Roman" w:eastAsia="Times New Roman" w:hAnsi="Times New Roman"/>
          <w:sz w:val="22"/>
          <w:szCs w:val="22"/>
          <w:color w:val="auto"/>
        </w:rPr>
        <w:t>proceedings by the PBGC to terminate such plan; (e) the failure by any Obligor or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(f) the determination that any Title IV Plan is in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has the meaning set forth in Section 10.01.</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“Excess Funding Guarantor” </w:t>
      </w:r>
      <w:r>
        <w:rPr>
          <w:rFonts w:ascii="Times New Roman" w:cs="Times New Roman" w:eastAsia="Times New Roman" w:hAnsi="Times New Roman"/>
          <w:sz w:val="22"/>
          <w:szCs w:val="22"/>
          <w:color w:val="auto"/>
        </w:rPr>
        <w:t>has the meaning set forth in Section 11.08.</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“Excess Payment” </w:t>
      </w:r>
      <w:r>
        <w:rPr>
          <w:rFonts w:ascii="Times New Roman" w:cs="Times New Roman" w:eastAsia="Times New Roman" w:hAnsi="Times New Roman"/>
          <w:sz w:val="22"/>
          <w:szCs w:val="22"/>
          <w:color w:val="auto"/>
        </w:rPr>
        <w:t>has the meaning set forth in Section 11.08.</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promulgated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thereunder.</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“Excluded Accounts” </w:t>
      </w:r>
      <w:r>
        <w:rPr>
          <w:rFonts w:ascii="Times New Roman" w:cs="Times New Roman" w:eastAsia="Times New Roman" w:hAnsi="Times New Roman"/>
          <w:sz w:val="22"/>
          <w:szCs w:val="22"/>
          <w:color w:val="auto"/>
        </w:rPr>
        <w:t>means Deposit Accounts exclusively used for payroll, payroll Taxes and other employee wage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 payments to or for the benefit of the employees of the Borrower and its Subsidiaries.</w:t>
      </w:r>
    </w:p>
    <w:p>
      <w:pPr>
        <w:spacing w:after="0" w:line="19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“Excluded Taxes” </w:t>
      </w:r>
      <w:r>
        <w:rPr>
          <w:rFonts w:ascii="Times New Roman" w:cs="Times New Roman" w:eastAsia="Times New Roman" w:hAnsi="Times New Roman"/>
          <w:sz w:val="22"/>
          <w:szCs w:val="22"/>
          <w:color w:val="auto"/>
        </w:rPr>
        <w:t>means any of the following Taxes imposed on or with respect to a Recipient or required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a Lender to the extent that the obligation to withhold amounts existed on the date that (i) a Lender became a “Lender” under this Agreement or (ii) a Lender changes its lending office, except in each case to the extent such Lender is a direct or indirect assignee of any other Lender that was entitled, at the time the assignment of such other Lender became effective, to receive additional amounts under Section 5.03 or such Lender was entitled to receive additional amounts under Section 5.03 immediately before it changed its lending office, (c) any Taxes imposed in connection with FATCA, and (d) Taxes attributable to such Recipient’s failure to comply with Section 5.03(e).</w:t>
      </w:r>
    </w:p>
    <w:p>
      <w:pPr>
        <w:spacing w:after="0" w:line="20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“Executive Order” </w:t>
      </w:r>
      <w:r>
        <w:rPr>
          <w:rFonts w:ascii="Times New Roman" w:cs="Times New Roman" w:eastAsia="Times New Roman" w:hAnsi="Times New Roman"/>
          <w:sz w:val="22"/>
          <w:szCs w:val="22"/>
          <w:color w:val="auto"/>
        </w:rPr>
        <w:t>means the US Executive Order No. 13224 on Blocking Property and Prohibiting Transactions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Persons who commit, Threaten to Commit, or Support Terrorism.</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“Existing Credit Documents” </w:t>
      </w:r>
      <w:r>
        <w:rPr>
          <w:rFonts w:ascii="Times New Roman" w:cs="Times New Roman" w:eastAsia="Times New Roman" w:hAnsi="Times New Roman"/>
          <w:sz w:val="22"/>
          <w:szCs w:val="22"/>
          <w:color w:val="auto"/>
        </w:rPr>
        <w:t>means the Existing Credit Facility and any other document, instrument,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delivered in connection with the Existing Credit Facility.</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“Existing Credit Facility” </w:t>
      </w:r>
      <w:r>
        <w:rPr>
          <w:rFonts w:ascii="Times New Roman" w:cs="Times New Roman" w:eastAsia="Times New Roman" w:hAnsi="Times New Roman"/>
          <w:sz w:val="22"/>
          <w:szCs w:val="22"/>
          <w:color w:val="auto"/>
        </w:rPr>
        <w:t>means that certain Credit Agreement, dated as of October 18, 2023 (as amended by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certain Waiver and First Amendment to Credit Agreement, dated as of November 30, 2023, as amended by that certain Second Amendment to Credit Agreement, dated as of May 28, 2024, as amended by that certain Third Amendment to Credit Agreement, dated as of November 7, 2024,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65" w:name="page66"/>
    <w:bookmarkEnd w:id="65"/>
    <w:p>
      <w:pPr>
        <w:jc w:val="both"/>
        <w:spacing w:after="0" w:line="238" w:lineRule="auto"/>
        <w:rPr>
          <w:sz w:val="20"/>
          <w:szCs w:val="20"/>
          <w:color w:val="auto"/>
        </w:rPr>
      </w:pPr>
      <w:r>
        <w:rPr>
          <w:rFonts w:ascii="Times New Roman" w:cs="Times New Roman" w:eastAsia="Times New Roman" w:hAnsi="Times New Roman"/>
          <w:sz w:val="22"/>
          <w:szCs w:val="22"/>
          <w:color w:val="auto"/>
        </w:rPr>
        <w:t>as amended by that certain Fourth Amendment to Credit Agreement, dated as of February 13, 2025, as modified by that certain Waiver, effective as of March 31, 2025, as modified by that certain Waiver, effective as of June 30, 2025, as amended by that certain Waiver and Fifth Amendment to Credit Agreement, dated as of August 7, 2025, as modified by that certain Waiver, effective as of September 30, 2025, as amended by that certain Waiver and Sixth Amendment to Credit Agreement, dated as of November 5, 2025) by and among the Borrower, the lenders party thereto, and ORCO IV LLC.</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Exit Fee</w:t>
      </w:r>
      <w:r>
        <w:rPr>
          <w:rFonts w:ascii="Times New Roman" w:cs="Times New Roman" w:eastAsia="Times New Roman" w:hAnsi="Times New Roman"/>
          <w:sz w:val="22"/>
          <w:szCs w:val="22"/>
          <w:color w:val="auto"/>
        </w:rPr>
        <w:t>” has the meaning set forth in the Fee Letter.</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“Expense Deposit” </w:t>
      </w:r>
      <w:r>
        <w:rPr>
          <w:rFonts w:ascii="Times New Roman" w:cs="Times New Roman" w:eastAsia="Times New Roman" w:hAnsi="Times New Roman"/>
          <w:sz w:val="22"/>
          <w:szCs w:val="22"/>
          <w:color w:val="auto"/>
        </w:rPr>
        <w:t>means the deposit made by the Borrower to an Affiliate of Perceptive Advisors LLC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Proposal Letter for the prepayment of the Lenders’ costs and expenses (payable pursuant to Section 13.03(a) and/or the Proposal Letter) incurred prior to the Closing Date.</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“FATCA” </w:t>
      </w:r>
      <w:r>
        <w:rPr>
          <w:rFonts w:ascii="Times New Roman" w:cs="Times New Roman" w:eastAsia="Times New Roman" w:hAnsi="Times New Roman"/>
          <w:sz w:val="22"/>
          <w:szCs w:val="22"/>
          <w:color w:val="auto"/>
        </w:rPr>
        <w:t>means Sections 1471 through 1474 of the Code, as of the date of this Agreement (or any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“FD&amp;C Act” </w:t>
      </w:r>
      <w:r>
        <w:rPr>
          <w:rFonts w:ascii="Times New Roman" w:cs="Times New Roman" w:eastAsia="Times New Roman" w:hAnsi="Times New Roman"/>
          <w:sz w:val="21"/>
          <w:szCs w:val="21"/>
          <w:color w:val="auto"/>
        </w:rPr>
        <w:t>means the U.S. Food, Drug and Cosmetic Act of 1938 (or any successor thereto), as amended from time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“FDA” </w:t>
      </w:r>
      <w:r>
        <w:rPr>
          <w:rFonts w:ascii="Times New Roman" w:cs="Times New Roman" w:eastAsia="Times New Roman" w:hAnsi="Times New Roman"/>
          <w:sz w:val="22"/>
          <w:szCs w:val="22"/>
          <w:color w:val="auto"/>
        </w:rPr>
        <w:t>means the U.S. Food and Drug Administration and any successor entity.</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“FDA Laws” </w:t>
      </w:r>
      <w:r>
        <w:rPr>
          <w:rFonts w:ascii="Times New Roman" w:cs="Times New Roman" w:eastAsia="Times New Roman" w:hAnsi="Times New Roman"/>
          <w:sz w:val="22"/>
          <w:szCs w:val="22"/>
          <w:color w:val="auto"/>
        </w:rPr>
        <w:t>means all applicable statutes, rules, regulations and orders administered or issued by the FDA,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limitation, (a) the FD&amp;C Act and (b) the rules, regulations, guidelines, guidance documents and compliance policy guides issued or promulgated thereunder.</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“Federal Health Care Program” </w:t>
      </w:r>
      <w:r>
        <w:rPr>
          <w:rFonts w:ascii="Times New Roman" w:cs="Times New Roman" w:eastAsia="Times New Roman" w:hAnsi="Times New Roman"/>
          <w:sz w:val="22"/>
          <w:szCs w:val="22"/>
          <w:color w:val="auto"/>
        </w:rPr>
        <w:t>has the meaning specified in Section 1128B(f) of the Social Security Act and includes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programs commonly known as Medicare, Medicaid, TRICARE and CHAMPVA.</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means that certain Fee Letter, dated as of the Closing Date, among the Obligors, the Lender and the Administrative Agent.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has the meaning set forth in Section 8.01(h).</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a rate of interest equal to 4.00%.</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“Foreign Lender” </w:t>
      </w:r>
      <w:r>
        <w:rPr>
          <w:rFonts w:ascii="Times New Roman" w:cs="Times New Roman" w:eastAsia="Times New Roman" w:hAnsi="Times New Roman"/>
          <w:sz w:val="22"/>
          <w:szCs w:val="22"/>
          <w:color w:val="auto"/>
        </w:rPr>
        <w:t>means a Lender that is not a U.S. Person.</w:t>
      </w:r>
    </w:p>
    <w:p>
      <w:pPr>
        <w:spacing w:after="0" w:line="24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in the United States of America, as in effect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6" w:name="page67"/>
    <w:bookmarkEnd w:id="6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be to GAAP applied consistently with the principles used in the preparation of the financial statements described in Section 7.04(a).</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“Governmental Approval” </w:t>
      </w:r>
      <w:r>
        <w:rPr>
          <w:rFonts w:ascii="Times New Roman" w:cs="Times New Roman" w:eastAsia="Times New Roman" w:hAnsi="Times New Roman"/>
          <w:sz w:val="22"/>
          <w:szCs w:val="22"/>
          <w:color w:val="auto"/>
        </w:rPr>
        <w:t>means any consent, authorization, approval, order, license, franchise, permit, certification,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accreditation, registration, clearance, exemption, filing or notice that is issued or granted by or from (or pursuant to any act of) any Governmental Authority, including any application or submission related to any of the foregoing.</w:t>
      </w:r>
    </w:p>
    <w:p>
      <w:pPr>
        <w:spacing w:after="0" w:line="208"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any nation, government, branch of power (whether executive, legislative or judicial),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rule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or regulation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making organizations or entities of any State, territory, county, city or other political subdivision of the United States or any foreign country.</w:t>
      </w:r>
    </w:p>
    <w:p>
      <w:pPr>
        <w:spacing w:after="0" w:line="21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“Guarantee” </w:t>
      </w:r>
      <w:r>
        <w:rPr>
          <w:rFonts w:ascii="Times New Roman" w:cs="Times New Roman" w:eastAsia="Times New Roman" w:hAnsi="Times New Roman"/>
          <w:sz w:val="22"/>
          <w:szCs w:val="22"/>
          <w:color w:val="auto"/>
        </w:rPr>
        <w:t>of or by any Person (the</w:t>
      </w:r>
      <w:r>
        <w:rPr>
          <w:rFonts w:ascii="Times New Roman" w:cs="Times New Roman" w:eastAsia="Times New Roman" w:hAnsi="Times New Roman"/>
          <w:sz w:val="22"/>
          <w:szCs w:val="22"/>
          <w:i w:val="1"/>
          <w:iCs w:val="1"/>
          <w:color w:val="auto"/>
        </w:rPr>
        <w:t xml:space="preserve"> “guarantor”</w:t>
      </w:r>
      <w:r>
        <w:rPr>
          <w:rFonts w:ascii="Times New Roman" w:cs="Times New Roman" w:eastAsia="Times New Roman" w:hAnsi="Times New Roman"/>
          <w:sz w:val="22"/>
          <w:szCs w:val="22"/>
          <w:color w:val="auto"/>
        </w:rPr>
        <w:t>) means any obligation, contingent or otherwise, of the guarantor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guaranteeing or having the economic effect of guaranteeing any Indebtedness or other obligation of any other Person (the </w:t>
      </w:r>
      <w:r>
        <w:rPr>
          <w:rFonts w:ascii="Times New Roman" w:cs="Times New Roman" w:eastAsia="Times New Roman" w:hAnsi="Times New Roman"/>
          <w:sz w:val="22"/>
          <w:szCs w:val="22"/>
          <w:i w:val="1"/>
          <w:iCs w:val="1"/>
          <w:color w:val="auto"/>
        </w:rPr>
        <w:t>“primary obligor”</w:t>
      </w:r>
      <w:r>
        <w:rPr>
          <w:rFonts w:ascii="Times New Roman" w:cs="Times New Roman" w:eastAsia="Times New Roman" w:hAnsi="Times New Roman"/>
          <w:sz w:val="22"/>
          <w:szCs w:val="22"/>
          <w:color w:val="auto"/>
        </w:rPr>
        <w:t>) in any manner, whether directly or indirectly, and including any obligation of the guarantor, direct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“Guarantee Assumption Agreement” </w:t>
      </w:r>
      <w:r>
        <w:rPr>
          <w:rFonts w:ascii="Times New Roman" w:cs="Times New Roman" w:eastAsia="Times New Roman" w:hAnsi="Times New Roman"/>
          <w:sz w:val="22"/>
          <w:szCs w:val="22"/>
          <w:color w:val="auto"/>
        </w:rPr>
        <w:t>means a Guarantee Assumption Agreement substantially in the form of Exhibit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 entity that, pursuant to Section 8.11(a), is required to become a “Guarantor”.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“Guaranteed Obligations” </w:t>
      </w:r>
      <w:r>
        <w:rPr>
          <w:rFonts w:ascii="Times New Roman" w:cs="Times New Roman" w:eastAsia="Times New Roman" w:hAnsi="Times New Roman"/>
          <w:sz w:val="22"/>
          <w:szCs w:val="22"/>
          <w:color w:val="auto"/>
        </w:rPr>
        <w:t>has the meaning set forth in Section 11.01.</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“Guarantor” </w:t>
      </w:r>
      <w:r>
        <w:rPr>
          <w:rFonts w:ascii="Times New Roman" w:cs="Times New Roman" w:eastAsia="Times New Roman" w:hAnsi="Times New Roman"/>
          <w:sz w:val="22"/>
          <w:szCs w:val="22"/>
          <w:color w:val="auto"/>
        </w:rPr>
        <w:t>means each Domestic Subsidiary of the Borrower on the Closing Date or joined as a Guarantor from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time pursuant to Section 8.11(a).</w:t>
      </w:r>
    </w:p>
    <w:p>
      <w:pPr>
        <w:spacing w:after="0" w:line="177"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substance, element, chemical, compound, product, solid, gas, liquid, waste,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“Health Care Compliance Program” </w:t>
      </w:r>
      <w:r>
        <w:rPr>
          <w:rFonts w:ascii="Times New Roman" w:cs="Times New Roman" w:eastAsia="Times New Roman" w:hAnsi="Times New Roman"/>
          <w:sz w:val="22"/>
          <w:szCs w:val="22"/>
          <w:color w:val="auto"/>
        </w:rPr>
        <w:t>has the meaning set forth in Section 7.07(b)(v).</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“Health Care Laws” </w:t>
      </w:r>
      <w:r>
        <w:rPr>
          <w:rFonts w:ascii="Times New Roman" w:cs="Times New Roman" w:eastAsia="Times New Roman" w:hAnsi="Times New Roman"/>
          <w:sz w:val="22"/>
          <w:szCs w:val="22"/>
          <w:color w:val="auto"/>
        </w:rPr>
        <w:t>means, collectively, all Laws applicable to the business of the Borrower or any other Obligor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of their Subsidiaries relating to (a) the manufacturing, sale, distribution, labeling, marketing, import, export, or promotion, or the provision of and payment for, health care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67" w:name="page68"/>
    <w:bookmarkEnd w:id="67"/>
    <w:p>
      <w:pPr>
        <w:jc w:val="both"/>
        <w:spacing w:after="0" w:line="247" w:lineRule="auto"/>
        <w:rPr>
          <w:sz w:val="20"/>
          <w:szCs w:val="20"/>
          <w:color w:val="auto"/>
        </w:rPr>
      </w:pPr>
      <w:r>
        <w:rPr>
          <w:rFonts w:ascii="Times New Roman" w:cs="Times New Roman" w:eastAsia="Times New Roman" w:hAnsi="Times New Roman"/>
          <w:sz w:val="21"/>
          <w:szCs w:val="21"/>
          <w:color w:val="auto"/>
        </w:rPr>
        <w:t>products, items and services, including but not limited to all applicable Regulated Product Laws; (b) the privacy, security, storage, collection, or other processing of consumer information, including but not limited to applicable federal or state consumer information privacy and security laws; (c) fraud and abuse, false claims, self-referral, kickbacks, fee-splitting, or patient brokering, including but not limited to (i) the federal Anti-Kickback Statute (42 U.S.C. § 1320a-7b(b)) and any similar state laws,</w:t>
      </w:r>
    </w:p>
    <w:p>
      <w:pPr>
        <w:spacing w:after="0" w:line="2" w:lineRule="exact"/>
        <w:rPr>
          <w:sz w:val="20"/>
          <w:szCs w:val="20"/>
          <w:color w:val="auto"/>
        </w:rPr>
      </w:pPr>
    </w:p>
    <w:p>
      <w:pPr>
        <w:jc w:val="both"/>
        <w:ind w:firstLine="8"/>
        <w:spacing w:after="0" w:line="232" w:lineRule="auto"/>
        <w:tabs>
          <w:tab w:leader="none" w:pos="33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Ethics in Patient Referrals Act (Stark Law) (42 U.S.C. § 1395nn) and any similar state laws, (iii) the civil False Claims Act (31 U.S.C. § 3729 et seq.) and any similar state laws, (iv) the federal health care program exclusion provisions (42 U.S.C. § 1320a-7), (v) the Civil Monetary Penalties Act (42 U.S.C. § 1320a-7a), (vi) the Medicare Prescription Drug, Improvement, and Modernization Act of 2003 (Pub. L. No. 108-173), (vii) the Eliminating Kickbacks in Recovery Act (18 U.S.C. § 220) and (viii) other applicable requirements relating to prohibited remuneration, or the defrauding of, or making of any false claim, false statement, or misrepresentation of material facts; (d) the provision of health care supplies, items or services to Federal Health Care Program beneficiaries or the billing of the Federal Health Care Programs; (e) clinical or other human subjects research and patient consent; (f) required health care Permits, including applicable Laws relating to the licensure or registration of health care providers, suppliers, facilities, and manufacturers; (g) </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 and (h) all rules and regulations promulgated under or pursuant to any of the foregoing.</w:t>
      </w:r>
    </w:p>
    <w:p>
      <w:pPr>
        <w:spacing w:after="0" w:line="200" w:lineRule="exact"/>
        <w:rPr>
          <w:sz w:val="20"/>
          <w:szCs w:val="20"/>
          <w:color w:val="auto"/>
        </w:rPr>
      </w:pPr>
    </w:p>
    <w:p>
      <w:pPr>
        <w:jc w:val="both"/>
        <w:ind w:firstLine="81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“Hedging Agreement” </w:t>
      </w:r>
      <w:r>
        <w:rPr>
          <w:rFonts w:ascii="Times New Roman" w:cs="Times New Roman" w:eastAsia="Times New Roman" w:hAnsi="Times New Roman"/>
          <w:sz w:val="22"/>
          <w:szCs w:val="22"/>
          <w:color w:val="auto"/>
        </w:rPr>
        <w:t>means any interest rate exchange agreement, foreign currency exchange agreement, commodity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protection agreement or other interest or currency exchange rate or commodity price hedging arrangement.</w:t>
      </w:r>
    </w:p>
    <w:p>
      <w:pPr>
        <w:spacing w:after="0" w:line="19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of any Person means, without duplication, (a) all obligations of such Person for borrowed money, (b)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all obligations of such Person under license or other agreements containing a guaranteed minimum payment or purchase by such Person, (m) any Disqualified Equity Interests of such Person, (n) any earnout obligation at the time such obligation is both required to be reflected as a liability on the balance sheet of such Person in accordance with GAAP and not paid after becoming due and payable and (o)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“Indemnified Party” </w:t>
      </w:r>
      <w:r>
        <w:rPr>
          <w:rFonts w:ascii="Times New Roman" w:cs="Times New Roman" w:eastAsia="Times New Roman" w:hAnsi="Times New Roman"/>
          <w:sz w:val="22"/>
          <w:szCs w:val="22"/>
          <w:color w:val="auto"/>
        </w:rPr>
        <w:t>has the meaning set forth in Section 13.03(b).</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68" w:name="page69"/>
    <w:bookmarkEnd w:id="68"/>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“Indemnified Taxes” </w:t>
      </w:r>
      <w:r>
        <w:rPr>
          <w:rFonts w:ascii="Times New Roman" w:cs="Times New Roman" w:eastAsia="Times New Roman" w:hAnsi="Times New Roman"/>
          <w:sz w:val="22"/>
          <w:szCs w:val="22"/>
          <w:color w:val="auto"/>
        </w:rPr>
        <w:t>means (a) Taxes, other than Excluded Taxes, imposed on or with respect to any payment made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on account of any Obligation and (b) to the extent not otherwise described in clause (a), Other Taxes.</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Industrial Designs”</w:t>
      </w:r>
      <w:r>
        <w:rPr>
          <w:rFonts w:ascii="Times New Roman" w:cs="Times New Roman" w:eastAsia="Times New Roman" w:hAnsi="Times New Roman"/>
          <w:sz w:val="22"/>
          <w:szCs w:val="22"/>
          <w:color w:val="auto"/>
        </w:rPr>
        <w:t>means all right, title and interests arising under any Laws in or relating to all industrial designs, intangibles of like nature, and any work subject to the design laws of the United States, or any other country or any political subdivision thereof applicable to the Obligors’ Products.</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“Ineligible Assignee” </w:t>
      </w:r>
      <w:r>
        <w:rPr>
          <w:rFonts w:ascii="Times New Roman" w:cs="Times New Roman" w:eastAsia="Times New Roman" w:hAnsi="Times New Roman"/>
          <w:sz w:val="22"/>
          <w:szCs w:val="22"/>
          <w:color w:val="auto"/>
        </w:rPr>
        <w:t>means (a) a natural person, (b) the Obligors or any of their respective Affiliates or (c) so long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Event of Default shall have occurred and is continuing, any Competitor.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has the meaning set forth in Section 13.17.</w:t>
      </w:r>
    </w:p>
    <w:p>
      <w:pPr>
        <w:spacing w:after="0" w:line="233"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“Insolvency Proceeding” </w:t>
      </w:r>
      <w:r>
        <w:rPr>
          <w:rFonts w:ascii="Times New Roman" w:cs="Times New Roman" w:eastAsia="Times New Roman" w:hAnsi="Times New Roman"/>
          <w:sz w:val="22"/>
          <w:szCs w:val="22"/>
          <w:color w:val="auto"/>
        </w:rPr>
        <w:t>means (a) any case, action or proceeding before any court or other Governmental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bankruptcy, reorganization, insolvency, liquidation, receivership, dissolution,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“Intellectual Property” </w:t>
      </w:r>
      <w:r>
        <w:rPr>
          <w:rFonts w:ascii="Times New Roman" w:cs="Times New Roman" w:eastAsia="Times New Roman" w:hAnsi="Times New Roman"/>
          <w:sz w:val="22"/>
          <w:szCs w:val="22"/>
          <w:color w:val="auto"/>
        </w:rPr>
        <w:t>means, with respect to any Person, all of such Person’s rights, title and interest in and to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Patents, Trademarks, Copyrights, Industrial Designs, Technical Information, whether registered or not and whether existing under U.S. or non-U.S. Law or jurisdiction, including, without limitation, all:</w:t>
      </w:r>
    </w:p>
    <w:p>
      <w:pPr>
        <w:spacing w:after="0" w:line="212" w:lineRule="exact"/>
        <w:rPr>
          <w:sz w:val="20"/>
          <w:szCs w:val="20"/>
          <w:color w:val="auto"/>
        </w:rPr>
      </w:pPr>
    </w:p>
    <w:p>
      <w:pPr>
        <w:ind w:left="1920" w:hanging="415"/>
        <w:spacing w:after="0"/>
        <w:tabs>
          <w:tab w:leader="none" w:pos="1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applications, registrations, amendments and extensions relating to such Intellectual Property;</w:t>
      </w:r>
    </w:p>
    <w:p>
      <w:pPr>
        <w:spacing w:after="0" w:line="233"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and privileges arising under any applicable Laws with respect to any Intellectual Property;</w:t>
      </w:r>
    </w:p>
    <w:p>
      <w:pPr>
        <w:spacing w:after="0" w:line="24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sue for or collect any damages from any past, present or future infringements of any Intellectual</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and</w:t>
      </w:r>
    </w:p>
    <w:p>
      <w:pPr>
        <w:spacing w:after="0" w:line="222" w:lineRule="exact"/>
        <w:rPr>
          <w:rFonts w:ascii="Times New Roman" w:cs="Times New Roman" w:eastAsia="Times New Roman" w:hAnsi="Times New Roman"/>
          <w:sz w:val="22"/>
          <w:szCs w:val="22"/>
          <w:color w:val="auto"/>
        </w:rPr>
      </w:pPr>
    </w:p>
    <w:p>
      <w:pPr>
        <w:ind w:left="760" w:firstLine="745"/>
        <w:spacing w:after="0" w:line="258" w:lineRule="auto"/>
        <w:tabs>
          <w:tab w:leader="none" w:pos="188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the same or similar effect or nature as described above in any jurisdiction corresponding to any Intellectual Property throughout the world.</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“Interest Period” </w:t>
      </w:r>
      <w:r>
        <w:rPr>
          <w:rFonts w:ascii="Times New Roman" w:cs="Times New Roman" w:eastAsia="Times New Roman" w:hAnsi="Times New Roman"/>
          <w:sz w:val="22"/>
          <w:szCs w:val="22"/>
          <w:color w:val="auto"/>
        </w:rPr>
        <w:t>means, (a) as to the Tranche A Term Loan, (i) initially, the period beginning on (and including)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and ending on (and including) the last day of the calendar month in which the Closing Date occurs, and (ii) thereafter, the period beginning on (and including) the first day of each succeeding calendar month and ending on the earlier of (and including) (x) the last day of such calendar month and (y) the Maturity Date, and (b) as to the Tranche B Term Loan, (i) the period commencing on (and including) the Tranche B Term Loan Borrowing Date and ending on (and including) the last day of the calendar month in which the Tranche B Term Loan Borrowing Date occurs, and (ii) thereafter, the period beginning on (and including) the first day of each succeeding calendar month and ending on the earlier of (and including) (x) the last day of such calendar month and (y) the Maturity Date.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69" w:name="page70"/>
    <w:bookmarkEnd w:id="69"/>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“Invention” </w:t>
      </w:r>
      <w:r>
        <w:rPr>
          <w:rFonts w:ascii="Times New Roman" w:cs="Times New Roman" w:eastAsia="Times New Roman" w:hAnsi="Times New Roman"/>
          <w:sz w:val="22"/>
          <w:szCs w:val="22"/>
          <w:color w:val="auto"/>
        </w:rPr>
        <w:t>means any novel, inventive or useful art, apparatus, method, process, machine (including any article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Device), manufacture or composition of matter, or any novel, inventive and useful improvement in any art, method, process, machine (including any article or Device), manufacture or composition of matter.</w:t>
      </w:r>
    </w:p>
    <w:p>
      <w:pPr>
        <w:spacing w:after="0" w:line="19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“Investment” </w:t>
      </w:r>
      <w:r>
        <w:rPr>
          <w:rFonts w:ascii="Times New Roman" w:cs="Times New Roman" w:eastAsia="Times New Roman" w:hAnsi="Times New Roman"/>
          <w:sz w:val="22"/>
          <w:szCs w:val="22"/>
          <w:color w:val="auto"/>
        </w:rPr>
        <w:t>means, for any Person: (a) the acquisition (whether for cash, Property, services or securities or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ninety (90) days arising in connection with the sale of services, inventory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“IRS” </w:t>
      </w:r>
      <w:r>
        <w:rPr>
          <w:rFonts w:ascii="Times New Roman" w:cs="Times New Roman" w:eastAsia="Times New Roman" w:hAnsi="Times New Roman"/>
          <w:sz w:val="22"/>
          <w:szCs w:val="22"/>
          <w:color w:val="auto"/>
        </w:rPr>
        <w:t>means the U.S. Internal Revenue Service or any successor agency, and to the extent relevant, the U.S. Department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Treasury.</w:t>
      </w:r>
    </w:p>
    <w:p>
      <w:pPr>
        <w:spacing w:after="0" w:line="19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“Laws” </w:t>
      </w:r>
      <w:r>
        <w:rPr>
          <w:rFonts w:ascii="Times New Roman" w:cs="Times New Roman" w:eastAsia="Times New Roman" w:hAnsi="Times New Roman"/>
          <w:sz w:val="22"/>
          <w:szCs w:val="22"/>
          <w:color w:val="auto"/>
        </w:rPr>
        <w:t>means, collectively, all international, foreign, federal, state, provincial, territorial, municipal and local statutes,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has the meaning set forth in the introduction hereto.</w:t>
      </w:r>
    </w:p>
    <w:p>
      <w:pPr>
        <w:spacing w:after="0" w:line="247" w:lineRule="exact"/>
        <w:rPr>
          <w:sz w:val="20"/>
          <w:szCs w:val="20"/>
          <w:color w:val="auto"/>
        </w:rPr>
      </w:pPr>
    </w:p>
    <w:p>
      <w:pPr>
        <w:jc w:val="both"/>
        <w:ind w:firstLine="749"/>
        <w:spacing w:after="0" w:line="262" w:lineRule="exact"/>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any mortgage, lien, pledge, charge or other security interest, or any lease, title retention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mortgage, restriction, easement, right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way, option or adverse Claim (of ownership or possession) or other encumbrance of any kind or character whatsoever or any preferential arrangement that has the practical effect of creating a security interest.</w:t>
      </w:r>
    </w:p>
    <w:p>
      <w:pPr>
        <w:spacing w:after="0" w:line="21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“Loan Documents” </w:t>
      </w:r>
      <w:r>
        <w:rPr>
          <w:rFonts w:ascii="Times New Roman" w:cs="Times New Roman" w:eastAsia="Times New Roman" w:hAnsi="Times New Roman"/>
          <w:sz w:val="22"/>
          <w:szCs w:val="22"/>
          <w:color w:val="auto"/>
        </w:rPr>
        <w:t>means, collectively, this Agreement, any Notes, the Security Documents, any Guarantee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Assumption Agreement, the Fee Letter, the Warrant Certificate (to the extent issued to the Administrative Agent), the Collateral Assignment of Business Interruption Insurance Policy, any intercompany notes, any collateral access agreement or bailee waiver,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“Loan Exposure” </w:t>
      </w:r>
      <w:r>
        <w:rPr>
          <w:rFonts w:ascii="Times New Roman" w:cs="Times New Roman" w:eastAsia="Times New Roman" w:hAnsi="Times New Roman"/>
          <w:sz w:val="22"/>
          <w:szCs w:val="22"/>
          <w:color w:val="auto"/>
        </w:rPr>
        <w:t>means, with respect to any Lender, as of any date of determination, the outstanding principal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such Lender’s portion of the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at any time prior 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22"/>
          <w:szCs w:val="22"/>
          <w:color w:val="auto"/>
        </w:rPr>
        <w:t>the making of a Term Loan, the Loan Exposure of any Lender shall be equal to such Lender’s Commitment with respect to such Term Loan.</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“Loss” </w:t>
      </w:r>
      <w:r>
        <w:rPr>
          <w:rFonts w:ascii="Times New Roman" w:cs="Times New Roman" w:eastAsia="Times New Roman" w:hAnsi="Times New Roman"/>
          <w:sz w:val="22"/>
          <w:szCs w:val="22"/>
          <w:color w:val="auto"/>
        </w:rPr>
        <w:t>means judgments, debts, liabilities, expenses, costs, damages or losses, contingent or otherwise, whether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liquidated or unliquidated, matured or unmatured, disputed or undisputed, contractual, legal or equitable, including loss of value, professional fees and all costs incurred in investigating or pursuing any Claim or any proceeding relating to any Claim.</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“Majority Lenders” </w:t>
      </w:r>
      <w:r>
        <w:rPr>
          <w:rFonts w:ascii="Times New Roman" w:cs="Times New Roman" w:eastAsia="Times New Roman" w:hAnsi="Times New Roman"/>
          <w:sz w:val="22"/>
          <w:szCs w:val="22"/>
          <w:color w:val="auto"/>
        </w:rPr>
        <w:t>means, at any time, one or more Lenders having or holding Loan Exposure and representing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50% of the aggregate Loan Exposure of all Lenders.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means “margin stock” within the meaning of Regulations U and X.</w:t>
      </w:r>
    </w:p>
    <w:p>
      <w:pPr>
        <w:spacing w:after="0" w:line="23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“Material Adverse Change”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“Material Adverse Effect” </w:t>
      </w:r>
      <w:r>
        <w:rPr>
          <w:rFonts w:ascii="Times New Roman" w:cs="Times New Roman" w:eastAsia="Times New Roman" w:hAnsi="Times New Roman"/>
          <w:sz w:val="21"/>
          <w:szCs w:val="21"/>
          <w:color w:val="auto"/>
        </w:rPr>
        <w:t>mean a material adverse change in or effect on (a)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business, financial condition, operations, performance or Property of the Obligors taken as a whole, (b) the ability of any Obligor to perform its obligations under any Loan Document, (c) the value of the Property comprising Collateral (taken as a whole), or</w:t>
      </w:r>
    </w:p>
    <w:p>
      <w:pPr>
        <w:spacing w:after="0" w:line="2" w:lineRule="exact"/>
        <w:rPr>
          <w:sz w:val="20"/>
          <w:szCs w:val="20"/>
          <w:color w:val="auto"/>
        </w:rPr>
      </w:pPr>
    </w:p>
    <w:p>
      <w:pPr>
        <w:ind w:firstLine="8"/>
        <w:spacing w:after="0" w:line="237" w:lineRule="auto"/>
        <w:tabs>
          <w:tab w:leader="none" w:pos="31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legality, validity, binding effect or enforceability of the Loan Documents or the rights and remedies of any Lender under any of the Loan Documents.</w:t>
      </w:r>
    </w:p>
    <w:p>
      <w:pPr>
        <w:spacing w:after="0" w:line="21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“Material Agreement” </w:t>
      </w:r>
      <w:r>
        <w:rPr>
          <w:rFonts w:ascii="Times New Roman" w:cs="Times New Roman" w:eastAsia="Times New Roman" w:hAnsi="Times New Roman"/>
          <w:sz w:val="21"/>
          <w:szCs w:val="21"/>
          <w:color w:val="auto"/>
        </w:rPr>
        <w:t>means (a) any Contract which is listed in Schedule 7.14, (b) any other Contract to which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Obligor is a party or a beneficiary from time to time, or to which any assets or properties of any Obligor is bound, the loss or termination of which would reasonably be expected to result in a Material Adverse Effect and (c)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$1,000,000 or (ii) require payments or expenditures (including royalty, licensing or similar payments) made by any Obligor in an aggregate amount in excess of $1,000,000.</w:t>
      </w:r>
    </w:p>
    <w:p>
      <w:pPr>
        <w:spacing w:after="0" w:line="21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“Material Indebtedness” </w:t>
      </w:r>
      <w:r>
        <w:rPr>
          <w:rFonts w:ascii="Times New Roman" w:cs="Times New Roman" w:eastAsia="Times New Roman" w:hAnsi="Times New Roman"/>
          <w:sz w:val="22"/>
          <w:szCs w:val="22"/>
          <w:color w:val="auto"/>
        </w:rPr>
        <w:t>means, at any time, any Indebtedness of any Obligor, the outstanding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individually or in the aggregate, exceeds $500,000.</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“Material Intellectual Property” </w:t>
      </w:r>
      <w:r>
        <w:rPr>
          <w:rFonts w:ascii="Times New Roman" w:cs="Times New Roman" w:eastAsia="Times New Roman" w:hAnsi="Times New Roman"/>
          <w:sz w:val="22"/>
          <w:szCs w:val="22"/>
          <w:color w:val="auto"/>
        </w:rPr>
        <w:t>means all Obligor Intellectual Property, including those identified in Schedule 7.05(b),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currently owned or licensed, or acquired, developed or otherwise licensed or obtained after the date hereof (a) necessary for the operation of the business of any Obligor as currently conducted or as currently contemplated to be conducted, (b) the loss of which would reasonably be expected to have or result in a Material Adverse Effect or (c) that has a fair market value in excess of $1,000,000.</w:t>
      </w:r>
    </w:p>
    <w:p>
      <w:pPr>
        <w:spacing w:after="0" w:line="2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“Maturity Date” </w:t>
      </w:r>
      <w:r>
        <w:rPr>
          <w:rFonts w:ascii="Times New Roman" w:cs="Times New Roman" w:eastAsia="Times New Roman" w:hAnsi="Times New Roman"/>
          <w:sz w:val="22"/>
          <w:szCs w:val="22"/>
          <w:color w:val="auto"/>
        </w:rPr>
        <w:t>means the earlier to occur of (a) the Stated Maturity Date, and (b) the date on which the Term Loans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accelerated pursuant to Section 10.02.</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any “multiemployer plan”, as defined in Section 400l(a)(3) of ERISA,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any Obligor or ERISA Affiliate incurs, or otherwise has, any obligation or liability, contingent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“Net Cash Proceeds” </w:t>
      </w:r>
      <w:r>
        <w:rPr>
          <w:rFonts w:ascii="Times New Roman" w:cs="Times New Roman" w:eastAsia="Times New Roman" w:hAnsi="Times New Roman"/>
          <w:sz w:val="22"/>
          <w:szCs w:val="22"/>
          <w:color w:val="auto"/>
        </w:rPr>
        <w:t>means,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71" w:name="page72"/>
    <w:bookmarkEnd w:id="71"/>
    <w:p>
      <w:pPr>
        <w:jc w:val="both"/>
        <w:ind w:left="760" w:firstLine="745"/>
        <w:spacing w:after="0" w:line="244" w:lineRule="auto"/>
        <w:tabs>
          <w:tab w:leader="none" w:pos="18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Casualty Event, the amount of cash proceeds actually received from time to time by or on behalf of such Obligor after deducting therefrom only (i) actual costs and expenses related thereto incurred by such Obligor and (ii) Taxes paid or payable in each case, in connection therewith or as a result thereof; and</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86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Asset Sale,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“Net Revenue” </w:t>
      </w:r>
      <w:r>
        <w:rPr>
          <w:rFonts w:ascii="Times New Roman" w:cs="Times New Roman" w:eastAsia="Times New Roman" w:hAnsi="Times New Roman"/>
          <w:sz w:val="22"/>
          <w:szCs w:val="22"/>
          <w:color w:val="auto"/>
        </w:rPr>
        <w:t>means, with respect to the Obligors, all amounts paid to and received by such Person in the Ordinary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Course of Business that, in accordance with GAAP, would be classified as net revenue and shall be determined in a manner consistent with the methodologies, practices and procedures used in the preparation of the financial statements described in Section 7.04(a).</w:t>
      </w:r>
    </w:p>
    <w:p>
      <w:pPr>
        <w:spacing w:after="0" w:line="21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means a promissory note executed and delivered by the Borrower to any Lender in the form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Exhibit C.</w:t>
      </w:r>
    </w:p>
    <w:p>
      <w:pPr>
        <w:spacing w:after="0" w:line="177"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with respect to any Obligor, all amounts, obligations (including, without limitation, all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filing 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petition interest is allowed in any such proceeding, (c) any Prepayment Premium, (d) the Exit Fee and (e) all other fees, expenses (including fees, charges and disbursement of counsel), interest, commissions, charges, costs, disbursements, indemnities and reimbursement of amounts paid and other sums chargeable to such Obligor under any Loan Document.</w:t>
      </w:r>
    </w:p>
    <w:p>
      <w:pPr>
        <w:spacing w:after="0" w:line="21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“Obligor Intellectual Property” </w:t>
      </w:r>
      <w:r>
        <w:rPr>
          <w:rFonts w:ascii="Times New Roman" w:cs="Times New Roman" w:eastAsia="Times New Roman" w:hAnsi="Times New Roman"/>
          <w:sz w:val="22"/>
          <w:szCs w:val="22"/>
          <w:color w:val="auto"/>
        </w:rPr>
        <w:t>means, at any time of determination, Intellectual Property owned by, licensed to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held by any Obligor at such time including, without limitation, the Intellectual Property listed on Schedule 7.05(b).</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“Obligors” </w:t>
      </w:r>
      <w:r>
        <w:rPr>
          <w:rFonts w:ascii="Times New Roman" w:cs="Times New Roman" w:eastAsia="Times New Roman" w:hAnsi="Times New Roman"/>
          <w:sz w:val="22"/>
          <w:szCs w:val="22"/>
          <w:color w:val="auto"/>
        </w:rPr>
        <w:t>means, collectively, the Borrower and each Guarantor.</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“OFAC” </w:t>
      </w:r>
      <w:r>
        <w:rPr>
          <w:rFonts w:ascii="Times New Roman" w:cs="Times New Roman" w:eastAsia="Times New Roman" w:hAnsi="Times New Roman"/>
          <w:sz w:val="21"/>
          <w:szCs w:val="21"/>
          <w:color w:val="auto"/>
        </w:rPr>
        <w:t>means the Office of Foreign Assets Control of the U.S. Department of the Treasury (or any successor thereto).</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72" w:name="page73"/>
    <w:bookmarkEnd w:id="72"/>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“Ordinary Course of Business” </w:t>
      </w:r>
      <w:r>
        <w:rPr>
          <w:rFonts w:ascii="Times New Roman" w:cs="Times New Roman" w:eastAsia="Times New Roman" w:hAnsi="Times New Roman"/>
          <w:sz w:val="22"/>
          <w:szCs w:val="22"/>
          <w:color w:val="auto"/>
        </w:rPr>
        <w:t>means, with respect to the Obligors, the ordinary course of business generally consistent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past custom and practice (including with respect to nature, scope, magnitude, quantity and frequency).</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means (a) with respect to any corporation, its certificate or articles of incorporation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spacing w:after="0" w:line="21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means, with respect to any Recipient, Taxes imposed as a result of a present or former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21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“Other Taxes” </w:t>
      </w:r>
      <w:r>
        <w:rPr>
          <w:rFonts w:ascii="Times New Roman" w:cs="Times New Roman" w:eastAsia="Times New Roman" w:hAnsi="Times New Roman"/>
          <w:sz w:val="21"/>
          <w:szCs w:val="21"/>
          <w:color w:val="auto"/>
        </w:rPr>
        <w:t>means all present or future stamp, court or documentary, intangible, recording, filing or similar Taxes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has the meaning set forth in Section 13.05(e).</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“Participant Register” </w:t>
      </w:r>
      <w:r>
        <w:rPr>
          <w:rFonts w:ascii="Times New Roman" w:cs="Times New Roman" w:eastAsia="Times New Roman" w:hAnsi="Times New Roman"/>
          <w:sz w:val="22"/>
          <w:szCs w:val="22"/>
          <w:color w:val="auto"/>
        </w:rPr>
        <w:t>has the meaning set forth in Section 13.05(f).</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“Patents” </w:t>
      </w:r>
      <w:r>
        <w:rPr>
          <w:rFonts w:ascii="Times New Roman" w:cs="Times New Roman" w:eastAsia="Times New Roman" w:hAnsi="Times New Roman"/>
          <w:sz w:val="22"/>
          <w:szCs w:val="22"/>
          <w:color w:val="auto"/>
        </w:rPr>
        <w:t>has the meaning set forth in the Security Documents.</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“Payment Date” </w:t>
      </w:r>
      <w:r>
        <w:rPr>
          <w:rFonts w:ascii="Times New Roman" w:cs="Times New Roman" w:eastAsia="Times New Roman" w:hAnsi="Times New Roman"/>
          <w:sz w:val="22"/>
          <w:szCs w:val="22"/>
          <w:color w:val="auto"/>
        </w:rPr>
        <w:t>means the last day of each Interest Period;</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such last day of such Interest Period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Day, then the Payment Date for such Interest Period will be the next succeeding Business Day.</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United States Pension Benefit Guaranty Corporation referred to and defined in ERISA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entity performing similar functions.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Perceptive</w:t>
      </w:r>
      <w:r>
        <w:rPr>
          <w:rFonts w:ascii="Times New Roman" w:cs="Times New Roman" w:eastAsia="Times New Roman" w:hAnsi="Times New Roman"/>
          <w:sz w:val="22"/>
          <w:szCs w:val="22"/>
          <w:color w:val="auto"/>
        </w:rPr>
        <w:t>” has the meaning set forth in the introduction hereto.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“Periodic Term SOFR Determination Day” </w:t>
      </w:r>
      <w:r>
        <w:rPr>
          <w:rFonts w:ascii="Times New Roman" w:cs="Times New Roman" w:eastAsia="Times New Roman" w:hAnsi="Times New Roman"/>
          <w:sz w:val="22"/>
          <w:szCs w:val="22"/>
          <w:color w:val="auto"/>
        </w:rPr>
        <w:t>has the meaning specified in the definition of “Term SOFR.”</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“Permits” </w:t>
      </w:r>
      <w:r>
        <w:rPr>
          <w:rFonts w:ascii="Times New Roman" w:cs="Times New Roman" w:eastAsia="Times New Roman" w:hAnsi="Times New Roman"/>
          <w:sz w:val="22"/>
          <w:szCs w:val="22"/>
          <w:color w:val="auto"/>
        </w:rPr>
        <w:t>means all permits, licenses, registrations, certificates, orders, approvals, authorizations, consents, waivers,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franchises, variances and similar rights issued by or obtained from 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22"/>
          <w:szCs w:val="22"/>
          <w:color w:val="auto"/>
        </w:rPr>
        <w:t>Governmental Authority or any other Person, including, without limitation, those relating to Environmental Laws and Health Care Laws and Regulatory Approvals.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“Permitted Acquisition” </w:t>
      </w:r>
      <w:r>
        <w:rPr>
          <w:rFonts w:ascii="Times New Roman" w:cs="Times New Roman" w:eastAsia="Times New Roman" w:hAnsi="Times New Roman"/>
          <w:sz w:val="22"/>
          <w:szCs w:val="22"/>
          <w:color w:val="auto"/>
        </w:rPr>
        <w:t>means any Acquisition by any Obligor or any of its wholly-owned Subsidiaries,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merger, amalgamation,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over the counter software license arrangements);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62" w:lineRule="exact"/>
        <w:rPr>
          <w:sz w:val="20"/>
          <w:szCs w:val="20"/>
          <w:color w:val="auto"/>
        </w:rPr>
      </w:pPr>
    </w:p>
    <w:p>
      <w:pPr>
        <w:ind w:left="1500" w:firstLine="754"/>
        <w:spacing w:after="0" w:line="258" w:lineRule="auto"/>
        <w:tabs>
          <w:tab w:leader="none" w:pos="262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immediately after giving effect thereto, no Default or Event of Default shall have occurred and be continuing or would result therefrom;</w:t>
      </w:r>
    </w:p>
    <w:p>
      <w:pPr>
        <w:spacing w:after="0" w:line="225"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7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in connection therewith shall be consummated, in all material respects, in accordance with all applicable Laws and in conformity in all material respects with all applicable Governmental Approvals;</w:t>
      </w:r>
    </w:p>
    <w:p>
      <w:pPr>
        <w:spacing w:after="0" w:line="240"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80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the Borrower shall have taken, or caused to be taken, as of the date such Person becomes a Subsidiary of an Obligor, each of the actions set forth in Section 8.11, if applicable;</w:t>
      </w:r>
    </w:p>
    <w:p>
      <w:pPr>
        <w:spacing w:after="0" w:line="262"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8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(in the case of an Acquisition of Equity Interests) or assets (in the case of an Acquisition of assets or a division) (A) shall be engaged or used, as the case may be, in the same business or lines of business in which the Borrower and/or its Subsidiaries are engaged or a business reasonably and substantially related thereto or (B) shall have a similar customer base as the Borrower and/or its Subsidiaries;</w:t>
      </w:r>
    </w:p>
    <w:p>
      <w:pPr>
        <w:spacing w:after="0" w:line="247" w:lineRule="exact"/>
        <w:rPr>
          <w:rFonts w:ascii="Times New Roman" w:cs="Times New Roman" w:eastAsia="Times New Roman" w:hAnsi="Times New Roman"/>
          <w:sz w:val="22"/>
          <w:szCs w:val="22"/>
          <w:color w:val="auto"/>
        </w:rPr>
      </w:pPr>
    </w:p>
    <w:p>
      <w:pPr>
        <w:ind w:left="1500" w:firstLine="754"/>
        <w:spacing w:after="0" w:line="258" w:lineRule="auto"/>
        <w:tabs>
          <w:tab w:leader="none" w:pos="273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provided the Administrative Agent with at least ten (10) Business Days’ prior written notice of any such Acquisition, together with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74" w:name="page75"/>
    <w:bookmarkEnd w:id="74"/>
    <w:p>
      <w:pPr>
        <w:ind w:left="1500"/>
        <w:spacing w:after="0" w:line="258" w:lineRule="auto"/>
        <w:rPr>
          <w:sz w:val="20"/>
          <w:szCs w:val="20"/>
          <w:color w:val="auto"/>
        </w:rPr>
      </w:pPr>
      <w:r>
        <w:rPr>
          <w:rFonts w:ascii="Times New Roman" w:cs="Times New Roman" w:eastAsia="Times New Roman" w:hAnsi="Times New Roman"/>
          <w:sz w:val="22"/>
          <w:szCs w:val="22"/>
          <w:color w:val="auto"/>
        </w:rPr>
        <w:t>summaries, prepared in reasonable detail, of all due diligence conducted by or on behalf of the Borrower or the applicable Subsidiary prior to such Acquisition;</w:t>
      </w:r>
    </w:p>
    <w:p>
      <w:pPr>
        <w:spacing w:after="0" w:line="2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(vi) all of the assets or Equity Interests acquired in connection with such Acquisition shall be of a U.S.</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Person;</w:t>
      </w:r>
    </w:p>
    <w:p>
      <w:pPr>
        <w:spacing w:after="0" w:line="250" w:lineRule="exact"/>
        <w:rPr>
          <w:sz w:val="20"/>
          <w:szCs w:val="20"/>
          <w:color w:val="auto"/>
        </w:rPr>
      </w:pPr>
    </w:p>
    <w:p>
      <w:pPr>
        <w:ind w:left="1500" w:firstLine="754"/>
        <w:spacing w:after="0" w:line="258" w:lineRule="auto"/>
        <w:tabs>
          <w:tab w:leader="none" w:pos="296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shall have been approved by the Board or other governing body or controlling Person of the Person acquired or the Person from whom such assets or division is acquired; and</w:t>
      </w:r>
    </w:p>
    <w:p>
      <w:pPr>
        <w:spacing w:after="0" w:line="221" w:lineRule="exact"/>
        <w:rPr>
          <w:rFonts w:ascii="Times New Roman" w:cs="Times New Roman" w:eastAsia="Times New Roman" w:hAnsi="Times New Roman"/>
          <w:sz w:val="22"/>
          <w:szCs w:val="22"/>
          <w:color w:val="auto"/>
        </w:rPr>
      </w:pPr>
    </w:p>
    <w:p>
      <w:pPr>
        <w:ind w:left="1500" w:firstLine="754"/>
        <w:spacing w:after="0" w:line="262" w:lineRule="auto"/>
        <w:tabs>
          <w:tab w:leader="none" w:pos="302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such Acquisition, the Obligors shall be in compliance with Sections 8.15(a) and 8.15(b).</w:t>
      </w:r>
    </w:p>
    <w:p>
      <w:pPr>
        <w:spacing w:after="0" w:line="19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“Permitted Cash Equivalent Investments” </w:t>
      </w:r>
      <w:r>
        <w:rPr>
          <w:rFonts w:ascii="Times New Roman" w:cs="Times New Roman" w:eastAsia="Times New Roman" w:hAnsi="Times New Roman"/>
          <w:sz w:val="22"/>
          <w:szCs w:val="22"/>
          <w:color w:val="auto"/>
        </w:rPr>
        <w:t>means (a) marketable direct obligations issued or unconditionally guaranteed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United States or any agency or any State thereof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 investment vehicles whose principal investments are in investments described in clauses (a) or (b) above, and (d) certificates of deposit maturing no more than one (1) year after issue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“Permitted Indebtedness” </w:t>
      </w:r>
      <w:r>
        <w:rPr>
          <w:rFonts w:ascii="Times New Roman" w:cs="Times New Roman" w:eastAsia="Times New Roman" w:hAnsi="Times New Roman"/>
          <w:sz w:val="22"/>
          <w:szCs w:val="22"/>
          <w:color w:val="auto"/>
        </w:rPr>
        <w:t>means any Indebtedness permitted under Section 9.01.</w:t>
      </w:r>
    </w:p>
    <w:p>
      <w:pPr>
        <w:spacing w:after="0" w:line="23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“Permitted Licenses” </w:t>
      </w:r>
      <w:r>
        <w:rPr>
          <w:rFonts w:ascii="Times New Roman" w:cs="Times New Roman" w:eastAsia="Times New Roman" w:hAnsi="Times New Roman"/>
          <w:sz w:val="22"/>
          <w:szCs w:val="22"/>
          <w:color w:val="auto"/>
        </w:rPr>
        <w:t>means (a) licenses of over-the-counter software that is commercially available to the public,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inbound licenses for the use of any Patents, Trademarks, Copyrights, Industrial Designs and Technical Information of any third party and (c) non-exclusive licenses for the use of Obligor Intellectual Property, in each case, entered into in the Ordinary Course of Business or as otherwise may be approved by the applicable Obligor’s Board and so long as (i) no Event of Default has occurred and is continuing at the time such license is entered into and (ii) such license does not materially impair the Lenders from exercising their rights under any of the Loan Documents.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means any Liens permitted under Section 9.02.</w:t>
      </w:r>
    </w:p>
    <w:p>
      <w:pPr>
        <w:spacing w:after="0" w:line="24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“Permitted Refinancing” </w:t>
      </w:r>
      <w:r>
        <w:rPr>
          <w:rFonts w:ascii="Times New Roman" w:cs="Times New Roman" w:eastAsia="Times New Roman" w:hAnsi="Times New Roman"/>
          <w:sz w:val="21"/>
          <w:szCs w:val="21"/>
          <w:color w:val="auto"/>
        </w:rPr>
        <w:t>means, with respect to any Indebtedness permitted to be refinanced, extended, renewed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replaced hereunder, any refinancings, extensions, renewals and replacements of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refinancing, extension, renewal or replacement shall not (a) increase the outstanding principal amount of the Indebtedness being refinanced, extended, renewed or replaced, (b) contain terms relating to 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after giving effect to such refinancing, extension, renewal or replacement, no Default shall have occurred (or could reasonably be expected to occur) as a result thereof.</w:t>
      </w:r>
    </w:p>
    <w:p>
      <w:pPr>
        <w:spacing w:after="0" w:line="19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any individual, corporation, company, voluntary association, partnership, limited liability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joint venture, trust, unincorporated organization or Governmental Authority or other entity of whatever nature.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5" w:name="page76"/>
    <w:bookmarkEnd w:id="75"/>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“PFIC” </w:t>
      </w:r>
      <w:r>
        <w:rPr>
          <w:rFonts w:ascii="Times New Roman" w:cs="Times New Roman" w:eastAsia="Times New Roman" w:hAnsi="Times New Roman"/>
          <w:sz w:val="22"/>
          <w:szCs w:val="22"/>
          <w:color w:val="auto"/>
        </w:rPr>
        <w:t>has the meaning set forth in Section 8.01(i).</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“Prepayment Premium” </w:t>
      </w:r>
      <w:r>
        <w:rPr>
          <w:rFonts w:ascii="Times New Roman" w:cs="Times New Roman" w:eastAsia="Times New Roman" w:hAnsi="Times New Roman"/>
          <w:sz w:val="22"/>
          <w:szCs w:val="22"/>
          <w:color w:val="auto"/>
        </w:rPr>
        <w:t>has the meaning set forth in Section 3.03(a).</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 Rata Share” </w:t>
      </w:r>
      <w:r>
        <w:rPr>
          <w:rFonts w:ascii="Times New Roman" w:cs="Times New Roman" w:eastAsia="Times New Roman" w:hAnsi="Times New Roman"/>
          <w:sz w:val="22"/>
          <w:szCs w:val="22"/>
          <w:color w:val="auto"/>
        </w:rPr>
        <w:t>has the meaning set forth in Section 11.08.</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“Product” </w:t>
      </w:r>
      <w:r>
        <w:rPr>
          <w:rFonts w:ascii="Times New Roman" w:cs="Times New Roman" w:eastAsia="Times New Roman" w:hAnsi="Times New Roman"/>
          <w:sz w:val="22"/>
          <w:szCs w:val="22"/>
          <w:color w:val="auto"/>
        </w:rPr>
        <w:t>means (a) those Devices set forth (and described in reasonable detail) on Schedule 3 attached hereto, and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current or future product or service subject to any Product Development and Commercialization Activities by any Obligor, including any such Device or other product or service currently in development.</w:t>
      </w:r>
    </w:p>
    <w:p>
      <w:pPr>
        <w:spacing w:after="0" w:line="19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“Product Agreement” </w:t>
      </w:r>
      <w:r>
        <w:rPr>
          <w:rFonts w:ascii="Times New Roman" w:cs="Times New Roman" w:eastAsia="Times New Roman" w:hAnsi="Times New Roman"/>
          <w:sz w:val="22"/>
          <w:szCs w:val="22"/>
          <w:color w:val="auto"/>
        </w:rPr>
        <w:t>means, with respect to any Product, any Contract, license, document, instrument, interest (equity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“Product Assets” </w:t>
      </w:r>
      <w:r>
        <w:rPr>
          <w:rFonts w:ascii="Times New Roman" w:cs="Times New Roman" w:eastAsia="Times New Roman" w:hAnsi="Times New Roman"/>
          <w:sz w:val="21"/>
          <w:szCs w:val="21"/>
          <w:color w:val="auto"/>
        </w:rPr>
        <w:t>means, with respect to any Product, (a) any and all rights, title and interest of the Obligors or any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their Subsidiaries in any assets relating to such Product or any Product Development and Commercialization Activities with respect to such Product, (b) any related Product Development and Commercialization Activities, (c) any Product Agreement related to such Product or any such Product Development and Commercialization Activities, (d) any Intellectual Property, Regulatory Approvals and similar assets with respect to such Product or any such Product Development and Commercialization Activities, and (e) all rights, title and interests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spacing w:after="0" w:line="212"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i w:val="1"/>
          <w:iCs w:val="1"/>
          <w:color w:val="auto"/>
        </w:rPr>
        <w:t xml:space="preserve">“Product Authorizations” </w:t>
      </w:r>
      <w:r>
        <w:rPr>
          <w:rFonts w:ascii="Times New Roman" w:cs="Times New Roman" w:eastAsia="Times New Roman" w:hAnsi="Times New Roman"/>
          <w:sz w:val="22"/>
          <w:szCs w:val="22"/>
          <w:color w:val="auto"/>
        </w:rPr>
        <w:t>means any and all Regulatory Approvals (including all applicable Device Clearance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Applications, supplements, amendments, governmental price and reimbursement approvals and approvals of applications for regulatory exclusivity), licenses,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“Product Development and Commercialization Activities” </w:t>
      </w:r>
      <w:r>
        <w:rPr>
          <w:rFonts w:ascii="Times New Roman" w:cs="Times New Roman" w:eastAsia="Times New Roman" w:hAnsi="Times New Roman"/>
          <w:sz w:val="22"/>
          <w:szCs w:val="22"/>
          <w:color w:val="auto"/>
        </w:rPr>
        <w:t>means, with respect to any Product, any combination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spacing w:after="0" w:line="2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“Prohibited Payment” </w:t>
      </w:r>
      <w:r>
        <w:rPr>
          <w:rFonts w:ascii="Times New Roman" w:cs="Times New Roman" w:eastAsia="Times New Roman" w:hAnsi="Times New Roman"/>
          <w:sz w:val="22"/>
          <w:szCs w:val="22"/>
          <w:color w:val="auto"/>
        </w:rPr>
        <w:t>means any bribe, rebate, payoff, influence payment, kickback or other payment or gift of money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anything of value (including meals or entertainment) to any officer,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76" w:name="page77"/>
    <w:bookmarkEnd w:id="76"/>
    <w:p>
      <w:pPr>
        <w:jc w:val="both"/>
        <w:spacing w:after="0" w:line="272" w:lineRule="exact"/>
        <w:rPr>
          <w:sz w:val="20"/>
          <w:szCs w:val="20"/>
          <w:color w:val="auto"/>
        </w:rPr>
      </w:pPr>
      <w:r>
        <w:rPr>
          <w:rFonts w:ascii="Times New Roman" w:cs="Times New Roman" w:eastAsia="Times New Roman" w:hAnsi="Times New Roman"/>
          <w:sz w:val="22"/>
          <w:szCs w:val="22"/>
          <w:color w:val="auto"/>
        </w:rPr>
        <w:t>employee or ceremonial office holder of any government or instrumentality thereof, political party or supra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national organization (such as the United Nations), any political candidate, any royal family member or any other person who is connected or associated personally with any of the foregoing that is prohibited under any Requirement of Law.</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has the meaning set forth in Section 7.04(b).</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of any Person means any property or assets, or interest therein, of such Person.</w:t>
      </w:r>
    </w:p>
    <w:p>
      <w:pPr>
        <w:spacing w:after="0" w:line="24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“Proportionate Share” </w:t>
      </w:r>
      <w:r>
        <w:rPr>
          <w:rFonts w:ascii="Times New Roman" w:cs="Times New Roman" w:eastAsia="Times New Roman" w:hAnsi="Times New Roman"/>
          <w:sz w:val="22"/>
          <w:szCs w:val="22"/>
          <w:color w:val="auto"/>
        </w:rPr>
        <w:t>means, with respect to any Lender, the percentage obtained by dividing (a) the Loan Exposure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Lender then in effect by (b) the aggregate Loan Exposure of all Lenders then in effect.</w:t>
      </w:r>
    </w:p>
    <w:p>
      <w:pPr>
        <w:spacing w:after="0" w:line="17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“Proposal Letter” </w:t>
      </w:r>
      <w:r>
        <w:rPr>
          <w:rFonts w:ascii="Times New Roman" w:cs="Times New Roman" w:eastAsia="Times New Roman" w:hAnsi="Times New Roman"/>
          <w:sz w:val="21"/>
          <w:szCs w:val="21"/>
          <w:color w:val="auto"/>
        </w:rPr>
        <w:t>means the letter agreement, dated December 15, 2025, among the Borrower and Perceptive Advisors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LLC, regarding the transactions contemplated hereby and the outline of proposed terms and conditions attached thereto.</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i w:val="1"/>
          <w:iCs w:val="1"/>
          <w:color w:val="auto"/>
        </w:rPr>
        <w:t xml:space="preserve">“Publicly Reporting Company” </w:t>
      </w:r>
      <w:r>
        <w:rPr>
          <w:rFonts w:ascii="Times New Roman" w:cs="Times New Roman" w:eastAsia="Times New Roman" w:hAnsi="Times New Roman"/>
          <w:sz w:val="21"/>
          <w:szCs w:val="21"/>
          <w:color w:val="auto"/>
        </w:rPr>
        <w:t>means an issuer generally subject to the public reporting requirements of the Exchange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13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“Qualified Equity Interest” </w:t>
      </w:r>
      <w:r>
        <w:rPr>
          <w:rFonts w:ascii="Times New Roman" w:cs="Times New Roman" w:eastAsia="Times New Roman" w:hAnsi="Times New Roman"/>
          <w:sz w:val="22"/>
          <w:szCs w:val="22"/>
          <w:color w:val="auto"/>
        </w:rPr>
        <w:t>means, with respect to any Person, any Equity Interest of such Person that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Disqualified Equity Interest.</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“Recipient” </w:t>
      </w:r>
      <w:r>
        <w:rPr>
          <w:rFonts w:ascii="Times New Roman" w:cs="Times New Roman" w:eastAsia="Times New Roman" w:hAnsi="Times New Roman"/>
          <w:sz w:val="22"/>
          <w:szCs w:val="22"/>
          <w:color w:val="auto"/>
        </w:rPr>
        <w:t>means any Lender or the Administrative Agent.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“Redemption Date” </w:t>
      </w:r>
      <w:r>
        <w:rPr>
          <w:rFonts w:ascii="Times New Roman" w:cs="Times New Roman" w:eastAsia="Times New Roman" w:hAnsi="Times New Roman"/>
          <w:sz w:val="22"/>
          <w:szCs w:val="22"/>
          <w:color w:val="auto"/>
        </w:rPr>
        <w:t>has the meaning set forth in Section 3.03(a).</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“Redemption Price” </w:t>
      </w:r>
      <w:r>
        <w:rPr>
          <w:rFonts w:ascii="Times New Roman" w:cs="Times New Roman" w:eastAsia="Times New Roman" w:hAnsi="Times New Roman"/>
          <w:sz w:val="22"/>
          <w:szCs w:val="22"/>
          <w:color w:val="auto"/>
        </w:rPr>
        <w:t>has the meaning set forth in Section 3.03(a).</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“Referral Source” </w:t>
      </w:r>
      <w:r>
        <w:rPr>
          <w:rFonts w:ascii="Times New Roman" w:cs="Times New Roman" w:eastAsia="Times New Roman" w:hAnsi="Times New Roman"/>
          <w:sz w:val="22"/>
          <w:szCs w:val="22"/>
          <w:color w:val="auto"/>
        </w:rPr>
        <w:t>has the meaning set forth in Section 7.07(b)(i).</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“Register” </w:t>
      </w:r>
      <w:r>
        <w:rPr>
          <w:rFonts w:ascii="Times New Roman" w:cs="Times New Roman" w:eastAsia="Times New Roman" w:hAnsi="Times New Roman"/>
          <w:sz w:val="22"/>
          <w:szCs w:val="22"/>
          <w:color w:val="auto"/>
        </w:rPr>
        <w:t>has the meaning set forth in Section 13.05(d).</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“Regulated Product Laws” </w:t>
      </w:r>
      <w:r>
        <w:rPr>
          <w:rFonts w:ascii="Times New Roman" w:cs="Times New Roman" w:eastAsia="Times New Roman" w:hAnsi="Times New Roman"/>
          <w:sz w:val="22"/>
          <w:szCs w:val="22"/>
          <w:color w:val="auto"/>
        </w:rPr>
        <w:t>means (a) FDA Laws and (b) all applicable statutes, rules, regulations and orders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administered or issued by any other applicable non-U.S. Regulatory Authority equivalent of the FDA, including without limitation, the European Medicines Agency, and the Japan Pharmaceutical and Medical Devices Agency.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T” </w:t>
      </w:r>
      <w:r>
        <w:rPr>
          <w:rFonts w:ascii="Times New Roman" w:cs="Times New Roman" w:eastAsia="Times New Roman" w:hAnsi="Times New Roman"/>
          <w:sz w:val="22"/>
          <w:szCs w:val="22"/>
          <w:color w:val="auto"/>
        </w:rPr>
        <w:t>means Regulation T of the Board of Governors of the Federal Reserve System, as amended.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U” </w:t>
      </w:r>
      <w:r>
        <w:rPr>
          <w:rFonts w:ascii="Times New Roman" w:cs="Times New Roman" w:eastAsia="Times New Roman" w:hAnsi="Times New Roman"/>
          <w:sz w:val="22"/>
          <w:szCs w:val="22"/>
          <w:color w:val="auto"/>
        </w:rPr>
        <w:t>means Regulation U of the Board of Governors of the Federal Reserve System, as amended.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“Regulation X” </w:t>
      </w:r>
      <w:r>
        <w:rPr>
          <w:rFonts w:ascii="Times New Roman" w:cs="Times New Roman" w:eastAsia="Times New Roman" w:hAnsi="Times New Roman"/>
          <w:sz w:val="22"/>
          <w:szCs w:val="22"/>
          <w:color w:val="auto"/>
        </w:rPr>
        <w:t>means Regulation X of the Board of Governors of the Federal Reserve System, as amended.</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“Regulatory Approvals” </w:t>
      </w:r>
      <w:r>
        <w:rPr>
          <w:rFonts w:ascii="Times New Roman" w:cs="Times New Roman" w:eastAsia="Times New Roman" w:hAnsi="Times New Roman"/>
          <w:sz w:val="22"/>
          <w:szCs w:val="22"/>
          <w:color w:val="auto"/>
        </w:rPr>
        <w:t>means any Governmental Approval relating to any Product or any Product Development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Commercialization Activities related to such Product, including any Product Authorizations with respect thereto.</w:t>
      </w:r>
    </w:p>
    <w:p>
      <w:pPr>
        <w:spacing w:after="0" w:line="10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“Regulatory Authority” </w:t>
      </w:r>
      <w:r>
        <w:rPr>
          <w:rFonts w:ascii="Times New Roman" w:cs="Times New Roman" w:eastAsia="Times New Roman" w:hAnsi="Times New Roman"/>
          <w:sz w:val="22"/>
          <w:szCs w:val="22"/>
          <w:color w:val="auto"/>
        </w:rPr>
        <w:t>means any Governmental Authority that is concerned with or has regulatory or supervisory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oversight with respect to any Product or any Product Development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77" w:name="page78"/>
    <w:bookmarkEnd w:id="77"/>
    <w:p>
      <w:pPr>
        <w:jc w:val="both"/>
        <w:spacing w:after="0" w:line="261" w:lineRule="exact"/>
        <w:rPr>
          <w:sz w:val="20"/>
          <w:szCs w:val="20"/>
          <w:color w:val="auto"/>
        </w:rPr>
      </w:pPr>
      <w:r>
        <w:rPr>
          <w:rFonts w:ascii="Times New Roman" w:cs="Times New Roman" w:eastAsia="Times New Roman" w:hAnsi="Times New Roman"/>
          <w:sz w:val="22"/>
          <w:szCs w:val="22"/>
          <w:color w:val="auto"/>
        </w:rPr>
        <w:t>Commercialization Activities relating to any Product, including the FDA and all equivalent Governmental Authorities, whether U.S.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U.S. (including without limitation, the European Medicines Agency, the Japan Pharmaceutical and Medicare Devices Agency and the Japan Ministry of Health, Labour and Welfare).</w:t>
      </w:r>
    </w:p>
    <w:p>
      <w:pPr>
        <w:spacing w:after="0" w:line="14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“Representatives” </w:t>
      </w:r>
      <w:r>
        <w:rPr>
          <w:rFonts w:ascii="Times New Roman" w:cs="Times New Roman" w:eastAsia="Times New Roman" w:hAnsi="Times New Roman"/>
          <w:sz w:val="22"/>
          <w:szCs w:val="22"/>
          <w:color w:val="auto"/>
        </w:rPr>
        <w:t>has the meaning set forth in Section 13.17.</w:t>
      </w:r>
    </w:p>
    <w:p>
      <w:pPr>
        <w:spacing w:after="0" w:line="16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“Requirement of Law” </w:t>
      </w:r>
      <w:r>
        <w:rPr>
          <w:rFonts w:ascii="Times New Roman" w:cs="Times New Roman" w:eastAsia="Times New Roman" w:hAnsi="Times New Roman"/>
          <w:sz w:val="22"/>
          <w:szCs w:val="22"/>
          <w:color w:val="auto"/>
        </w:rPr>
        <w:t>means, as to any Person, any Law applicable to or binding upon such Person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Properties or revenues.</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“Resignation Effective Date” </w:t>
      </w:r>
      <w:r>
        <w:rPr>
          <w:rFonts w:ascii="Times New Roman" w:cs="Times New Roman" w:eastAsia="Times New Roman" w:hAnsi="Times New Roman"/>
          <w:sz w:val="22"/>
          <w:szCs w:val="22"/>
          <w:color w:val="auto"/>
        </w:rPr>
        <w:t>has the meaning set forth in Section 12.06(a).</w:t>
      </w:r>
    </w:p>
    <w:p>
      <w:pPr>
        <w:spacing w:after="0" w:line="16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of any Person means each of the president, chief executive officer and chief financial officer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Person.</w:t>
      </w:r>
    </w:p>
    <w:p>
      <w:pPr>
        <w:spacing w:after="0" w:line="10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“Restricted Payment” </w:t>
      </w:r>
      <w:r>
        <w:rPr>
          <w:rFonts w:ascii="Times New Roman" w:cs="Times New Roman" w:eastAsia="Times New Roman" w:hAnsi="Times New Roman"/>
          <w:sz w:val="22"/>
          <w:szCs w:val="22"/>
          <w:color w:val="auto"/>
        </w:rPr>
        <w:t>means any dividend or other distribution (which shall include any management fees) (whether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securities or other Property) with respect to any Equity Interest of an Obligor or any of its Subsidiaries, or any payment (whether in cash, securities or other Property), including any sinking fund or similar deposit, on account of the purchase, redemption, retirement, acquisition, cancellation or termination of any Equity Interests of an Obligor or any of its Subsidiaries or any option, warrant or other right to acquire any Equity Interests of an Obligor or any of its Subsidiaries.</w:t>
      </w:r>
    </w:p>
    <w:p>
      <w:pPr>
        <w:spacing w:after="0" w:line="15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Restrictive Agreement</w:t>
      </w:r>
      <w:r>
        <w:rPr>
          <w:rFonts w:ascii="Times New Roman" w:cs="Times New Roman" w:eastAsia="Times New Roman" w:hAnsi="Times New Roman"/>
          <w:sz w:val="21"/>
          <w:szCs w:val="21"/>
          <w:color w:val="auto"/>
        </w:rPr>
        <w:t>” 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w:t>
      </w:r>
    </w:p>
    <w:p>
      <w:pPr>
        <w:spacing w:after="0" w:line="8" w:lineRule="exact"/>
        <w:rPr>
          <w:sz w:val="20"/>
          <w:szCs w:val="20"/>
          <w:color w:val="auto"/>
        </w:rPr>
      </w:pPr>
    </w:p>
    <w:p>
      <w:pPr>
        <w:jc w:val="both"/>
        <w:ind w:firstLine="8"/>
        <w:spacing w:after="0" w:line="235" w:lineRule="auto"/>
        <w:tabs>
          <w:tab w:leader="none" w:pos="32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any Subsidiary to pay dividends or other distributions with respect to any shares of its Equity Interests or to make or repay loans or advances to an Obligor or any other Subsidiary or to Guarantee Indebtedness of an Obligor or any other Subsidiary.</w:t>
      </w:r>
    </w:p>
    <w:p>
      <w:pPr>
        <w:spacing w:after="0" w:line="1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“Sanctions” </w:t>
      </w:r>
      <w:r>
        <w:rPr>
          <w:rFonts w:ascii="Times New Roman" w:cs="Times New Roman" w:eastAsia="Times New Roman" w:hAnsi="Times New Roman"/>
          <w:sz w:val="22"/>
          <w:szCs w:val="22"/>
          <w:color w:val="auto"/>
        </w:rPr>
        <w:t>means economic or financial sanctions, requirements or trade embargoes imposed, administered or enforced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 by any Governmental Authority (including, but not limited to, OFAC, the U.S. Department of State and the U.S. Department of Commerce).</w:t>
      </w:r>
    </w:p>
    <w:p>
      <w:pPr>
        <w:spacing w:after="0" w:line="12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“Sanctions Laws” </w:t>
      </w:r>
      <w:r>
        <w:rPr>
          <w:rFonts w:ascii="Times New Roman" w:cs="Times New Roman" w:eastAsia="Times New Roman" w:hAnsi="Times New Roman"/>
          <w:sz w:val="22"/>
          <w:szCs w:val="22"/>
          <w:color w:val="auto"/>
        </w:rPr>
        <w:t>means all laws, rules, regulations and requirements of any jurisdiction applicable to the Obligors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party to the Loan Documents concerning or relating to Sanctions, terrorism or money laundering.</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United States Securities and Exchange Commission.</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“Securities Account” </w:t>
      </w:r>
      <w:r>
        <w:rPr>
          <w:rFonts w:ascii="Times New Roman" w:cs="Times New Roman" w:eastAsia="Times New Roman" w:hAnsi="Times New Roman"/>
          <w:sz w:val="22"/>
          <w:szCs w:val="22"/>
          <w:color w:val="auto"/>
        </w:rPr>
        <w:t>has the meaning set forth in the Security Agreement.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78" w:name="page79"/>
    <w:bookmarkEnd w:id="78"/>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“Security Agreement” </w:t>
      </w:r>
      <w:r>
        <w:rPr>
          <w:rFonts w:ascii="Times New Roman" w:cs="Times New Roman" w:eastAsia="Times New Roman" w:hAnsi="Times New Roman"/>
          <w:sz w:val="22"/>
          <w:szCs w:val="22"/>
          <w:color w:val="auto"/>
        </w:rPr>
        <w:t>means the Security Agreement, dated as of the date hereof, in substantially the form of Exhibit 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the Obligors, the Lenders and the Administrative Agent, granting a security interest in the personal Property constituting Collateral thereunder in favor of the Administrative Agent for the benefit of the Lenders.</w:t>
      </w:r>
    </w:p>
    <w:p>
      <w:pPr>
        <w:spacing w:after="0" w:line="110"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“Security Documents” </w:t>
      </w:r>
      <w:r>
        <w:rPr>
          <w:rFonts w:ascii="Times New Roman" w:cs="Times New Roman" w:eastAsia="Times New Roman" w:hAnsi="Times New Roman"/>
          <w:sz w:val="22"/>
          <w:szCs w:val="22"/>
          <w:color w:val="auto"/>
        </w:rPr>
        <w:t>means, collectively, the Security Agreement, each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IP Security Agreement,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security document, control agreement or financing statement executed to perfect Liens in favor of the Administrative Agent for the benefit of the Lenders.</w:t>
      </w:r>
    </w:p>
    <w:p>
      <w:pPr>
        <w:spacing w:after="0" w:line="102"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“Short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Form IP Security Agreements” </w:t>
      </w:r>
      <w:r>
        <w:rPr>
          <w:rFonts w:ascii="Times New Roman" w:cs="Times New Roman" w:eastAsia="Times New Roman" w:hAnsi="Times New Roman"/>
          <w:sz w:val="22"/>
          <w:szCs w:val="22"/>
          <w:color w:val="auto"/>
        </w:rPr>
        <w:t>means any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copyright, patent or trademark (as the case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 agreements, in substantially the form of Exhibits H-1 and H-2, entered into by one or more Obligors in favor of the Administrative Agent for the benefit of the Lenders, each in form and substance satisfactory to the Administrative Agent.</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0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“SOFR Administrator’s Website” </w:t>
      </w:r>
      <w:r>
        <w:rPr>
          <w:rFonts w:ascii="Times New Roman" w:cs="Times New Roman" w:eastAsia="Times New Roman" w:hAnsi="Times New Roman"/>
          <w:sz w:val="22"/>
          <w:szCs w:val="22"/>
          <w:color w:val="auto"/>
        </w:rPr>
        <w:t>means the website of the Federal Reserve Bank of New York, currently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http://www.newyorkfed.org, or any successor source for the secured overnight financing rate identified as such by the SOFR Administrator from time to time.</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“SOFR Determination Day” </w:t>
      </w:r>
      <w:r>
        <w:rPr>
          <w:rFonts w:ascii="Times New Roman" w:cs="Times New Roman" w:eastAsia="Times New Roman" w:hAnsi="Times New Roman"/>
          <w:sz w:val="22"/>
          <w:szCs w:val="22"/>
          <w:color w:val="auto"/>
        </w:rPr>
        <w:t>has the meaning specified in the definition of</w:t>
      </w:r>
      <w:r>
        <w:rPr>
          <w:rFonts w:ascii="Times New Roman" w:cs="Times New Roman" w:eastAsia="Times New Roman" w:hAnsi="Times New Roman"/>
          <w:sz w:val="22"/>
          <w:szCs w:val="22"/>
          <w:i w:val="1"/>
          <w:iCs w:val="1"/>
          <w:color w:val="auto"/>
        </w:rPr>
        <w:t xml:space="preserve"> “Daily Simple SOFR”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“SOFR Rate Day” </w:t>
      </w:r>
      <w:r>
        <w:rPr>
          <w:rFonts w:ascii="Times New Roman" w:cs="Times New Roman" w:eastAsia="Times New Roman" w:hAnsi="Times New Roman"/>
          <w:sz w:val="22"/>
          <w:szCs w:val="22"/>
          <w:color w:val="auto"/>
        </w:rPr>
        <w:t>has the meaning specified in the definition of</w:t>
      </w:r>
      <w:r>
        <w:rPr>
          <w:rFonts w:ascii="Times New Roman" w:cs="Times New Roman" w:eastAsia="Times New Roman" w:hAnsi="Times New Roman"/>
          <w:sz w:val="22"/>
          <w:szCs w:val="22"/>
          <w:i w:val="1"/>
          <w:iCs w:val="1"/>
          <w:color w:val="auto"/>
        </w:rPr>
        <w:t xml:space="preserve"> “Daily Simple SOFR”</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“Solvent” </w:t>
      </w:r>
      <w:r>
        <w:rPr>
          <w:rFonts w:ascii="Times New Roman" w:cs="Times New Roman" w:eastAsia="Times New Roman" w:hAnsi="Times New Roman"/>
          <w:sz w:val="22"/>
          <w:szCs w:val="22"/>
          <w:color w:val="auto"/>
        </w:rPr>
        <w:t>means, as to any Person as of any date of determination, that on such date (a) the fair value of the property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Person (as measured by such Person’s market capitalization, less its consolidated liabilities, as of the date of determination)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3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“Standard Body” </w:t>
      </w:r>
      <w:r>
        <w:rPr>
          <w:rFonts w:ascii="Times New Roman" w:cs="Times New Roman" w:eastAsia="Times New Roman" w:hAnsi="Times New Roman"/>
          <w:sz w:val="22"/>
          <w:szCs w:val="22"/>
          <w:color w:val="auto"/>
        </w:rPr>
        <w:t>means any of the organizations that create, sponsor or maintain safety, quality or other standards,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ISO, ANSI, CEN and SCC and the like.</w:t>
      </w:r>
    </w:p>
    <w:p>
      <w:pPr>
        <w:spacing w:after="0" w:line="136" w:lineRule="exact"/>
        <w:rPr>
          <w:sz w:val="20"/>
          <w:szCs w:val="20"/>
          <w:color w:val="auto"/>
        </w:rPr>
      </w:pPr>
    </w:p>
    <w:p>
      <w:pPr>
        <w:jc w:val="both"/>
        <w:ind w:firstLine="749"/>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“Stated Maturity Date” </w:t>
      </w:r>
      <w:r>
        <w:rPr>
          <w:rFonts w:ascii="Times New Roman" w:cs="Times New Roman" w:eastAsia="Times New Roman" w:hAnsi="Times New Roman"/>
          <w:sz w:val="22"/>
          <w:szCs w:val="22"/>
          <w:color w:val="auto"/>
        </w:rPr>
        <w:t>means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any such date shall occur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 day that is not a Business Day, then the Stated Maturity Date shall be the immediately succeeding Business Day.</w:t>
      </w:r>
    </w:p>
    <w:p>
      <w:pPr>
        <w:spacing w:after="0" w:line="13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with respect to any Person (the</w:t>
      </w:r>
      <w:r>
        <w:rPr>
          <w:rFonts w:ascii="Times New Roman" w:cs="Times New Roman" w:eastAsia="Times New Roman" w:hAnsi="Times New Roman"/>
          <w:sz w:val="22"/>
          <w:szCs w:val="22"/>
          <w:i w:val="1"/>
          <w:iCs w:val="1"/>
          <w:color w:val="auto"/>
        </w:rPr>
        <w:t xml:space="preserve"> “parent”</w:t>
      </w:r>
      <w:r>
        <w:rPr>
          <w:rFonts w:ascii="Times New Roman" w:cs="Times New Roman" w:eastAsia="Times New Roman" w:hAnsi="Times New Roman"/>
          <w:sz w:val="22"/>
          <w:szCs w:val="22"/>
          <w:color w:val="auto"/>
        </w:rPr>
        <w:t>) at any time of determination, any other Person of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than 50% of the outstanding capital stock of such other Person having ordinary voting powers, determined on a fully diluted basis, is at the time directly or indirectly owned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22"/>
          <w:szCs w:val="22"/>
          <w:color w:val="auto"/>
        </w:rPr>
        <w:t>or Controlled by the parent. Unless the context otherwise specifically requires, the term “Subsidiary” shall be a reference to a Subsidiary of the Borrower.</w:t>
      </w:r>
    </w:p>
    <w:p>
      <w:pPr>
        <w:spacing w:after="0" w:line="12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means all present or future taxes, levies, imposts, duties, deductions, withholdings, (including backup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withholding), assessments, fees or other charges imposed by any Governmental Authority, including any interest, additions to tax or penalties applicable thereto.</w:t>
      </w:r>
    </w:p>
    <w:p>
      <w:pPr>
        <w:spacing w:after="0" w:line="127" w:lineRule="exact"/>
        <w:rPr>
          <w:sz w:val="20"/>
          <w:szCs w:val="20"/>
          <w:color w:val="auto"/>
        </w:rPr>
      </w:pPr>
    </w:p>
    <w:p>
      <w:pPr>
        <w:jc w:val="both"/>
        <w:ind w:firstLine="749"/>
        <w:spacing w:after="0" w:line="255" w:lineRule="exact"/>
        <w:rPr>
          <w:sz w:val="20"/>
          <w:szCs w:val="20"/>
          <w:color w:val="auto"/>
        </w:rPr>
      </w:pPr>
      <w:r>
        <w:rPr>
          <w:rFonts w:ascii="Times New Roman" w:cs="Times New Roman" w:eastAsia="Times New Roman" w:hAnsi="Times New Roman"/>
          <w:sz w:val="22"/>
          <w:szCs w:val="22"/>
          <w:i w:val="1"/>
          <w:iCs w:val="1"/>
          <w:color w:val="auto"/>
        </w:rPr>
        <w:t xml:space="preserve">“Technical Information” </w:t>
      </w:r>
      <w:r>
        <w:rPr>
          <w:rFonts w:ascii="Times New Roman" w:cs="Times New Roman" w:eastAsia="Times New Roman" w:hAnsi="Times New Roman"/>
          <w:sz w:val="22"/>
          <w:szCs w:val="22"/>
          <w:color w:val="auto"/>
        </w:rPr>
        <w:t>means all trade secrets and other proprietary or confidential information, which may include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proprietary information of a scientific or technical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technical information, systems, methodologies, computer programs or information technology.</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“Term Loans” </w:t>
      </w:r>
      <w:r>
        <w:rPr>
          <w:rFonts w:ascii="Times New Roman" w:cs="Times New Roman" w:eastAsia="Times New Roman" w:hAnsi="Times New Roman"/>
          <w:sz w:val="22"/>
          <w:szCs w:val="22"/>
          <w:color w:val="auto"/>
        </w:rPr>
        <w:t>means the Tranche A Term Loan and the Tranche B Term Loan.</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xml:space="preserve">” means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that is two (2) U.S. Government Securities Business Days prior to the first day of such Interest Period, as such rate is published by the Term SOFR Administrator</w:t>
      </w:r>
      <w:r>
        <w:rPr>
          <w:rFonts w:ascii="Times New Roman" w:cs="Times New Roman" w:eastAsia="Times New Roman" w:hAnsi="Times New Roman"/>
          <w:sz w:val="22"/>
          <w:szCs w:val="22"/>
          <w:i w:val="1"/>
          <w:iCs w:val="1"/>
          <w:color w:val="auto"/>
        </w:rPr>
        <w:t>; provided, however</w:t>
      </w:r>
      <w:r>
        <w:rPr>
          <w:rFonts w:ascii="Times New Roman" w:cs="Times New Roman" w:eastAsia="Times New Roman" w:hAnsi="Times New Roman"/>
          <w:sz w:val="22"/>
          <w:szCs w:val="22"/>
          <w:color w:val="auto"/>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Term SOFR shall be rounded upwards to the next 1/100% (if necessary);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however</w:t>
      </w:r>
      <w:r>
        <w:rPr>
          <w:rFonts w:ascii="Times New Roman" w:cs="Times New Roman" w:eastAsia="Times New Roman" w:hAnsi="Times New Roman"/>
          <w:sz w:val="22"/>
          <w:szCs w:val="22"/>
          <w:color w:val="auto"/>
        </w:rPr>
        <w:t>, if Term SOFR as so determined shall ever be less than the Floor, then Term SOFR shall be deemed to be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Floor.</w:t>
      </w:r>
    </w:p>
    <w:p>
      <w:pPr>
        <w:spacing w:after="0" w:line="14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149"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“Third </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Party Payor Program” </w:t>
      </w:r>
      <w:r>
        <w:rPr>
          <w:rFonts w:ascii="Times New Roman" w:cs="Times New Roman" w:eastAsia="Times New Roman" w:hAnsi="Times New Roman"/>
          <w:sz w:val="22"/>
          <w:szCs w:val="22"/>
          <w:color w:val="auto"/>
        </w:rPr>
        <w:t>means any Federal Health Care Program, or any other health care payment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program in which an Obligor or Subsidiary participates, including programs sponsored by private insurers or managed care plans.</w:t>
      </w:r>
    </w:p>
    <w:p>
      <w:pPr>
        <w:spacing w:after="0" w:line="13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“Title IV Plan” </w:t>
      </w:r>
      <w:r>
        <w:rPr>
          <w:rFonts w:ascii="Times New Roman" w:cs="Times New Roman" w:eastAsia="Times New Roman" w:hAnsi="Times New Roman"/>
          <w:sz w:val="22"/>
          <w:szCs w:val="22"/>
          <w:color w:val="auto"/>
        </w:rPr>
        <w:t>means an “employee benefit plan” as defined in Section 3(3) of ERISA (other than a Multiemployer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(a) that is maintained. sponsored or contributed to by any Obligor or ERISA Affiliate or with respect to which any Obligor or ERISA Affiliate has or may have liability and (b) that is or was subject to Section 412 of the Code, Section 302 of ERISA or Title IV of ERISA.</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“Trademarks” </w:t>
      </w:r>
      <w:r>
        <w:rPr>
          <w:rFonts w:ascii="Times New Roman" w:cs="Times New Roman" w:eastAsia="Times New Roman" w:hAnsi="Times New Roman"/>
          <w:sz w:val="22"/>
          <w:szCs w:val="22"/>
          <w:color w:val="auto"/>
        </w:rPr>
        <w:t>has the meaning set forth in the Security Documents.</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Term Loan</w:t>
      </w:r>
      <w:r>
        <w:rPr>
          <w:rFonts w:ascii="Times New Roman" w:cs="Times New Roman" w:eastAsia="Times New Roman" w:hAnsi="Times New Roman"/>
          <w:sz w:val="22"/>
          <w:szCs w:val="22"/>
          <w:color w:val="auto"/>
        </w:rPr>
        <w:t>” means the term loan advanced by a Lender pursuant to Section 2.01(a). For purposes of clarification, any calculation of the aggregate outstanding principal amount of the Tranche A Term Loan on any date of determination shall mean the aggregate principal amount of the Tranche A Term Loan made pursuant to Section 2.01(a) that has not yet been repaid as of such date.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80" w:name="page81"/>
    <w:bookmarkEnd w:id="80"/>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Term Loan Commitment</w:t>
      </w:r>
      <w:r>
        <w:rPr>
          <w:rFonts w:ascii="Times New Roman" w:cs="Times New Roman" w:eastAsia="Times New Roman" w:hAnsi="Times New Roman"/>
          <w:sz w:val="22"/>
          <w:szCs w:val="22"/>
          <w:color w:val="auto"/>
        </w:rPr>
        <w:t>” means the commitment of a Lender to make or otherwise fund the Tranche A Term Loan and “</w:t>
      </w:r>
      <w:r>
        <w:rPr>
          <w:rFonts w:ascii="Times New Roman" w:cs="Times New Roman" w:eastAsia="Times New Roman" w:hAnsi="Times New Roman"/>
          <w:sz w:val="22"/>
          <w:szCs w:val="22"/>
          <w:i w:val="1"/>
          <w:iCs w:val="1"/>
          <w:color w:val="auto"/>
        </w:rPr>
        <w:t>Tranche A Term Loan Commitments</w:t>
      </w:r>
      <w:r>
        <w:rPr>
          <w:rFonts w:ascii="Times New Roman" w:cs="Times New Roman" w:eastAsia="Times New Roman" w:hAnsi="Times New Roman"/>
          <w:sz w:val="22"/>
          <w:szCs w:val="22"/>
          <w:color w:val="auto"/>
        </w:rPr>
        <w:t>” means such commitments of all Lenders in the aggregate. The amount of each Lender’s Tranche A Term Loan Commitment, if any, is set forth on Schedule 1. The aggregate amount of the Tranche A Term Loan Commitments as of the Closing Date is $50,000,000.</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w:t>
      </w:r>
      <w:r>
        <w:rPr>
          <w:rFonts w:ascii="Times New Roman" w:cs="Times New Roman" w:eastAsia="Times New Roman" w:hAnsi="Times New Roman"/>
          <w:sz w:val="22"/>
          <w:szCs w:val="22"/>
          <w:color w:val="auto"/>
        </w:rPr>
        <w:t>” means the term loan advanced by a Lender pursuant to Section 2.01(b). For purposes of clarification, any calculation of the aggregate outstanding principal amount of the Tranche B Term Loan on any date of determination shall mean the aggregate principal amount of the Tranche B Term Loan made pursuant to Section 2.01(b) that has not yet been repaid as of such date.</w:t>
      </w:r>
    </w:p>
    <w:p>
      <w:pPr>
        <w:spacing w:after="0" w:line="13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Borrowing Date</w:t>
      </w:r>
      <w:r>
        <w:rPr>
          <w:rFonts w:ascii="Times New Roman" w:cs="Times New Roman" w:eastAsia="Times New Roman" w:hAnsi="Times New Roman"/>
          <w:sz w:val="22"/>
          <w:szCs w:val="22"/>
          <w:color w:val="auto"/>
        </w:rPr>
        <w:t>” means with respect to the Tranche B Term Loan, the Business Day on which all conditions set forth in Section 6.02 have been satisfied or waived by the Lenders and the Tranche B Term Loan is made hereunder.</w:t>
      </w:r>
    </w:p>
    <w:p>
      <w:pPr>
        <w:spacing w:after="0" w:line="12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Commitment</w:t>
      </w:r>
      <w:r>
        <w:rPr>
          <w:rFonts w:ascii="Times New Roman" w:cs="Times New Roman" w:eastAsia="Times New Roman" w:hAnsi="Times New Roman"/>
          <w:sz w:val="22"/>
          <w:szCs w:val="22"/>
          <w:color w:val="auto"/>
        </w:rPr>
        <w:t>” means the commitment of a Lender to make or otherwise fund the Tranche B Term Loan and “</w:t>
      </w:r>
      <w:r>
        <w:rPr>
          <w:rFonts w:ascii="Times New Roman" w:cs="Times New Roman" w:eastAsia="Times New Roman" w:hAnsi="Times New Roman"/>
          <w:sz w:val="22"/>
          <w:szCs w:val="22"/>
          <w:i w:val="1"/>
          <w:iCs w:val="1"/>
          <w:color w:val="auto"/>
        </w:rPr>
        <w:t>Tranche B Term Loan Commitments</w:t>
      </w:r>
      <w:r>
        <w:rPr>
          <w:rFonts w:ascii="Times New Roman" w:cs="Times New Roman" w:eastAsia="Times New Roman" w:hAnsi="Times New Roman"/>
          <w:sz w:val="22"/>
          <w:szCs w:val="22"/>
          <w:color w:val="auto"/>
        </w:rPr>
        <w:t>” means such commitments of all Lenders in the aggregate. The amount of each Lender’s Tranche B Term Loan Commitment, if any, is set forth on Schedule 1. The aggregate amount of the Tranche B Term Loan Commitments as of the Closing Date is $10,000,000.</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Commitment Termination Date</w:t>
      </w:r>
      <w:r>
        <w:rPr>
          <w:rFonts w:ascii="Times New Roman" w:cs="Times New Roman" w:eastAsia="Times New Roman" w:hAnsi="Times New Roman"/>
          <w:sz w:val="22"/>
          <w:szCs w:val="22"/>
          <w:color w:val="auto"/>
        </w:rPr>
        <w:t>” means March 31, 2027.</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“Transactions” </w:t>
      </w:r>
      <w:r>
        <w:rPr>
          <w:rFonts w:ascii="Times New Roman" w:cs="Times New Roman" w:eastAsia="Times New Roman" w:hAnsi="Times New Roman"/>
          <w:sz w:val="22"/>
          <w:szCs w:val="22"/>
          <w:color w:val="auto"/>
        </w:rPr>
        <w:t>means the execution, delivery and performance by each Obligor of this Agreement and the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to which such Obligor is a party and the other transactions contemplated hereby and thereby, including disbursement and application of the proceeds of the Term Loans.</w:t>
      </w:r>
    </w:p>
    <w:p>
      <w:pPr>
        <w:spacing w:after="0" w:line="12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2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“Unrestricted Cash” </w:t>
      </w:r>
      <w:r>
        <w:rPr>
          <w:rFonts w:ascii="Times New Roman" w:cs="Times New Roman" w:eastAsia="Times New Roman" w:hAnsi="Times New Roman"/>
          <w:sz w:val="21"/>
          <w:szCs w:val="21"/>
          <w:color w:val="auto"/>
        </w:rPr>
        <w:t>means the balance of unencumbered cash (other than cash encumbered by the Liens granted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on behalf of the Lenders pursuant to the Loan Documents), to the extent held in a Controlled Account.</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w:t>
      </w:r>
      <w:r>
        <w:rPr>
          <w:rFonts w:ascii="Times New Roman" w:cs="Times New Roman" w:eastAsia="Times New Roman" w:hAnsi="Times New Roman"/>
          <w:sz w:val="22"/>
          <w:szCs w:val="22"/>
          <w:color w:val="auto"/>
        </w:rPr>
        <w:t>means the United States of America.</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“U.S. Government Securities Business Day” </w:t>
      </w:r>
      <w:r>
        <w:rPr>
          <w:rFonts w:ascii="Times New Roman" w:cs="Times New Roman" w:eastAsia="Times New Roman" w:hAnsi="Times New Roman"/>
          <w:sz w:val="22"/>
          <w:szCs w:val="22"/>
          <w:color w:val="auto"/>
        </w:rPr>
        <w:t>means any day except for (a) a Saturday, (b) a Sunday or (c) a day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Securities Industry and Financial Markets Association recommends that the fixed income departments of its members be closed for the entire day for purposes of trading in United States government securities.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Person” </w:t>
      </w:r>
      <w:r>
        <w:rPr>
          <w:rFonts w:ascii="Times New Roman" w:cs="Times New Roman" w:eastAsia="Times New Roman" w:hAnsi="Times New Roman"/>
          <w:sz w:val="22"/>
          <w:szCs w:val="22"/>
          <w:color w:val="auto"/>
        </w:rPr>
        <w:t>means a “United States person” within the meaning of Section 7701(a)(30) of the Code.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“U.S. Tax Compliance Certificate” </w:t>
      </w:r>
      <w:r>
        <w:rPr>
          <w:rFonts w:ascii="Times New Roman" w:cs="Times New Roman" w:eastAsia="Times New Roman" w:hAnsi="Times New Roman"/>
          <w:sz w:val="22"/>
          <w:szCs w:val="22"/>
          <w:color w:val="auto"/>
        </w:rPr>
        <w:t>has the meaning set forth in Section 5.03(f)(ii)(B)(3).</w:t>
      </w:r>
    </w:p>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“Warrant Certificate” </w:t>
      </w:r>
      <w:r>
        <w:rPr>
          <w:rFonts w:ascii="Times New Roman" w:cs="Times New Roman" w:eastAsia="Times New Roman" w:hAnsi="Times New Roman"/>
          <w:sz w:val="22"/>
          <w:szCs w:val="22"/>
          <w:color w:val="auto"/>
        </w:rPr>
        <w:t>means a warrant, the agreement of its issuance subject to approval of the Borrower’s shareholders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satisfaction of the applicable requirements under the ASX’s Listing Rules, that is substantially in the form set forth in Exhibit J.</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81" w:name="page82"/>
    <w:bookmarkEnd w:id="81"/>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“Warrant Obligations” </w:t>
      </w:r>
      <w:r>
        <w:rPr>
          <w:rFonts w:ascii="Times New Roman" w:cs="Times New Roman" w:eastAsia="Times New Roman" w:hAnsi="Times New Roman"/>
          <w:sz w:val="22"/>
          <w:szCs w:val="22"/>
          <w:color w:val="auto"/>
        </w:rPr>
        <w:t>means, with respect to the Borrower, all of its Obligations arising out of, under or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any Warrant Certificate (to the extent issued to the Administrative Agent).</w:t>
      </w:r>
    </w:p>
    <w:p>
      <w:pPr>
        <w:spacing w:after="0" w:line="17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1"/>
          <w:szCs w:val="21"/>
          <w:i w:val="1"/>
          <w:iCs w:val="1"/>
          <w:color w:val="auto"/>
        </w:rPr>
        <w:t>Section 1.02. Accounting Terms and Principles</w:t>
      </w:r>
      <w:r>
        <w:rPr>
          <w:rFonts w:ascii="Times New Roman" w:cs="Times New Roman" w:eastAsia="Times New Roman" w:hAnsi="Times New Roman"/>
          <w:sz w:val="21"/>
          <w:szCs w:val="21"/>
          <w:color w:val="auto"/>
        </w:rPr>
        <w:t>. All accounting determinations required to be made pursuant hereto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unless expressly otherwise provided herein, be made substantially in accordance with GAAP. If, after the date hereof, any change occurs in GAAP or in the application thereof (an </w:t>
      </w:r>
      <w:r>
        <w:rPr>
          <w:rFonts w:ascii="Times New Roman" w:cs="Times New Roman" w:eastAsia="Times New Roman" w:hAnsi="Times New Roman"/>
          <w:sz w:val="21"/>
          <w:szCs w:val="21"/>
          <w:i w:val="1"/>
          <w:iCs w:val="1"/>
          <w:color w:val="auto"/>
        </w:rPr>
        <w:t>“Accounting Change”</w:t>
      </w:r>
      <w:r>
        <w:rPr>
          <w:rFonts w:ascii="Times New Roman" w:cs="Times New Roman" w:eastAsia="Times New Roman" w:hAnsi="Times New Roman"/>
          <w:sz w:val="21"/>
          <w:szCs w:val="21"/>
          <w:color w:val="auto"/>
        </w:rPr>
        <w:t xml:space="preserve">) 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cs="Times New Roman" w:eastAsia="Times New Roman" w:hAnsi="Times New Roman"/>
          <w:sz w:val="21"/>
          <w:szCs w:val="21"/>
          <w:i w:val="1"/>
          <w:iCs w:val="1"/>
          <w:color w:val="auto"/>
        </w:rPr>
        <w:t>“Accounting Change Notice”</w:t>
      </w:r>
      <w:r>
        <w:rPr>
          <w:rFonts w:ascii="Times New Roman" w:cs="Times New Roman" w:eastAsia="Times New Roman" w:hAnsi="Times New Roman"/>
          <w:sz w:val="21"/>
          <w:szCs w:val="21"/>
          <w:color w:val="auto"/>
        </w:rPr>
        <w:t>)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spacing w:after="0" w:line="22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with respect to the accounting for leases as either operating leases or Capital Leases and the impact of such accounting in accordance with FASB ASC 842 on the definitions and covenants herein, GAAP as in effect prior to the adoption of FASB ASC 842 shall be applied.</w:t>
      </w:r>
    </w:p>
    <w:p>
      <w:pPr>
        <w:spacing w:after="0" w:line="196"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2"/>
          <w:szCs w:val="22"/>
          <w:i w:val="1"/>
          <w:iCs w:val="1"/>
          <w:color w:val="auto"/>
        </w:rPr>
        <w:t>Section 1.03. Interpretation</w:t>
      </w:r>
      <w:r>
        <w:rPr>
          <w:rFonts w:ascii="Times New Roman" w:cs="Times New Roman" w:eastAsia="Times New Roman" w:hAnsi="Times New Roman"/>
          <w:sz w:val="22"/>
          <w:szCs w:val="22"/>
          <w:color w:val="auto"/>
        </w:rPr>
        <w:t>. For all purposes of this Agreement, except as otherwise expressly provided herein or unless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context otherwise requires, (a) the terms defined in this Agreement include the plural as well as the singular and vice versa;</w:t>
      </w:r>
    </w:p>
    <w:p>
      <w:pPr>
        <w:spacing w:after="0" w:line="2" w:lineRule="exact"/>
        <w:rPr>
          <w:sz w:val="20"/>
          <w:szCs w:val="20"/>
          <w:color w:val="auto"/>
        </w:rPr>
      </w:pPr>
    </w:p>
    <w:p>
      <w:pPr>
        <w:jc w:val="both"/>
        <w:ind w:firstLine="8"/>
        <w:spacing w:after="0" w:line="232" w:lineRule="auto"/>
        <w:tabs>
          <w:tab w:leader="none" w:pos="32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and (h) accounting terms not specifically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82" w:name="page83"/>
    <w:bookmarkEnd w:id="82"/>
    <w:p>
      <w:pPr>
        <w:jc w:val="both"/>
        <w:spacing w:after="0" w:line="236" w:lineRule="auto"/>
        <w:rPr>
          <w:sz w:val="20"/>
          <w:szCs w:val="20"/>
          <w:color w:val="auto"/>
        </w:rPr>
      </w:pPr>
      <w:r>
        <w:rPr>
          <w:rFonts w:ascii="Times New Roman" w:cs="Times New Roman" w:eastAsia="Times New Roman" w:hAnsi="Times New Roman"/>
          <w:sz w:val="22"/>
          <w:szCs w:val="22"/>
          <w:color w:val="auto"/>
        </w:rPr>
        <w:t>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in accordance with the Loan Documents.</w:t>
      </w:r>
    </w:p>
    <w:p>
      <w:pPr>
        <w:spacing w:after="0" w:line="20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1"/>
          <w:szCs w:val="21"/>
          <w:i w:val="1"/>
          <w:iCs w:val="1"/>
          <w:color w:val="auto"/>
        </w:rPr>
        <w:t>Section 1.04. Divisions</w:t>
      </w:r>
      <w:r>
        <w:rPr>
          <w:rFonts w:ascii="Times New Roman" w:cs="Times New Roman" w:eastAsia="Times New Roman" w:hAnsi="Times New Roman"/>
          <w:sz w:val="21"/>
          <w:szCs w:val="21"/>
          <w:color w:val="auto"/>
        </w:rPr>
        <w:t>. For all purposes under the Loan Documents, in connection with any division or plan of division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4" w:lineRule="exact"/>
        <w:rPr>
          <w:sz w:val="20"/>
          <w:szCs w:val="20"/>
          <w:color w:val="auto"/>
        </w:rPr>
      </w:pPr>
    </w:p>
    <w:p>
      <w:pPr>
        <w:jc w:val="both"/>
        <w:ind w:firstLine="373"/>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Section 1.05. Interest Rates. </w:t>
      </w:r>
      <w:r>
        <w:rPr>
          <w:rFonts w:ascii="Times New Roman" w:cs="Times New Roman" w:eastAsia="Times New Roman" w:hAnsi="Times New Roman"/>
          <w:sz w:val="22"/>
          <w:szCs w:val="22"/>
          <w:color w:val="auto"/>
        </w:rPr>
        <w:t>The Administrative Agent does not warrant or accept responsibility for, and shall not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ommitments</w:t>
      </w:r>
    </w:p>
    <w:p>
      <w:pPr>
        <w:spacing w:after="0" w:line="98"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2.01.</w:t>
      </w:r>
      <w:r>
        <w:rPr>
          <w:sz w:val="20"/>
          <w:szCs w:val="20"/>
          <w:color w:val="auto"/>
        </w:rPr>
        <w:tab/>
      </w:r>
      <w:r>
        <w:rPr>
          <w:rFonts w:ascii="Times New Roman" w:cs="Times New Roman" w:eastAsia="Times New Roman" w:hAnsi="Times New Roman"/>
          <w:sz w:val="21"/>
          <w:szCs w:val="21"/>
          <w:i w:val="1"/>
          <w:iCs w:val="1"/>
          <w:color w:val="auto"/>
        </w:rPr>
        <w:t>Term Loans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920" w:hanging="415"/>
        <w:spacing w:after="0"/>
        <w:tabs>
          <w:tab w:leader="none" w:pos="1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A Term Loan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4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relying on the representations and warranties set forth herein, each Lender, severally and not jointly, agrees to provide its share of the Tranche A Term Loan to the Borrower on the Closing Date in Dollars in a principal amount equal to such Lender’s Tranche A Term Loan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83" w:name="page84"/>
    <w:bookmarkEnd w:id="83"/>
    <w:p>
      <w:pPr>
        <w:ind w:left="1500" w:right="20"/>
        <w:spacing w:after="0" w:line="258" w:lineRule="auto"/>
        <w:rPr>
          <w:sz w:val="20"/>
          <w:szCs w:val="20"/>
          <w:color w:val="auto"/>
        </w:rPr>
      </w:pPr>
      <w:r>
        <w:rPr>
          <w:rFonts w:ascii="Times New Roman" w:cs="Times New Roman" w:eastAsia="Times New Roman" w:hAnsi="Times New Roman"/>
          <w:sz w:val="22"/>
          <w:szCs w:val="22"/>
          <w:color w:val="auto"/>
        </w:rPr>
        <w:t>Commitment. No Lender shall have an obligation to make a Tranche A Term Loan in excess of such Lender’s Tranche A Term Loan Commitment.</w:t>
      </w:r>
    </w:p>
    <w:p>
      <w:pPr>
        <w:spacing w:after="0" w:line="158" w:lineRule="exact"/>
        <w:rPr>
          <w:sz w:val="20"/>
          <w:szCs w:val="20"/>
          <w:color w:val="auto"/>
        </w:rPr>
      </w:pPr>
    </w:p>
    <w:p>
      <w:pPr>
        <w:jc w:val="both"/>
        <w:ind w:left="1500" w:firstLine="754"/>
        <w:spacing w:after="0" w:line="244" w:lineRule="auto"/>
        <w:tabs>
          <w:tab w:leader="none" w:pos="260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(including Section 6.01), the Borrower shall deliver to the Administrative Agent a fully executed Borrowing Notice no later than 5 p.m. (New York City time) at least one (1) Business Day in advance of the Closing Date.</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0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A Term Loan Commitment which shall be on the Closing Date. Subject to Sections 3.01 and 3.03, all amounts owed hereunder with respect to the Tranche A Term Loan shall be paid in full no later than the Maturity Date. Each Lender’s Tranche A Term Loan Commitment shall terminate immediately and without further action on the Closing Date after giving effect to the funding of such Lender’s Tranche A Term Loan Commitment on such date.</w:t>
      </w:r>
    </w:p>
    <w:p>
      <w:pPr>
        <w:spacing w:after="0" w:line="213"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Term Loan.</w:t>
      </w:r>
    </w:p>
    <w:p>
      <w:pPr>
        <w:spacing w:after="0" w:line="210"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4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relying on the representations and warranties set forth herein, each Lender, severally and not jointly, agrees prior to the Tranche B Term Loan Commitment Termination Date to provide its share of the Tranche B Term Loan to the Borrower on the Tranche B Term Loan Borrowing Date in Dollars in a principal amount equal to such Lender’s Tranche B Term Loan Commitment. No Lender shall have an obligation to make the Tranche B Term Loan in excess of such Lender’s Tranche B Term Loan Commitment.</w:t>
      </w:r>
    </w:p>
    <w:p>
      <w:pPr>
        <w:spacing w:after="0" w:line="181"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0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(including Section 6.02), the Borrower shall deliver to the Administrative Agent a fully executed Borrowing Notice no later than 5 p.m. (New York City time) at least three (3) Business Days in advance of the proposed Tranche B Term Loan Borrowing Date.</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0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B Term Loan Commitment which shall be on the Tranche B Term Loan Borrowing Date. Subject to Sections 3.01 and 3.03, all amounts owed hereunder with respect to the Tranche B Term Loan shall be paid in full no later than the Maturity Date. Each Lender’s Tranche B Term Loan Commitment shall terminate immediately and without further action on the earlier of (x) the Tranche B Term Loan Borrowing Date after giving effect to the funding of such Lender’s Tranche B Term Loan Commitment on such date and (y) the Tranche B Term Loan Commitment Termination Date.</w:t>
      </w:r>
    </w:p>
    <w:p>
      <w:pPr>
        <w:spacing w:after="0" w:line="210" w:lineRule="exact"/>
        <w:rPr>
          <w:rFonts w:ascii="Times New Roman" w:cs="Times New Roman" w:eastAsia="Times New Roman" w:hAnsi="Times New Roman"/>
          <w:sz w:val="22"/>
          <w:szCs w:val="22"/>
          <w:color w:val="auto"/>
        </w:rPr>
      </w:pPr>
    </w:p>
    <w:p>
      <w:pPr>
        <w:ind w:left="760" w:firstLine="745"/>
        <w:spacing w:after="0" w:line="258" w:lineRule="auto"/>
        <w:tabs>
          <w:tab w:leader="none" w:pos="188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amount of the Term Loans borrowed under Sections 2.01(a) or (b) hereof and subsequently repaid or prepaid may not be reborrowed.</w:t>
      </w:r>
    </w:p>
    <w:p>
      <w:pPr>
        <w:spacing w:after="0" w:line="195" w:lineRule="exact"/>
        <w:rPr>
          <w:sz w:val="20"/>
          <w:szCs w:val="20"/>
          <w:color w:val="auto"/>
        </w:rPr>
      </w:pPr>
    </w:p>
    <w:p>
      <w:pPr>
        <w:jc w:val="both"/>
        <w:ind w:firstLine="387"/>
        <w:spacing w:after="0" w:line="237" w:lineRule="auto"/>
        <w:rPr>
          <w:sz w:val="20"/>
          <w:szCs w:val="20"/>
          <w:color w:val="auto"/>
        </w:rPr>
      </w:pPr>
      <w:r>
        <w:rPr>
          <w:rFonts w:ascii="Times New Roman" w:cs="Times New Roman" w:eastAsia="Times New Roman" w:hAnsi="Times New Roman"/>
          <w:sz w:val="22"/>
          <w:szCs w:val="22"/>
          <w:i w:val="1"/>
          <w:iCs w:val="1"/>
          <w:color w:val="auto"/>
        </w:rPr>
        <w:t>Section 2.02. Proportionate Shares</w:t>
      </w:r>
      <w:r>
        <w:rPr>
          <w:rFonts w:ascii="Times New Roman" w:cs="Times New Roman" w:eastAsia="Times New Roman" w:hAnsi="Times New Roman"/>
          <w:sz w:val="22"/>
          <w:szCs w:val="22"/>
          <w:color w:val="auto"/>
        </w:rPr>
        <w:t>. All Term Loans shall be made, and all participations purchased, by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4" w:name="page85"/>
    <w:bookmarkEnd w:id="84"/>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2.03.</w:t>
      </w:r>
      <w:r>
        <w:rPr>
          <w:sz w:val="20"/>
          <w:szCs w:val="20"/>
          <w:color w:val="auto"/>
        </w:rPr>
        <w:tab/>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60" w:firstLine="745"/>
        <w:spacing w:after="0" w:line="241" w:lineRule="auto"/>
        <w:tabs>
          <w:tab w:leader="none" w:pos="186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Closing Fee. </w:t>
      </w:r>
      <w:r>
        <w:rPr>
          <w:rFonts w:ascii="Times New Roman" w:cs="Times New Roman" w:eastAsia="Times New Roman" w:hAnsi="Times New Roman"/>
          <w:sz w:val="22"/>
          <w:szCs w:val="22"/>
          <w:color w:val="auto"/>
        </w:rPr>
        <w:t>On the Closing Date, the Borrower shall pay to the Administrative Agent,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provisions of the Fee Letter and for distribution to each Lender in accordance with its Proportionate Share of the Term Loans, the Closing Fee. Such payments shall be in addition to such fees, costs and expenses due and payable pursuant to Section 13.03.</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86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Exit Fee. </w:t>
      </w:r>
      <w:r>
        <w:rPr>
          <w:rFonts w:ascii="Times New Roman" w:cs="Times New Roman" w:eastAsia="Times New Roman" w:hAnsi="Times New Roman"/>
          <w:sz w:val="22"/>
          <w:szCs w:val="22"/>
          <w:color w:val="auto"/>
        </w:rPr>
        <w:t>The Borrower shall pay to the Administrative Agent, to the extent required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the Fee Letter, and for distribution to each Lender in accordance with its Proportionate Share of the Term Loans, the Exit Fee.</w:t>
      </w:r>
    </w:p>
    <w:p>
      <w:pPr>
        <w:spacing w:after="0" w:line="20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Section 2.04. Notes</w:t>
      </w:r>
      <w:r>
        <w:rPr>
          <w:rFonts w:ascii="Times New Roman" w:cs="Times New Roman" w:eastAsia="Times New Roman" w:hAnsi="Times New Roman"/>
          <w:sz w:val="22"/>
          <w:szCs w:val="22"/>
          <w:color w:val="auto"/>
        </w:rPr>
        <w:t>. Upon the request of any Lender, the Borrower shall prepare, execute and deliver to such Lender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more Notes evidencing the portion of the Term Loans payable to such Lender (or if requested by it, to it and its registered assigns).</w:t>
      </w:r>
    </w:p>
    <w:p>
      <w:pPr>
        <w:spacing w:after="0" w:line="194" w:lineRule="exact"/>
        <w:rPr>
          <w:sz w:val="20"/>
          <w:szCs w:val="20"/>
          <w:color w:val="auto"/>
        </w:rPr>
      </w:pPr>
    </w:p>
    <w:p>
      <w:pPr>
        <w:jc w:val="both"/>
        <w:ind w:firstLine="373"/>
        <w:spacing w:after="0" w:line="241" w:lineRule="auto"/>
        <w:rPr>
          <w:sz w:val="20"/>
          <w:szCs w:val="20"/>
          <w:color w:val="auto"/>
        </w:rPr>
      </w:pPr>
      <w:r>
        <w:rPr>
          <w:rFonts w:ascii="Times New Roman" w:cs="Times New Roman" w:eastAsia="Times New Roman" w:hAnsi="Times New Roman"/>
          <w:sz w:val="22"/>
          <w:szCs w:val="22"/>
          <w:i w:val="1"/>
          <w:iCs w:val="1"/>
          <w:color w:val="auto"/>
        </w:rPr>
        <w:t>Section 2.05. Use of Proceeds</w:t>
      </w:r>
      <w:r>
        <w:rPr>
          <w:rFonts w:ascii="Times New Roman" w:cs="Times New Roman" w:eastAsia="Times New Roman" w:hAnsi="Times New Roman"/>
          <w:sz w:val="22"/>
          <w:szCs w:val="22"/>
          <w:color w:val="auto"/>
        </w:rPr>
        <w:t>. The Borrower shall use the proceeds of the Term Loans (a) for general working capital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purposes and corporate purposes permitted hereunder, (b) to refinance certain existing Indebtedness on the Closing Date (including Indebtedness outstanding pursuant to the Existing Credit Facility) and (c) to pay, in accordance with the funds flow attached to the Borrowing Notice, fees, costs and expenses incurred in connection with the Transactions.</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ayments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rincipal and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nterest</w:t>
      </w:r>
    </w:p>
    <w:p>
      <w:pPr>
        <w:spacing w:after="0" w:line="247" w:lineRule="exact"/>
        <w:rPr>
          <w:sz w:val="20"/>
          <w:szCs w:val="20"/>
          <w:color w:val="auto"/>
        </w:rPr>
      </w:pPr>
    </w:p>
    <w:p>
      <w:pPr>
        <w:jc w:val="both"/>
        <w:ind w:firstLine="373"/>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3.01. Repayment. </w:t>
      </w:r>
      <w:r>
        <w:rPr>
          <w:rFonts w:ascii="Times New Roman" w:cs="Times New Roman" w:eastAsia="Times New Roman" w:hAnsi="Times New Roman"/>
          <w:sz w:val="22"/>
          <w:szCs w:val="22"/>
          <w:color w:val="auto"/>
        </w:rPr>
        <w:t>There will be no scheduled repayments of principal on the Term Loans prior to the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The entire outstanding principal amount of the Term Loans, together with all accrued and unpaid interest thereon, will be due and payable on the Maturity Date.</w:t>
      </w:r>
    </w:p>
    <w:p>
      <w:pPr>
        <w:spacing w:after="0" w:line="208"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3.02.</w:t>
      </w:r>
      <w:r>
        <w:rPr>
          <w:sz w:val="20"/>
          <w:szCs w:val="20"/>
          <w:color w:val="auto"/>
        </w:rPr>
        <w:tab/>
      </w:r>
      <w:r>
        <w:rPr>
          <w:rFonts w:ascii="Times New Roman" w:cs="Times New Roman" w:eastAsia="Times New Roman" w:hAnsi="Times New Roman"/>
          <w:sz w:val="21"/>
          <w:szCs w:val="21"/>
          <w:i w:val="1"/>
          <w:iCs w:val="1"/>
          <w:color w:val="auto"/>
        </w:rPr>
        <w:t>Interest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60" w:firstLine="745"/>
        <w:spacing w:after="0" w:line="246" w:lineRule="auto"/>
        <w:tabs>
          <w:tab w:leader="none" w:pos="192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Interest Generally. </w:t>
      </w:r>
      <w:r>
        <w:rPr>
          <w:rFonts w:ascii="Times New Roman" w:cs="Times New Roman" w:eastAsia="Times New Roman" w:hAnsi="Times New Roman"/>
          <w:sz w:val="22"/>
          <w:szCs w:val="22"/>
          <w:color w:val="auto"/>
        </w:rPr>
        <w:t>The Borrower agrees to pay to the Lenders interest in cash on the outstanding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the Term Loans for each Interest Period at a rate per annum equal to the sum of (i) Term SOFR plus (ii) the Applicable Margin.</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9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SOFR Conforming Changes. </w:t>
      </w:r>
      <w:r>
        <w:rPr>
          <w:rFonts w:ascii="Times New Roman" w:cs="Times New Roman" w:eastAsia="Times New Roman" w:hAnsi="Times New Roman"/>
          <w:sz w:val="22"/>
          <w:szCs w:val="22"/>
          <w:color w:val="auto"/>
        </w:rPr>
        <w:t>In connection with the use or administration of Term SOFR,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15"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Benchmark Transition Event.</w:t>
      </w:r>
    </w:p>
    <w:p>
      <w:pPr>
        <w:spacing w:after="0" w:line="273" w:lineRule="exact"/>
        <w:rPr>
          <w:rFonts w:ascii="Times New Roman" w:cs="Times New Roman" w:eastAsia="Times New Roman" w:hAnsi="Times New Roman"/>
          <w:sz w:val="22"/>
          <w:szCs w:val="22"/>
          <w:color w:val="auto"/>
        </w:rPr>
      </w:pPr>
    </w:p>
    <w:p>
      <w:pPr>
        <w:jc w:val="both"/>
        <w:ind w:left="1500" w:firstLine="754"/>
        <w:spacing w:after="0" w:line="241" w:lineRule="auto"/>
        <w:tabs>
          <w:tab w:leader="none" w:pos="268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Notwithstanding anything to the contrary herein or in any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 if a Benchmark Transition Event and its related Benchmark Replacement Date have occurred prior to any setting of the then-current Benchmark, then (A) if a Benchmark Replacement is determined in accordance with</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85" w:name="page86"/>
    <w:bookmarkEnd w:id="85"/>
    <w:p>
      <w:pPr>
        <w:jc w:val="both"/>
        <w:ind w:left="380"/>
        <w:spacing w:after="0" w:line="233" w:lineRule="auto"/>
        <w:rPr>
          <w:sz w:val="20"/>
          <w:szCs w:val="20"/>
          <w:color w:val="auto"/>
        </w:rPr>
      </w:pPr>
      <w:r>
        <w:rPr>
          <w:rFonts w:ascii="Times New Roman" w:cs="Times New Roman" w:eastAsia="Times New Roman" w:hAnsi="Times New Roman"/>
          <w:sz w:val="22"/>
          <w:szCs w:val="22"/>
          <w:color w:val="auto"/>
        </w:rPr>
        <w:t>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p>
    <w:p>
      <w:pPr>
        <w:spacing w:after="0" w:line="262" w:lineRule="exact"/>
        <w:rPr>
          <w:sz w:val="20"/>
          <w:szCs w:val="20"/>
          <w:color w:val="auto"/>
        </w:rPr>
      </w:pPr>
    </w:p>
    <w:p>
      <w:pPr>
        <w:jc w:val="both"/>
        <w:ind w:left="380" w:firstLine="754"/>
        <w:spacing w:after="0" w:line="238" w:lineRule="auto"/>
        <w:tabs>
          <w:tab w:leader="none" w:pos="16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In connection with the implementation of a Benchmark Replacement,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w:t>
      </w:r>
    </w:p>
    <w:p>
      <w:pPr>
        <w:spacing w:after="0" w:line="244" w:lineRule="exact"/>
        <w:rPr>
          <w:rFonts w:ascii="Times New Roman" w:cs="Times New Roman" w:eastAsia="Times New Roman" w:hAnsi="Times New Roman"/>
          <w:sz w:val="22"/>
          <w:szCs w:val="22"/>
          <w:color w:val="auto"/>
        </w:rPr>
      </w:pPr>
    </w:p>
    <w:p>
      <w:pPr>
        <w:jc w:val="both"/>
        <w:ind w:left="380" w:firstLine="754"/>
        <w:spacing w:after="0" w:line="235" w:lineRule="auto"/>
        <w:tabs>
          <w:tab w:leader="none" w:pos="158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notify the Borrower and the Lenders of (A) the implementation of any Benchmark Replacement and (B)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3.02(c).</w:t>
      </w:r>
    </w:p>
    <w:p>
      <w:pPr>
        <w:spacing w:after="0" w:line="241" w:lineRule="exact"/>
        <w:rPr>
          <w:rFonts w:ascii="Times New Roman" w:cs="Times New Roman" w:eastAsia="Times New Roman" w:hAnsi="Times New Roman"/>
          <w:sz w:val="22"/>
          <w:szCs w:val="22"/>
          <w:color w:val="auto"/>
        </w:rPr>
      </w:pPr>
    </w:p>
    <w:p>
      <w:pPr>
        <w:jc w:val="both"/>
        <w:ind w:left="380" w:firstLine="754"/>
        <w:spacing w:after="0" w:line="233" w:lineRule="auto"/>
        <w:tabs>
          <w:tab w:leader="none" w:pos="154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 herein or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Loan Document, at any time (including in connection with the implementation of a Benchmark Replacement), (A) if the then-current Benchmark is a term rate (including the Term SOFR Reference Rate)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not or will not be representative for a Benchmark (including a</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0" w:right="339" w:bottom="1440" w:gutter="0" w:footer="0" w:header="0"/>
        </w:sectPr>
      </w:pPr>
    </w:p>
    <w:bookmarkStart w:id="86" w:name="page87"/>
    <w:bookmarkEnd w:id="86"/>
    <w:p>
      <w:pPr>
        <w:jc w:val="both"/>
        <w:ind w:left="1140"/>
        <w:spacing w:after="0" w:line="244" w:lineRule="auto"/>
        <w:rPr>
          <w:sz w:val="20"/>
          <w:szCs w:val="20"/>
          <w:color w:val="auto"/>
        </w:rPr>
      </w:pPr>
      <w:r>
        <w:rPr>
          <w:rFonts w:ascii="Times New Roman" w:cs="Times New Roman" w:eastAsia="Times New Roman" w:hAnsi="Times New Roman"/>
          <w:sz w:val="22"/>
          <w:szCs w:val="22"/>
          <w:color w:val="auto"/>
        </w:rPr>
        <w:t>Benchmark Replacement), then the Administrative Agent may modify the definition of “Interest Period” (or any similar or analogous definition) for all Benchmark settings at or after such time to reinstate such previously removed tenor.</w:t>
      </w:r>
    </w:p>
    <w:p>
      <w:pPr>
        <w:spacing w:after="0" w:line="210" w:lineRule="exact"/>
        <w:rPr>
          <w:sz w:val="20"/>
          <w:szCs w:val="20"/>
          <w:color w:val="auto"/>
        </w:rPr>
      </w:pPr>
    </w:p>
    <w:p>
      <w:pPr>
        <w:jc w:val="both"/>
        <w:ind w:left="400" w:firstLine="745"/>
        <w:spacing w:after="0" w:line="235" w:lineRule="auto"/>
        <w:tabs>
          <w:tab w:leader="none" w:pos="152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Interest. </w:t>
      </w:r>
      <w:r>
        <w:rPr>
          <w:rFonts w:ascii="Times New Roman" w:cs="Times New Roman" w:eastAsia="Times New Roman" w:hAnsi="Times New Roman"/>
          <w:sz w:val="22"/>
          <w:szCs w:val="22"/>
          <w:color w:val="auto"/>
        </w:rPr>
        <w:t>Notwithstanding the foregoing, upon the occurrence and during the continuance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Event of Default, the Applicable Margin shall increase automatically by 4.00% per annum (the interest rate, as increased pursuant to this Section 3.02(d), being the </w:t>
      </w:r>
      <w:r>
        <w:rPr>
          <w:rFonts w:ascii="Times New Roman" w:cs="Times New Roman" w:eastAsia="Times New Roman" w:hAnsi="Times New Roman"/>
          <w:sz w:val="22"/>
          <w:szCs w:val="22"/>
          <w:i w:val="1"/>
          <w:iCs w:val="1"/>
          <w:color w:val="auto"/>
        </w:rPr>
        <w:t>“Default Rate”</w:t>
      </w:r>
      <w:r>
        <w:rPr>
          <w:rFonts w:ascii="Times New Roman" w:cs="Times New Roman" w:eastAsia="Times New Roman" w:hAnsi="Times New Roman"/>
          <w:sz w:val="22"/>
          <w:szCs w:val="22"/>
          <w:color w:val="auto"/>
        </w:rPr>
        <w:t>). Notwithstanding any other provision herein, if interest is required to be paid at the Default Rate, it shall also be 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spacing w:after="0" w:line="218" w:lineRule="exact"/>
        <w:rPr>
          <w:rFonts w:ascii="Times New Roman" w:cs="Times New Roman" w:eastAsia="Times New Roman" w:hAnsi="Times New Roman"/>
          <w:sz w:val="22"/>
          <w:szCs w:val="22"/>
          <w:color w:val="auto"/>
        </w:rPr>
      </w:pPr>
    </w:p>
    <w:p>
      <w:pPr>
        <w:jc w:val="both"/>
        <w:ind w:left="400" w:firstLine="745"/>
        <w:spacing w:after="0" w:line="241" w:lineRule="auto"/>
        <w:tabs>
          <w:tab w:leader="none" w:pos="15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Dates. </w:t>
      </w:r>
      <w:r>
        <w:rPr>
          <w:rFonts w:ascii="Times New Roman" w:cs="Times New Roman" w:eastAsia="Times New Roman" w:hAnsi="Times New Roman"/>
          <w:sz w:val="22"/>
          <w:szCs w:val="22"/>
          <w:color w:val="auto"/>
        </w:rPr>
        <w:t>Accrued interest on the Term Loans shall be payable in arrears on each Payment Date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 to the most recently completed Interest Period in cash, and upon the payment or prepayment of the Term Loans (on the principal amount being so paid or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interest payable at the Default Rate shall be payable from time to time on demand by the Majority Lenders.</w:t>
      </w:r>
    </w:p>
    <w:p>
      <w:pPr>
        <w:spacing w:after="0" w:line="198" w:lineRule="exact"/>
        <w:rPr>
          <w:rFonts w:ascii="Times New Roman" w:cs="Times New Roman" w:eastAsia="Times New Roman" w:hAnsi="Times New Roman"/>
          <w:sz w:val="22"/>
          <w:szCs w:val="22"/>
          <w:color w:val="auto"/>
        </w:rPr>
      </w:pPr>
    </w:p>
    <w:p>
      <w:pPr>
        <w:jc w:val="both"/>
        <w:ind w:left="400" w:firstLine="745"/>
        <w:spacing w:after="0" w:line="236" w:lineRule="auto"/>
        <w:tabs>
          <w:tab w:leader="none" w:pos="152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Maximum Rate. </w:t>
      </w:r>
      <w:r>
        <w:rPr>
          <w:rFonts w:ascii="Times New Roman" w:cs="Times New Roman" w:eastAsia="Times New Roman" w:hAnsi="Times New Roman"/>
          <w:sz w:val="22"/>
          <w:szCs w:val="22"/>
          <w:color w:val="auto"/>
        </w:rPr>
        <w:t>Notwithstanding any other provision of this Agreement, in no event will any interest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spacing w:after="0" w:line="2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3.03.</w:t>
      </w:r>
      <w:r>
        <w:rPr>
          <w:sz w:val="20"/>
          <w:szCs w:val="20"/>
          <w:color w:val="auto"/>
        </w:rPr>
        <w:tab/>
      </w:r>
      <w:r>
        <w:rPr>
          <w:rFonts w:ascii="Times New Roman" w:cs="Times New Roman" w:eastAsia="Times New Roman" w:hAnsi="Times New Roman"/>
          <w:sz w:val="21"/>
          <w:szCs w:val="21"/>
          <w:i w:val="1"/>
          <w:iCs w:val="1"/>
          <w:color w:val="auto"/>
        </w:rPr>
        <w:t>Prepayments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560" w:hanging="415"/>
        <w:spacing w:after="0"/>
        <w:tabs>
          <w:tab w:leader="none" w:pos="15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Prepayments.</w:t>
      </w:r>
    </w:p>
    <w:p>
      <w:pPr>
        <w:spacing w:after="0" w:line="277" w:lineRule="exact"/>
        <w:rPr>
          <w:rFonts w:ascii="Times New Roman" w:cs="Times New Roman" w:eastAsia="Times New Roman" w:hAnsi="Times New Roman"/>
          <w:sz w:val="22"/>
          <w:szCs w:val="22"/>
          <w:color w:val="auto"/>
        </w:rPr>
      </w:pPr>
    </w:p>
    <w:p>
      <w:pPr>
        <w:jc w:val="both"/>
        <w:ind w:left="1140" w:firstLine="754"/>
        <w:spacing w:after="0" w:line="235" w:lineRule="auto"/>
        <w:tabs>
          <w:tab w:leader="none" w:pos="224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xml:space="preserve">) for an amount equal to the sum of (x) the aggregate principal amount of the Term Loans being prepaid, (y) the prepayment premium set forth in clause (ii) below (the </w:t>
      </w:r>
      <w:r>
        <w:rPr>
          <w:rFonts w:ascii="Times New Roman" w:cs="Times New Roman" w:eastAsia="Times New Roman" w:hAnsi="Times New Roman"/>
          <w:sz w:val="22"/>
          <w:szCs w:val="22"/>
          <w:i w:val="1"/>
          <w:iCs w:val="1"/>
          <w:color w:val="auto"/>
        </w:rPr>
        <w:t>“Prepayment Premium”</w:t>
      </w:r>
      <w:r>
        <w:rPr>
          <w:rFonts w:ascii="Times New Roman" w:cs="Times New Roman" w:eastAsia="Times New Roman" w:hAnsi="Times New Roman"/>
          <w:sz w:val="22"/>
          <w:szCs w:val="22"/>
          <w:color w:val="auto"/>
        </w:rPr>
        <w:t>) and (z) any accrued but unpaid interest in respect of the aggregate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Term Loans being prepaid (such aggregate amount, the </w:t>
      </w: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 The applicable Prepayment Premium shall be an amount calculated pursuant to Section 3.03(a)(ii).</w:t>
      </w:r>
    </w:p>
    <w:p>
      <w:pPr>
        <w:spacing w:after="0" w:line="178" w:lineRule="exact"/>
        <w:rPr>
          <w:rFonts w:ascii="Times New Roman" w:cs="Times New Roman" w:eastAsia="Times New Roman" w:hAnsi="Times New Roman"/>
          <w:sz w:val="22"/>
          <w:szCs w:val="22"/>
          <w:color w:val="auto"/>
        </w:rPr>
      </w:pPr>
    </w:p>
    <w:p>
      <w:pPr>
        <w:ind w:left="2260" w:hanging="366"/>
        <w:spacing w:after="0"/>
        <w:tabs>
          <w:tab w:leader="none" w:pos="22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Redemption Date occurs:</w:t>
      </w:r>
    </w:p>
    <w:p>
      <w:pPr>
        <w:spacing w:after="0" w:line="206" w:lineRule="exact"/>
        <w:rPr>
          <w:rFonts w:ascii="Times New Roman" w:cs="Times New Roman" w:eastAsia="Times New Roman" w:hAnsi="Times New Roman"/>
          <w:sz w:val="22"/>
          <w:szCs w:val="22"/>
          <w:color w:val="auto"/>
        </w:rPr>
      </w:pPr>
    </w:p>
    <w:p>
      <w:pPr>
        <w:ind w:left="1900" w:right="20" w:firstLine="743"/>
        <w:spacing w:after="0" w:line="258" w:lineRule="auto"/>
        <w:tabs>
          <w:tab w:leader="none" w:pos="3008"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first anniversary of the Closing Date, the Prepayment Premium shall be an amount equal to ten percent (10%) of the</w:t>
      </w:r>
    </w:p>
    <w:p>
      <w:pPr>
        <w:spacing w:after="0" w:line="1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60" w:right="339" w:bottom="1440" w:gutter="0" w:footer="0" w:header="0"/>
        </w:sectPr>
      </w:pPr>
    </w:p>
    <w:bookmarkStart w:id="87" w:name="page88"/>
    <w:bookmarkEnd w:id="87"/>
    <w:p>
      <w:pPr>
        <w:ind w:left="1500"/>
        <w:spacing w:after="0"/>
        <w:rPr>
          <w:sz w:val="20"/>
          <w:szCs w:val="20"/>
          <w:color w:val="auto"/>
        </w:rPr>
      </w:pPr>
      <w:r>
        <w:rPr>
          <w:rFonts w:ascii="Times New Roman" w:cs="Times New Roman" w:eastAsia="Times New Roman" w:hAnsi="Times New Roman"/>
          <w:sz w:val="22"/>
          <w:szCs w:val="22"/>
          <w:color w:val="auto"/>
        </w:rPr>
        <w:t>aggregate outstanding principal amount of the Term Loans being prepaid on such Redemption Date;</w:t>
      </w:r>
    </w:p>
    <w:p>
      <w:pPr>
        <w:spacing w:after="0" w:line="206" w:lineRule="exact"/>
        <w:rPr>
          <w:sz w:val="20"/>
          <w:szCs w:val="20"/>
          <w:color w:val="auto"/>
        </w:rPr>
      </w:pPr>
    </w:p>
    <w:p>
      <w:pPr>
        <w:jc w:val="both"/>
        <w:ind w:left="1500" w:firstLine="743"/>
        <w:spacing w:after="0" w:line="244" w:lineRule="auto"/>
        <w:tabs>
          <w:tab w:leader="none" w:pos="260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first anniversary of the Closing Date and on or prior to the second anniversary of the Closing Date, the Prepayment Premium shall be an amount equal to nine percent (9%) of the aggregate outstanding principal amount of the Term Loans being prepaid on such Redemption Date;</w:t>
      </w:r>
    </w:p>
    <w:p>
      <w:pPr>
        <w:spacing w:after="0" w:line="173" w:lineRule="exact"/>
        <w:rPr>
          <w:rFonts w:ascii="Times New Roman" w:cs="Times New Roman" w:eastAsia="Times New Roman" w:hAnsi="Times New Roman"/>
          <w:sz w:val="22"/>
          <w:szCs w:val="22"/>
          <w:color w:val="auto"/>
        </w:rPr>
      </w:pPr>
    </w:p>
    <w:p>
      <w:pPr>
        <w:jc w:val="both"/>
        <w:ind w:left="1500" w:firstLine="743"/>
        <w:spacing w:after="0" w:line="239" w:lineRule="auto"/>
        <w:tabs>
          <w:tab w:leader="none" w:pos="260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second anniversary of the Closing Date and on or prior to the third anniversary of the Closing Date, the Prepayment Premium shall be an amount equal to five percent (5%) of the aggregate outstanding principal amount of the Term Loans being prepaid on such Redemption Date; and</w:t>
      </w:r>
    </w:p>
    <w:p>
      <w:pPr>
        <w:spacing w:after="0" w:line="180"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0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third anniversary of the Closing Date and on or prior to the fourth anniversary of the Closing Date, the Prepayment Premium shall be an amount equal to one percent (1%) of the aggregate outstanding principal amount of the Term Loans being prepaid on such Redemption Date.</w:t>
      </w:r>
    </w:p>
    <w:p>
      <w:pPr>
        <w:spacing w:after="0" w:line="20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 Prepayment Premium shall be due with respect to repayment of the Term Loans after the fourth anniversary of the Closing Date and on or prior to the Stated Maturity Date.</w:t>
      </w:r>
    </w:p>
    <w:p>
      <w:pPr>
        <w:spacing w:after="0" w:line="195" w:lineRule="exact"/>
        <w:rPr>
          <w:sz w:val="20"/>
          <w:szCs w:val="20"/>
          <w:color w:val="auto"/>
        </w:rPr>
      </w:pPr>
    </w:p>
    <w:p>
      <w:pPr>
        <w:jc w:val="both"/>
        <w:ind w:firstLine="745"/>
        <w:spacing w:after="0" w:line="241" w:lineRule="auto"/>
        <w:tabs>
          <w:tab w:leader="none" w:pos="110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Mandatory Prepayments. </w:t>
      </w:r>
      <w:r>
        <w:rPr>
          <w:rFonts w:ascii="Times New Roman" w:cs="Times New Roman" w:eastAsia="Times New Roman" w:hAnsi="Times New Roman"/>
          <w:sz w:val="22"/>
          <w:szCs w:val="22"/>
          <w:color w:val="auto"/>
        </w:rPr>
        <w:t>The Borrower shall prepay the Term Loans in amounts as provided below, 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spacing w:after="0" w:line="243" w:lineRule="exact"/>
        <w:rPr>
          <w:rFonts w:ascii="Times New Roman" w:cs="Times New Roman" w:eastAsia="Times New Roman" w:hAnsi="Times New Roman"/>
          <w:sz w:val="22"/>
          <w:szCs w:val="22"/>
          <w:color w:val="auto"/>
        </w:rPr>
      </w:pPr>
    </w:p>
    <w:p>
      <w:pPr>
        <w:jc w:val="both"/>
        <w:ind w:left="740" w:firstLine="754"/>
        <w:spacing w:after="0" w:line="235" w:lineRule="auto"/>
        <w:tabs>
          <w:tab w:leader="none" w:pos="184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Casualty Event, an amount equal to 100% of the Net Cash Proceeds received by any Obligor with respect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so long as no Default has occurred and is continuing, within one hundred eighty (180) days after receipt of such Net Cash Proceeds, the Obligors may apply the Net Cash Proceeds of any casualty policy up to $500,000 with respect to any loss, but not exceeding $750,000 in the aggregate for all losses under all casualty policies during the term of this Agreement, toward the replacement or repair of destroyed or damaged property;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replaced or repaired property shall be Collateral in which the Administrative Agent for the benefit of the Lenders has been granted a security interest under the Security Documents.</w:t>
      </w:r>
    </w:p>
    <w:p>
      <w:pPr>
        <w:spacing w:after="0" w:line="245" w:lineRule="exact"/>
        <w:rPr>
          <w:rFonts w:ascii="Times New Roman" w:cs="Times New Roman" w:eastAsia="Times New Roman" w:hAnsi="Times New Roman"/>
          <w:sz w:val="22"/>
          <w:szCs w:val="22"/>
          <w:color w:val="auto"/>
        </w:rPr>
      </w:pPr>
    </w:p>
    <w:p>
      <w:pPr>
        <w:jc w:val="both"/>
        <w:ind w:left="740" w:firstLine="754"/>
        <w:spacing w:after="0" w:line="236" w:lineRule="auto"/>
        <w:tabs>
          <w:tab w:leader="none" w:pos="186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Obligor incurs Indebtedness other than Indebtedness that is permitted by Section 9.01 hereof, 100% of the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spacing w:after="0" w:line="262" w:lineRule="exact"/>
        <w:rPr>
          <w:rFonts w:ascii="Times New Roman" w:cs="Times New Roman" w:eastAsia="Times New Roman" w:hAnsi="Times New Roman"/>
          <w:sz w:val="22"/>
          <w:szCs w:val="22"/>
          <w:color w:val="auto"/>
        </w:rPr>
      </w:pPr>
    </w:p>
    <w:p>
      <w:pPr>
        <w:jc w:val="both"/>
        <w:ind w:left="740" w:firstLine="754"/>
        <w:spacing w:after="0" w:line="244" w:lineRule="auto"/>
        <w:tabs>
          <w:tab w:leader="none" w:pos="184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Obligor consummates an Asset Sale other than an Asset Sale that is permitted by Section 9.09 hereof (other than Section 9.09(i)), 100% of the Net Cash Proceeds received by such Obligor in connection with such Asset Sale; </w:t>
      </w:r>
      <w:r>
        <w:rPr>
          <w:rFonts w:ascii="Times New Roman" w:cs="Times New Roman" w:eastAsia="Times New Roman" w:hAnsi="Times New Roman"/>
          <w:sz w:val="22"/>
          <w:szCs w:val="22"/>
          <w:i w:val="1"/>
          <w:iCs w:val="1"/>
          <w:color w:val="auto"/>
        </w:rPr>
        <w:t>provided,</w:t>
      </w:r>
    </w:p>
    <w:p>
      <w:pPr>
        <w:spacing w:after="0" w:line="21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493395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2" w:right="339" w:bottom="1440" w:gutter="0" w:footer="0" w:header="0"/>
        </w:sectPr>
      </w:pPr>
    </w:p>
    <w:bookmarkStart w:id="88" w:name="page89"/>
    <w:bookmarkEnd w:id="88"/>
    <w:p>
      <w:pPr>
        <w:jc w:val="both"/>
        <w:ind w:left="114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so long as no Default has occurred and is continuing, within one hundred eighty (180)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receipt of such Net Cash Proceeds, the Obligors may use such Net Cash Proceeds not exceeding $1,000,000 in the aggregate for all Asset Sales during the term of this Agreement, to purchase, replace, repair or restore properties or assets used in the Obligors’ businesses;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purchased, replaced, repaired or restored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w:t>
      </w:r>
    </w:p>
    <w:p>
      <w:pPr>
        <w:spacing w:after="0" w:line="255" w:lineRule="exact"/>
        <w:rPr>
          <w:sz w:val="20"/>
          <w:szCs w:val="20"/>
          <w:color w:val="auto"/>
        </w:rPr>
      </w:pPr>
    </w:p>
    <w:p>
      <w:pPr>
        <w:jc w:val="both"/>
        <w:ind w:left="400" w:firstLine="745"/>
        <w:spacing w:after="0" w:line="232" w:lineRule="auto"/>
        <w:tabs>
          <w:tab w:leader="none" w:pos="156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Prepayment Premium. </w:t>
      </w:r>
      <w:r>
        <w:rPr>
          <w:rFonts w:ascii="Times New Roman" w:cs="Times New Roman" w:eastAsia="Times New Roman" w:hAnsi="Times New Roman"/>
          <w:sz w:val="22"/>
          <w:szCs w:val="22"/>
          <w:color w:val="auto"/>
        </w:rPr>
        <w:t>Payment of any Prepayment Premium under this Section 3.03 constitutes liquidated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PREPAYMENT PREMIUM IN CONNECTION WITH ANY SUCH EVENTS. The 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spacing w:after="0" w:line="28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4</w:t>
      </w:r>
    </w:p>
    <w:p>
      <w:pPr>
        <w:spacing w:after="0" w:line="23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4.01.</w:t>
      </w:r>
      <w:r>
        <w:rPr>
          <w:sz w:val="20"/>
          <w:szCs w:val="20"/>
          <w:color w:val="auto"/>
        </w:rPr>
        <w:tab/>
      </w:r>
      <w:r>
        <w:rPr>
          <w:rFonts w:ascii="Times New Roman" w:cs="Times New Roman" w:eastAsia="Times New Roman" w:hAnsi="Times New Roman"/>
          <w:sz w:val="21"/>
          <w:szCs w:val="21"/>
          <w:i w:val="1"/>
          <w:iCs w:val="1"/>
          <w:color w:val="auto"/>
        </w:rPr>
        <w:t>Payments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400" w:right="20" w:firstLine="745"/>
        <w:spacing w:after="0" w:line="262" w:lineRule="auto"/>
        <w:tabs>
          <w:tab w:leader="none" w:pos="158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Generally. </w:t>
      </w:r>
      <w:r>
        <w:rPr>
          <w:rFonts w:ascii="Times New Roman" w:cs="Times New Roman" w:eastAsia="Times New Roman" w:hAnsi="Times New Roman"/>
          <w:sz w:val="22"/>
          <w:szCs w:val="22"/>
          <w:color w:val="auto"/>
        </w:rPr>
        <w:t>Each payment of principal, interest and other amounts to be made by the Obligors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this Agreement or any other Loan Document shall be made in</w:t>
      </w:r>
    </w:p>
    <w:p>
      <w:pPr>
        <w:spacing w:after="0" w:line="1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56" w:right="339" w:bottom="1440" w:gutter="0" w:footer="0" w:header="0"/>
        </w:sectPr>
      </w:pPr>
    </w:p>
    <w:bookmarkStart w:id="89" w:name="page90"/>
    <w:bookmarkEnd w:id="89"/>
    <w:p>
      <w:pPr>
        <w:jc w:val="both"/>
        <w:spacing w:after="0" w:line="239" w:lineRule="auto"/>
        <w:rPr>
          <w:sz w:val="20"/>
          <w:szCs w:val="20"/>
          <w:color w:val="auto"/>
        </w:rPr>
      </w:pPr>
      <w:r>
        <w:rPr>
          <w:rFonts w:ascii="Times New Roman" w:cs="Times New Roman" w:eastAsia="Times New Roman" w:hAnsi="Times New Roman"/>
          <w:sz w:val="22"/>
          <w:szCs w:val="22"/>
          <w:color w:val="auto"/>
        </w:rPr>
        <w:t>Dollars, in immediately available funds, without deduction, set off or counterclaim, to the deposit account of the Administrative Agent specified to the Borrower from time to time, not later than 2:00 p.m. (New York City time) on the date on which such payment shall become due (each such payment made after such time on such due date to be deemed to have been made on the next succeeding Business Day).</w:t>
      </w:r>
    </w:p>
    <w:p>
      <w:pPr>
        <w:spacing w:after="0" w:line="203" w:lineRule="exact"/>
        <w:rPr>
          <w:sz w:val="20"/>
          <w:szCs w:val="20"/>
          <w:color w:val="auto"/>
        </w:rPr>
      </w:pPr>
    </w:p>
    <w:p>
      <w:pPr>
        <w:jc w:val="both"/>
        <w:ind w:firstLine="745"/>
        <w:spacing w:after="0" w:line="241" w:lineRule="auto"/>
        <w:tabs>
          <w:tab w:leader="none" w:pos="117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Application of Payments Prior to a Default. </w:t>
      </w:r>
      <w:r>
        <w:rPr>
          <w:rFonts w:ascii="Times New Roman" w:cs="Times New Roman" w:eastAsia="Times New Roman" w:hAnsi="Times New Roman"/>
          <w:sz w:val="22"/>
          <w:szCs w:val="22"/>
          <w:color w:val="auto"/>
        </w:rPr>
        <w:t>Prior to the occurrence of a Default, each payment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any other Loan Document shall be applied in the following order of priority, with proceeds being applied to a succeeding level of priority only if amounts owing pursuant to the immediately preceding level of priority have been paid in full in cash:</w:t>
      </w:r>
    </w:p>
    <w:p>
      <w:pPr>
        <w:spacing w:after="0" w:line="212" w:lineRule="exact"/>
        <w:rPr>
          <w:sz w:val="20"/>
          <w:szCs w:val="20"/>
          <w:color w:val="auto"/>
        </w:rPr>
      </w:pPr>
    </w:p>
    <w:p>
      <w:pPr>
        <w:ind w:left="740" w:firstLine="44"/>
        <w:spacing w:after="0" w:line="262" w:lineRule="auto"/>
        <w:tabs>
          <w:tab w:leader="none" w:pos="1138" w:val="left"/>
        </w:tabs>
        <w:numPr>
          <w:ilvl w:val="0"/>
          <w:numId w:val="8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in reduction of the Borrower’s obligation to pay any unpaid interest and any fees then due and 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without limitation, any Prepayment Premium, if applicable; and</w:t>
      </w:r>
    </w:p>
    <w:p>
      <w:pPr>
        <w:spacing w:after="0" w:line="190" w:lineRule="exact"/>
        <w:rPr>
          <w:rFonts w:ascii="Times New Roman" w:cs="Times New Roman" w:eastAsia="Times New Roman" w:hAnsi="Times New Roman"/>
          <w:sz w:val="22"/>
          <w:szCs w:val="22"/>
          <w:i w:val="1"/>
          <w:iCs w:val="1"/>
          <w:color w:val="auto"/>
        </w:rPr>
      </w:pPr>
    </w:p>
    <w:p>
      <w:pPr>
        <w:ind w:left="740" w:firstLine="84"/>
        <w:spacing w:after="0" w:line="262" w:lineRule="auto"/>
        <w:tabs>
          <w:tab w:leader="none" w:pos="1205"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unpaid principal of the Term Loans to the Lenders in accordance with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Proportionate Share.</w:t>
      </w:r>
    </w:p>
    <w:p>
      <w:pPr>
        <w:spacing w:after="0" w:line="176" w:lineRule="exact"/>
        <w:rPr>
          <w:rFonts w:ascii="Times New Roman" w:cs="Times New Roman" w:eastAsia="Times New Roman" w:hAnsi="Times New Roman"/>
          <w:sz w:val="22"/>
          <w:szCs w:val="22"/>
          <w:color w:val="auto"/>
        </w:rPr>
      </w:pPr>
    </w:p>
    <w:p>
      <w:pPr>
        <w:jc w:val="both"/>
        <w:ind w:firstLine="745"/>
        <w:spacing w:after="0" w:line="241" w:lineRule="auto"/>
        <w:tabs>
          <w:tab w:leader="none" w:pos="11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Application of Payments Following a Default</w:t>
      </w:r>
      <w:r>
        <w:rPr>
          <w:rFonts w:ascii="Times New Roman" w:cs="Times New Roman" w:eastAsia="Times New Roman" w:hAnsi="Times New Roman"/>
          <w:sz w:val="22"/>
          <w:szCs w:val="22"/>
          <w:color w:val="auto"/>
        </w:rPr>
        <w:t>. Following the occurrence of a Default, each payment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spacing w:after="0" w:line="2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493395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33" w:right="339" w:bottom="1440" w:gutter="0" w:footer="0" w:header="0"/>
        </w:sectPr>
      </w:pPr>
    </w:p>
    <w:bookmarkStart w:id="90" w:name="page91"/>
    <w:bookmarkEnd w:id="90"/>
    <w:p>
      <w:pPr>
        <w:ind w:left="2260"/>
        <w:spacing w:after="0"/>
        <w:tabs>
          <w:tab w:leader="none" w:pos="26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the payment of any unpaid costs and expenses referred to in Section 13.03(a) then due and</w:t>
      </w:r>
    </w:p>
    <w:p>
      <w:pPr>
        <w:spacing w:after="0" w:line="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owing;</w:t>
      </w:r>
    </w:p>
    <w:p>
      <w:pPr>
        <w:spacing w:after="0" w:line="259" w:lineRule="exact"/>
        <w:rPr>
          <w:sz w:val="20"/>
          <w:szCs w:val="20"/>
          <w:color w:val="auto"/>
        </w:rPr>
      </w:pPr>
    </w:p>
    <w:p>
      <w:pPr>
        <w:jc w:val="both"/>
        <w:ind w:left="1500" w:firstLine="754"/>
        <w:spacing w:after="0" w:line="246" w:lineRule="auto"/>
        <w:tabs>
          <w:tab w:leader="none" w:pos="260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in reduction of the Borrower’s obligation to pay any unpaid interest and any fees then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owing including, without limitation, (A) interest payable at the Default Rate and (B) any Prepayment Premium, if applicable;</w:t>
      </w:r>
    </w:p>
    <w:p>
      <w:pPr>
        <w:spacing w:after="0" w:line="234" w:lineRule="exact"/>
        <w:rPr>
          <w:rFonts w:ascii="Times New Roman" w:cs="Times New Roman" w:eastAsia="Times New Roman" w:hAnsi="Times New Roman"/>
          <w:sz w:val="22"/>
          <w:szCs w:val="22"/>
          <w:color w:val="auto"/>
        </w:rPr>
      </w:pPr>
    </w:p>
    <w:p>
      <w:pPr>
        <w:ind w:left="2620" w:hanging="366"/>
        <w:spacing w:after="0"/>
        <w:tabs>
          <w:tab w:leader="none" w:pos="26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the Exit Fee then due and payable pursuant to Section 2.03(b) (if any);</w:t>
      </w:r>
    </w:p>
    <w:p>
      <w:pPr>
        <w:spacing w:after="0" w:line="273" w:lineRule="exact"/>
        <w:rPr>
          <w:rFonts w:ascii="Times New Roman" w:cs="Times New Roman" w:eastAsia="Times New Roman" w:hAnsi="Times New Roman"/>
          <w:sz w:val="22"/>
          <w:szCs w:val="22"/>
          <w:color w:val="auto"/>
        </w:rPr>
      </w:pPr>
    </w:p>
    <w:p>
      <w:pPr>
        <w:ind w:left="1500" w:firstLine="754"/>
        <w:spacing w:after="0" w:line="262" w:lineRule="auto"/>
        <w:tabs>
          <w:tab w:leader="none" w:pos="268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unpaid principal of the Term Loans to the Lenders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Lender’s Proportionate Share;</w:t>
      </w:r>
    </w:p>
    <w:p>
      <w:pPr>
        <w:spacing w:after="0" w:line="230" w:lineRule="exact"/>
        <w:rPr>
          <w:rFonts w:ascii="Times New Roman" w:cs="Times New Roman" w:eastAsia="Times New Roman" w:hAnsi="Times New Roman"/>
          <w:sz w:val="22"/>
          <w:szCs w:val="22"/>
          <w:color w:val="auto"/>
        </w:rPr>
      </w:pPr>
    </w:p>
    <w:p>
      <w:pPr>
        <w:ind w:left="1500" w:firstLine="754"/>
        <w:spacing w:after="0" w:line="262" w:lineRule="auto"/>
        <w:tabs>
          <w:tab w:leader="none" w:pos="266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in reduction of the Borrower’s obligation to pay any Claims or Losses referred to in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13.03(b) then due and owing;</w:t>
      </w:r>
    </w:p>
    <w:p>
      <w:pPr>
        <w:spacing w:after="0" w:line="217" w:lineRule="exact"/>
        <w:rPr>
          <w:rFonts w:ascii="Times New Roman" w:cs="Times New Roman" w:eastAsia="Times New Roman" w:hAnsi="Times New Roman"/>
          <w:sz w:val="22"/>
          <w:szCs w:val="22"/>
          <w:color w:val="auto"/>
        </w:rPr>
      </w:pPr>
    </w:p>
    <w:p>
      <w:pPr>
        <w:ind w:left="2660" w:hanging="406"/>
        <w:spacing w:after="0"/>
        <w:tabs>
          <w:tab w:leader="none" w:pos="2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in reduction of any other Obligation then due and owing; and</w:t>
      </w:r>
    </w:p>
    <w:p>
      <w:pPr>
        <w:spacing w:after="0" w:line="273" w:lineRule="exact"/>
        <w:rPr>
          <w:rFonts w:ascii="Times New Roman" w:cs="Times New Roman" w:eastAsia="Times New Roman" w:hAnsi="Times New Roman"/>
          <w:sz w:val="22"/>
          <w:szCs w:val="22"/>
          <w:color w:val="auto"/>
        </w:rPr>
      </w:pPr>
    </w:p>
    <w:p>
      <w:pPr>
        <w:ind w:left="1500" w:firstLine="754"/>
        <w:spacing w:after="0" w:line="262" w:lineRule="auto"/>
        <w:tabs>
          <w:tab w:leader="none" w:pos="296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Borrower or such other Persons as may lawfully be entitled to or directed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to receive the remainder.</w:t>
      </w:r>
    </w:p>
    <w:p>
      <w:pPr>
        <w:spacing w:after="0" w:line="1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spacing w:after="0" w:line="179" w:lineRule="exact"/>
        <w:rPr>
          <w:sz w:val="20"/>
          <w:szCs w:val="20"/>
          <w:color w:val="auto"/>
        </w:rPr>
      </w:pPr>
    </w:p>
    <w:p>
      <w:pPr>
        <w:jc w:val="both"/>
        <w:ind w:left="760" w:firstLine="745"/>
        <w:spacing w:after="0" w:line="265" w:lineRule="exact"/>
        <w:tabs>
          <w:tab w:leader="none" w:pos="186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Business Days. </w:t>
      </w:r>
      <w:r>
        <w:rPr>
          <w:rFonts w:ascii="Times New Roman" w:cs="Times New Roman" w:eastAsia="Times New Roman" w:hAnsi="Times New Roman"/>
          <w:sz w:val="22"/>
          <w:szCs w:val="22"/>
          <w:color w:val="auto"/>
        </w:rPr>
        <w:t>If the due date of any payment under this Agreement (whether in respect of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spacing w:after="0" w:line="201"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4.02. Computations. </w:t>
      </w:r>
      <w:r>
        <w:rPr>
          <w:rFonts w:ascii="Times New Roman" w:cs="Times New Roman" w:eastAsia="Times New Roman" w:hAnsi="Times New Roman"/>
          <w:sz w:val="22"/>
          <w:szCs w:val="22"/>
          <w:color w:val="auto"/>
        </w:rPr>
        <w:t>All computations of interest and fees hereunder shall be computed on the basis of a year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360 days and actual days elapsed during the period for which payable.</w:t>
      </w:r>
    </w:p>
    <w:p>
      <w:pPr>
        <w:spacing w:after="0" w:line="190"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4.03.</w:t>
      </w:r>
      <w:r>
        <w:rPr>
          <w:sz w:val="20"/>
          <w:szCs w:val="20"/>
          <w:color w:val="auto"/>
        </w:rPr>
        <w:tab/>
      </w:r>
      <w:r>
        <w:rPr>
          <w:rFonts w:ascii="Times New Roman" w:cs="Times New Roman" w:eastAsia="Times New Roman" w:hAnsi="Times New Roman"/>
          <w:sz w:val="21"/>
          <w:szCs w:val="21"/>
          <w:i w:val="1"/>
          <w:iCs w:val="1"/>
          <w:color w:val="auto"/>
        </w:rPr>
        <w:t xml:space="preserve">Notices. </w:t>
      </w:r>
      <w:r>
        <w:rPr>
          <w:rFonts w:ascii="Times New Roman" w:cs="Times New Roman" w:eastAsia="Times New Roman" w:hAnsi="Times New Roman"/>
          <w:sz w:val="21"/>
          <w:szCs w:val="21"/>
          <w:color w:val="auto"/>
        </w:rPr>
        <w:t>Each notice of optional prepayment shall be effective only if received by the Lenders not later than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p.m. (New York City time) on the date three (3) Business Days prior to the date of prepayment.  Each notice of optional</w:t>
      </w:r>
    </w:p>
    <w:p>
      <w:pPr>
        <w:spacing w:after="0"/>
        <w:rPr>
          <w:sz w:val="20"/>
          <w:szCs w:val="20"/>
          <w:color w:val="auto"/>
        </w:rPr>
      </w:pPr>
      <w:r>
        <w:rPr>
          <w:rFonts w:ascii="Times New Roman" w:cs="Times New Roman" w:eastAsia="Times New Roman" w:hAnsi="Times New Roman"/>
          <w:sz w:val="22"/>
          <w:szCs w:val="22"/>
          <w:color w:val="auto"/>
        </w:rPr>
        <w:t>prepayment shall specify the amount to be prepaid and the date of prepayment.</w:t>
      </w:r>
    </w:p>
    <w:p>
      <w:pPr>
        <w:spacing w:after="0" w:line="188" w:lineRule="exact"/>
        <w:rPr>
          <w:sz w:val="20"/>
          <w:szCs w:val="20"/>
          <w:color w:val="auto"/>
        </w:rPr>
      </w:pPr>
    </w:p>
    <w:p>
      <w:pPr>
        <w:ind w:left="360"/>
        <w:spacing w:after="0" w:line="253" w:lineRule="exact"/>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4.04.</w:t>
        <w:tab/>
        <w:t>Set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Off</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760" w:firstLine="745"/>
        <w:spacing w:after="0" w:line="258" w:lineRule="exact"/>
        <w:tabs>
          <w:tab w:leader="none" w:pos="192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Off Generally. </w:t>
      </w:r>
      <w:r>
        <w:rPr>
          <w:rFonts w:ascii="Times New Roman" w:cs="Times New Roman" w:eastAsia="Times New Roman" w:hAnsi="Times New Roman"/>
          <w:sz w:val="22"/>
          <w:szCs w:val="22"/>
          <w:color w:val="auto"/>
        </w:rPr>
        <w:t>Upon the occurrence and during the continuance of any Event of Default,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91" w:name="page92"/>
    <w:bookmarkEnd w:id="91"/>
    <w:p>
      <w:pPr>
        <w:jc w:val="both"/>
        <w:ind w:left="400"/>
        <w:spacing w:after="0" w:line="271" w:lineRule="exact"/>
        <w:rPr>
          <w:sz w:val="20"/>
          <w:szCs w:val="20"/>
          <w:color w:val="auto"/>
        </w:rPr>
      </w:pPr>
      <w:r>
        <w:rPr>
          <w:rFonts w:ascii="Times New Roman" w:cs="Times New Roman" w:eastAsia="Times New Roman" w:hAnsi="Times New Roman"/>
          <w:sz w:val="22"/>
          <w:szCs w:val="22"/>
          <w:color w:val="auto"/>
        </w:rPr>
        <w:t>unmatured. The Lenders agree promptly to notify the Borrower after any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and application. The rights of the Lenders and their respective Affiliates under this Section 4.04 are in addition to other rights and remedies (including other rights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that the Lenders and their respective Affiliates may have.</w:t>
      </w:r>
    </w:p>
    <w:p>
      <w:pPr>
        <w:spacing w:after="0" w:line="202" w:lineRule="exact"/>
        <w:rPr>
          <w:sz w:val="20"/>
          <w:szCs w:val="20"/>
          <w:color w:val="auto"/>
        </w:rPr>
      </w:pPr>
    </w:p>
    <w:p>
      <w:pPr>
        <w:jc w:val="both"/>
        <w:ind w:left="400" w:firstLine="745"/>
        <w:spacing w:after="0" w:line="241" w:lineRule="auto"/>
        <w:tabs>
          <w:tab w:leader="none" w:pos="160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Exercise of Rights Not Required. </w:t>
      </w:r>
      <w:r>
        <w:rPr>
          <w:rFonts w:ascii="Times New Roman" w:cs="Times New Roman" w:eastAsia="Times New Roman" w:hAnsi="Times New Roman"/>
          <w:sz w:val="22"/>
          <w:szCs w:val="22"/>
          <w:color w:val="auto"/>
        </w:rPr>
        <w:t>Nothing contained herein shall require the Administrative Agent,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or any of their respective Affiliates to exercise any such right or shall affect the right of such Persons to exercise, and retain the benefits of exercising, any such right with respect to any other Indebtedness or obligation of any Obligor.</w:t>
      </w:r>
    </w:p>
    <w:p>
      <w:pPr>
        <w:spacing w:after="0" w:line="28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5</w:t>
      </w:r>
    </w:p>
    <w:p>
      <w:pPr>
        <w:spacing w:after="0" w:line="23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14"/>
          <w:szCs w:val="14"/>
          <w:b w:val="1"/>
          <w:bCs w:val="1"/>
          <w:color w:val="auto"/>
        </w:rPr>
        <w:t>ield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rotection</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5.01.</w:t>
      </w:r>
      <w:r>
        <w:rPr>
          <w:sz w:val="20"/>
          <w:szCs w:val="20"/>
          <w:color w:val="auto"/>
        </w:rPr>
        <w:tab/>
      </w:r>
      <w:r>
        <w:rPr>
          <w:rFonts w:ascii="Times New Roman" w:cs="Times New Roman" w:eastAsia="Times New Roman" w:hAnsi="Times New Roman"/>
          <w:sz w:val="21"/>
          <w:szCs w:val="21"/>
          <w:i w:val="1"/>
          <w:iCs w:val="1"/>
          <w:color w:val="auto"/>
        </w:rPr>
        <w:t>Additional Costs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400" w:firstLine="745"/>
        <w:spacing w:after="0" w:line="246" w:lineRule="exact"/>
        <w:tabs>
          <w:tab w:leader="none" w:pos="156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Change in Requirements of Law Generally. </w:t>
      </w:r>
      <w:r>
        <w:rPr>
          <w:rFonts w:ascii="Times New Roman" w:cs="Times New Roman" w:eastAsia="Times New Roman" w:hAnsi="Times New Roman"/>
          <w:sz w:val="21"/>
          <w:szCs w:val="21"/>
          <w:color w:val="auto"/>
        </w:rPr>
        <w:t>If, on or after the date hereof, the adoption of any Requirement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against assets of, deposits with or for the account of, or credit extended by, a Lender (or its lending office) or shall impose on a Lender (or its lending office) any other condition affecting the Term Loans or the Commitments,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 (d) of the definition of </w:t>
      </w:r>
      <w:r>
        <w:rPr>
          <w:rFonts w:ascii="Times New Roman" w:cs="Times New Roman" w:eastAsia="Times New Roman" w:hAnsi="Times New Roman"/>
          <w:sz w:val="21"/>
          <w:szCs w:val="21"/>
          <w:i w:val="1"/>
          <w:iCs w:val="1"/>
          <w:color w:val="auto"/>
        </w:rPr>
        <w:t>“Excluded Taxes”</w:t>
      </w:r>
      <w:r>
        <w:rPr>
          <w:rFonts w:ascii="Times New Roman" w:cs="Times New Roman" w:eastAsia="Times New Roman" w:hAnsi="Times New Roman"/>
          <w:sz w:val="21"/>
          <w:szCs w:val="21"/>
          <w:color w:val="auto"/>
        </w:rPr>
        <w:t>and (iii) Connection Income Taxes), then the Borrower shall promptly pay to such Lender within three (3) Business Days following demand (which demand shall be accompanied by a statement setting forth the basis for such demand and a calculation of the amount thereof in reasonable detail), such additional amount or amounts as will compensate such Lender for such increased cost or reduction. Notwithstanding anything herein to the contrary, (x) the Dodd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spacing w:after="0" w:line="201" w:lineRule="exact"/>
        <w:rPr>
          <w:rFonts w:ascii="Times New Roman" w:cs="Times New Roman" w:eastAsia="Times New Roman" w:hAnsi="Times New Roman"/>
          <w:sz w:val="21"/>
          <w:szCs w:val="21"/>
          <w:color w:val="auto"/>
        </w:rPr>
      </w:pPr>
    </w:p>
    <w:p>
      <w:pPr>
        <w:jc w:val="both"/>
        <w:ind w:left="400" w:firstLine="745"/>
        <w:spacing w:after="0" w:line="246" w:lineRule="auto"/>
        <w:tabs>
          <w:tab w:leader="none" w:pos="159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Capital Requirements. </w:t>
      </w:r>
      <w:r>
        <w:rPr>
          <w:rFonts w:ascii="Times New Roman" w:cs="Times New Roman" w:eastAsia="Times New Roman" w:hAnsi="Times New Roman"/>
          <w:sz w:val="22"/>
          <w:szCs w:val="22"/>
          <w:color w:val="auto"/>
        </w:rPr>
        <w:t>If a Lender shall have determined that, on or after the date hereof,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adoption of any Requirement of Law regarding capital adequacy, or any change therein, or any change in the interpretation or administration thereof by any Governmental</w:t>
      </w:r>
    </w:p>
    <w:p>
      <w:pPr>
        <w:spacing w:after="0" w:line="20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198" w:right="339" w:bottom="1440" w:gutter="0" w:footer="0" w:header="0"/>
        </w:sectPr>
      </w:pPr>
    </w:p>
    <w:bookmarkStart w:id="92" w:name="page93"/>
    <w:bookmarkEnd w:id="92"/>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Authority charged with the interpretation or administration thereof, or any request or directive regarding capital adequacy (whether or not having the force of law) of any such Governmental Authority, in each case that becomes effective after the date hereof, has or would have the effect of reducing the rate of return on capital of a Lender (or its parent) as a consequence of a Lender’s obligations hereunder or the Term Loans to a level below that which a Lender (or its parent) could have achieved but for such adoption, change, request or directive by an amount reasonably deemed by it to be material, then Obligors shall promptly pay to such Lender on demand such additional amount or amounts as will compensate such Lender (or its parent) for such reduction.</w:t>
      </w:r>
    </w:p>
    <w:p>
      <w:pPr>
        <w:spacing w:after="0" w:line="206" w:lineRule="exact"/>
        <w:rPr>
          <w:sz w:val="20"/>
          <w:szCs w:val="20"/>
          <w:color w:val="auto"/>
        </w:rPr>
      </w:pPr>
    </w:p>
    <w:p>
      <w:pPr>
        <w:jc w:val="both"/>
        <w:ind w:left="760" w:firstLine="745"/>
        <w:spacing w:after="0" w:line="236" w:lineRule="auto"/>
        <w:tabs>
          <w:tab w:leader="none" w:pos="19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Notification by Lender. </w:t>
      </w:r>
      <w:r>
        <w:rPr>
          <w:rFonts w:ascii="Times New Roman" w:cs="Times New Roman" w:eastAsia="Times New Roman" w:hAnsi="Times New Roman"/>
          <w:sz w:val="22"/>
          <w:szCs w:val="22"/>
          <w:color w:val="auto"/>
        </w:rPr>
        <w:t>The Lenders will promptly notify the Borrower of any event of which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knowledge, occurring after the date hereof, which will entitle a Lender to compensation pursuant to this Section 5.01. Before giving any such notice pursuant to this Section 5.01(c) such Lender shall designate a different lending office if such designation (i) will, in the reasonable judgment of such Lender, avoid the need for, or reduce the amount of, such compensation and (ii) will not, in the reasonable judgment of such Lender, be materially disadvantageous to such Lender. A certificate of the Lender claiming compensation under this Section 5.01, setting forth the amount or amounts to be paid to it hereunder, shall be conclusive and binding on Obligors in the absence of manifest error.</w:t>
      </w:r>
    </w:p>
    <w:p>
      <w:pPr>
        <w:spacing w:after="0" w:line="216" w:lineRule="exact"/>
        <w:rPr>
          <w:sz w:val="20"/>
          <w:szCs w:val="20"/>
          <w:color w:val="auto"/>
        </w:rPr>
      </w:pPr>
    </w:p>
    <w:p>
      <w:pPr>
        <w:jc w:val="both"/>
        <w:ind w:firstLine="373"/>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5.02. Illegality. </w:t>
      </w:r>
      <w:r>
        <w:rPr>
          <w:rFonts w:ascii="Times New Roman" w:cs="Times New Roman" w:eastAsia="Times New Roman" w:hAnsi="Times New Roman"/>
          <w:sz w:val="22"/>
          <w:szCs w:val="22"/>
          <w:color w:val="auto"/>
        </w:rPr>
        <w:t>Notwithstanding any other provision of this Agreement, in the event that on or after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the adoption of or any change in any Requirement of Law or in the interpretation or application thereof by any competent Governmental Authority shall make it unlawful for a Lender or its lending office to make or maintain the Term Loans (and, in the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Obligors on or before such date as shall be mandated by such Requirement of Law in an amount equal to the Redemption Price applicable on the date of such prepayment in accordance with Section 3.03(a).</w:t>
      </w:r>
    </w:p>
    <w:p>
      <w:pPr>
        <w:spacing w:after="0" w:line="214"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5.03.</w:t>
      </w:r>
      <w:r>
        <w:rPr>
          <w:sz w:val="20"/>
          <w:szCs w:val="20"/>
          <w:color w:val="auto"/>
        </w:rPr>
        <w:tab/>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760" w:firstLine="745"/>
        <w:spacing w:after="0" w:line="234" w:lineRule="auto"/>
        <w:tabs>
          <w:tab w:leader="none" w:pos="186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Payments Free of Taxes. </w:t>
      </w:r>
      <w:r>
        <w:rPr>
          <w:rFonts w:ascii="Times New Roman" w:cs="Times New Roman" w:eastAsia="Times New Roman" w:hAnsi="Times New Roman"/>
          <w:sz w:val="22"/>
          <w:szCs w:val="22"/>
          <w:color w:val="auto"/>
        </w:rPr>
        <w:t>Any and all payments by or on account of any Obligation shall be made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93" w:name="page94"/>
    <w:bookmarkEnd w:id="93"/>
    <w:p>
      <w:pPr>
        <w:jc w:val="both"/>
        <w:ind w:left="-360" w:firstLine="745"/>
        <w:spacing w:after="0" w:line="246" w:lineRule="auto"/>
        <w:tabs>
          <w:tab w:leader="none" w:pos="77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Other Taxes by the Obligors. </w:t>
      </w:r>
      <w:r>
        <w:rPr>
          <w:rFonts w:ascii="Times New Roman" w:cs="Times New Roman" w:eastAsia="Times New Roman" w:hAnsi="Times New Roman"/>
          <w:sz w:val="22"/>
          <w:szCs w:val="22"/>
          <w:color w:val="auto"/>
        </w:rPr>
        <w:t>The Obligors shall timely pay to the relevant Governmental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in accordance with applicable Law, or at the option of the Administrative Agent, timely reimburse it for, Other Taxes.</w:t>
      </w:r>
    </w:p>
    <w:p>
      <w:pPr>
        <w:spacing w:after="0" w:line="194"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7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Payments. </w:t>
      </w:r>
      <w:r>
        <w:rPr>
          <w:rFonts w:ascii="Times New Roman" w:cs="Times New Roman" w:eastAsia="Times New Roman" w:hAnsi="Times New Roman"/>
          <w:sz w:val="22"/>
          <w:szCs w:val="22"/>
          <w:color w:val="auto"/>
        </w:rPr>
        <w:t>As soon as practicable after any payment of Taxes by Obligors to a Governmental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spacing w:after="0" w:line="217"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76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w:t>
      </w:r>
      <w:r>
        <w:rPr>
          <w:rFonts w:ascii="Times New Roman" w:cs="Times New Roman" w:eastAsia="Times New Roman" w:hAnsi="Times New Roman"/>
          <w:sz w:val="22"/>
          <w:szCs w:val="22"/>
          <w:color w:val="auto"/>
        </w:rPr>
        <w:t>The Obligors shall reimburse and indemnify each Recipient, within ten (10)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14"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76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 Administrative Agent,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202" w:lineRule="exact"/>
        <w:rPr>
          <w:rFonts w:ascii="Times New Roman" w:cs="Times New Roman" w:eastAsia="Times New Roman" w:hAnsi="Times New Roman"/>
          <w:sz w:val="22"/>
          <w:szCs w:val="22"/>
          <w:color w:val="auto"/>
        </w:rPr>
      </w:pPr>
    </w:p>
    <w:p>
      <w:pPr>
        <w:ind w:left="800" w:hanging="415"/>
        <w:spacing w:after="0"/>
        <w:tabs>
          <w:tab w:leader="none" w:pos="8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Lenders.</w:t>
      </w:r>
    </w:p>
    <w:p>
      <w:pPr>
        <w:spacing w:after="0" w:line="291" w:lineRule="exact"/>
        <w:rPr>
          <w:rFonts w:ascii="Times New Roman" w:cs="Times New Roman" w:eastAsia="Times New Roman" w:hAnsi="Times New Roman"/>
          <w:sz w:val="22"/>
          <w:szCs w:val="22"/>
          <w:color w:val="auto"/>
        </w:rPr>
      </w:pPr>
    </w:p>
    <w:p>
      <w:pPr>
        <w:jc w:val="both"/>
        <w:ind w:left="380" w:firstLine="754"/>
        <w:spacing w:after="0" w:line="235" w:lineRule="auto"/>
        <w:tabs>
          <w:tab w:leader="none" w:pos="154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w:t>
      </w:r>
    </w:p>
    <w:p>
      <w:pPr>
        <w:spacing w:after="0" w:line="2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29" w:right="339" w:bottom="1440" w:gutter="0" w:footer="0" w:header="0"/>
        </w:sectPr>
      </w:pPr>
    </w:p>
    <w:bookmarkStart w:id="94" w:name="page95"/>
    <w:bookmarkEnd w:id="94"/>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62" w:lineRule="exact"/>
        <w:rPr>
          <w:sz w:val="20"/>
          <w:szCs w:val="20"/>
          <w:color w:val="auto"/>
        </w:rPr>
      </w:pPr>
    </w:p>
    <w:p>
      <w:pPr>
        <w:ind w:left="1500" w:hanging="366"/>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73" w:lineRule="exact"/>
        <w:rPr>
          <w:rFonts w:ascii="Times New Roman" w:cs="Times New Roman" w:eastAsia="Times New Roman" w:hAnsi="Times New Roman"/>
          <w:sz w:val="22"/>
          <w:szCs w:val="22"/>
          <w:color w:val="auto"/>
        </w:rPr>
      </w:pPr>
    </w:p>
    <w:p>
      <w:pPr>
        <w:jc w:val="both"/>
        <w:ind w:left="1140" w:firstLine="743"/>
        <w:spacing w:after="0" w:line="253" w:lineRule="exact"/>
        <w:tabs>
          <w:tab w:leader="none" w:pos="227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(or successor form) certifying that such Lender is exempt from U.S. Federal backup withholding Tax;</w:t>
      </w:r>
    </w:p>
    <w:p>
      <w:pPr>
        <w:spacing w:after="0" w:line="247" w:lineRule="exact"/>
        <w:rPr>
          <w:rFonts w:ascii="Times New Roman" w:cs="Times New Roman" w:eastAsia="Times New Roman" w:hAnsi="Times New Roman"/>
          <w:sz w:val="22"/>
          <w:szCs w:val="22"/>
          <w:color w:val="auto"/>
        </w:rPr>
      </w:pPr>
    </w:p>
    <w:p>
      <w:pPr>
        <w:jc w:val="both"/>
        <w:ind w:left="1140" w:firstLine="743"/>
        <w:spacing w:after="0" w:line="238" w:lineRule="auto"/>
        <w:tabs>
          <w:tab w:leader="none" w:pos="228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57" w:lineRule="exact"/>
        <w:rPr>
          <w:rFonts w:ascii="Times New Roman" w:cs="Times New Roman" w:eastAsia="Times New Roman" w:hAnsi="Times New Roman"/>
          <w:sz w:val="22"/>
          <w:szCs w:val="22"/>
          <w:color w:val="auto"/>
        </w:rPr>
      </w:pPr>
    </w:p>
    <w:p>
      <w:pPr>
        <w:jc w:val="both"/>
        <w:ind w:left="1880" w:firstLine="752"/>
        <w:spacing w:after="0" w:line="252" w:lineRule="exact"/>
        <w:tabs>
          <w:tab w:leader="none" w:pos="3002" w:val="left"/>
        </w:tabs>
        <w:numPr>
          <w:ilvl w:val="2"/>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duly completed, valid executed copies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or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establishing an exemption from, or reduction of, U.S. Federal withholding Tax pursuant to the “interest” article of such Tax treaty and (y) with respect to any other applicable payments under any Loan Document, duly completed, valid, executed originals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 (or successor form) or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8BEN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 (or successor form) establishing an exemption from, or reduction of, U.S. Federal withholding Tax pursuant to the “business profits” or “other income” article of such Tax treaty;</w:t>
      </w:r>
    </w:p>
    <w:p>
      <w:pPr>
        <w:spacing w:after="0" w:line="212" w:lineRule="exact"/>
        <w:rPr>
          <w:rFonts w:ascii="Times New Roman" w:cs="Times New Roman" w:eastAsia="Times New Roman" w:hAnsi="Times New Roman"/>
          <w:sz w:val="21"/>
          <w:szCs w:val="21"/>
          <w:color w:val="auto"/>
        </w:rPr>
      </w:pPr>
    </w:p>
    <w:p>
      <w:pPr>
        <w:ind w:left="3000" w:hanging="368"/>
        <w:spacing w:after="0" w:line="242" w:lineRule="exact"/>
        <w:tabs>
          <w:tab w:leader="none" w:pos="3000" w:val="left"/>
        </w:tabs>
        <w:numPr>
          <w:ilvl w:val="2"/>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completed, valid, executed copies of IRS Form 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8ECI (or successor form);</w:t>
      </w:r>
    </w:p>
    <w:p>
      <w:pPr>
        <w:spacing w:after="0" w:line="333" w:lineRule="exact"/>
        <w:rPr>
          <w:rFonts w:ascii="Times New Roman" w:cs="Times New Roman" w:eastAsia="Times New Roman" w:hAnsi="Times New Roman"/>
          <w:sz w:val="21"/>
          <w:szCs w:val="21"/>
          <w:color w:val="auto"/>
        </w:rPr>
      </w:pPr>
    </w:p>
    <w:p>
      <w:pPr>
        <w:jc w:val="both"/>
        <w:ind w:left="1880" w:firstLine="752"/>
        <w:spacing w:after="0" w:line="235" w:lineRule="auto"/>
        <w:tabs>
          <w:tab w:leader="none" w:pos="3029"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and (y) executed copies of IRS Form</w:t>
      </w:r>
    </w:p>
    <w:p>
      <w:pPr>
        <w:spacing w:after="0" w:line="2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0" w:right="339" w:bottom="1440" w:gutter="0" w:footer="0" w:header="0"/>
        </w:sectPr>
      </w:pPr>
    </w:p>
    <w:bookmarkStart w:id="95" w:name="page96"/>
    <w:bookmarkEnd w:id="95"/>
    <w:p>
      <w:pPr>
        <w:ind w:left="3000"/>
        <w:spacing w:after="0" w:line="253" w:lineRule="exact"/>
        <w:rPr>
          <w:sz w:val="20"/>
          <w:szCs w:val="20"/>
          <w:color w:val="auto"/>
        </w:rPr>
      </w:pPr>
      <w:r>
        <w:rPr>
          <w:rFonts w:ascii="Times New Roman" w:cs="Times New Roman" w:eastAsia="Times New Roman" w:hAnsi="Times New Roman"/>
          <w:sz w:val="22"/>
          <w:szCs w:val="22"/>
          <w:color w:val="auto"/>
        </w:rPr>
        <w:t>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successor form) or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(or successor form); or</w:t>
      </w:r>
    </w:p>
    <w:p>
      <w:pPr>
        <w:spacing w:after="0" w:line="335" w:lineRule="exact"/>
        <w:rPr>
          <w:sz w:val="20"/>
          <w:szCs w:val="20"/>
          <w:color w:val="auto"/>
        </w:rPr>
      </w:pPr>
    </w:p>
    <w:p>
      <w:pPr>
        <w:jc w:val="both"/>
        <w:ind w:left="3000" w:firstLine="752"/>
        <w:spacing w:after="0" w:line="253" w:lineRule="exact"/>
        <w:tabs>
          <w:tab w:leader="none" w:pos="410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duly completed, valid,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8IMY (or successor form), accompanied by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(or successor form),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successor form),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(or successor form), a U.S. Tax Compliance Certificate,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9 (or successor form),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244" w:lineRule="exact"/>
        <w:rPr>
          <w:rFonts w:ascii="Times New Roman" w:cs="Times New Roman" w:eastAsia="Times New Roman" w:hAnsi="Times New Roman"/>
          <w:sz w:val="22"/>
          <w:szCs w:val="22"/>
          <w:color w:val="auto"/>
        </w:rPr>
      </w:pPr>
    </w:p>
    <w:p>
      <w:pPr>
        <w:jc w:val="both"/>
        <w:ind w:left="2260" w:firstLine="743"/>
        <w:spacing w:after="0" w:line="234" w:lineRule="auto"/>
        <w:tabs>
          <w:tab w:leader="none" w:pos="340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50" w:lineRule="exact"/>
        <w:rPr>
          <w:rFonts w:ascii="Times New Roman" w:cs="Times New Roman" w:eastAsia="Times New Roman" w:hAnsi="Times New Roman"/>
          <w:sz w:val="22"/>
          <w:szCs w:val="22"/>
          <w:color w:val="auto"/>
        </w:rPr>
      </w:pPr>
    </w:p>
    <w:p>
      <w:pPr>
        <w:jc w:val="both"/>
        <w:ind w:left="2260" w:firstLine="743"/>
        <w:spacing w:after="0" w:line="233" w:lineRule="auto"/>
        <w:tabs>
          <w:tab w:leader="none" w:pos="336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Obligors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22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spacing w:after="0" w:line="210" w:lineRule="exact"/>
        <w:rPr>
          <w:sz w:val="20"/>
          <w:szCs w:val="20"/>
          <w:color w:val="auto"/>
        </w:rPr>
      </w:pPr>
    </w:p>
    <w:p>
      <w:pPr>
        <w:jc w:val="both"/>
        <w:ind w:left="760" w:firstLine="745"/>
        <w:spacing w:after="0" w:line="246" w:lineRule="auto"/>
        <w:tabs>
          <w:tab w:leader="none" w:pos="192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Treatment of Certain Refunds. </w:t>
      </w:r>
      <w:r>
        <w:rPr>
          <w:rFonts w:ascii="Times New Roman" w:cs="Times New Roman" w:eastAsia="Times New Roman" w:hAnsi="Times New Roman"/>
          <w:sz w:val="22"/>
          <w:szCs w:val="22"/>
          <w:color w:val="auto"/>
        </w:rPr>
        <w:t>If any party to this Agreement determines, in its sole discretion exercised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good faith, that it has received a refund of any Taxes as to which it has been indemnified pursuant to this Section 5.03 (including by the payment of additional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96" w:name="page97"/>
    <w:bookmarkEnd w:id="96"/>
    <w:p>
      <w:pPr>
        <w:jc w:val="both"/>
        <w:ind w:left="760"/>
        <w:spacing w:after="0" w:line="248" w:lineRule="exact"/>
        <w:rPr>
          <w:sz w:val="20"/>
          <w:szCs w:val="20"/>
          <w:color w:val="auto"/>
        </w:rPr>
      </w:pPr>
      <w:r>
        <w:rPr>
          <w:rFonts w:ascii="Times New Roman" w:cs="Times New Roman" w:eastAsia="Times New Roman" w:hAnsi="Times New Roman"/>
          <w:sz w:val="22"/>
          <w:szCs w:val="22"/>
          <w:color w:val="auto"/>
        </w:rPr>
        <w:t>amounts pursuant to this Section 5.03), it shall pay to the indemnifying party an amount equal to such refund (but only to the extent of indemnity payments made under this Section 5.03 with respect to the Taxes giving rise to such refund), net of all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jc w:val="both"/>
        <w:ind w:left="760" w:firstLine="745"/>
        <w:spacing w:after="0" w:line="247" w:lineRule="auto"/>
        <w:tabs>
          <w:tab w:leader="none" w:pos="195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Mitigation Obligations. </w:t>
      </w:r>
      <w:r>
        <w:rPr>
          <w:rFonts w:ascii="Times New Roman" w:cs="Times New Roman" w:eastAsia="Times New Roman" w:hAnsi="Times New Roman"/>
          <w:sz w:val="21"/>
          <w:szCs w:val="21"/>
          <w:color w:val="auto"/>
        </w:rPr>
        <w:t>If Obligors are required to pay any Indemnified Taxes or additional amounts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spacing w:after="0" w:line="206" w:lineRule="exact"/>
        <w:rPr>
          <w:rFonts w:ascii="Times New Roman" w:cs="Times New Roman" w:eastAsia="Times New Roman" w:hAnsi="Times New Roman"/>
          <w:sz w:val="21"/>
          <w:szCs w:val="21"/>
          <w:color w:val="auto"/>
        </w:rPr>
      </w:pPr>
    </w:p>
    <w:p>
      <w:pPr>
        <w:jc w:val="both"/>
        <w:ind w:left="760" w:firstLine="745"/>
        <w:spacing w:after="0" w:line="246" w:lineRule="auto"/>
        <w:tabs>
          <w:tab w:leader="none" w:pos="19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Each party’s obligations under this Article 5 shall survive the resignation or replacement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assignment of rights by, or the replacement of, a Lender, the termination of the Commitments and the repayment, satisfaction or discharge of all Obligations under any Loan Document.</w:t>
      </w:r>
    </w:p>
    <w:p>
      <w:pPr>
        <w:spacing w:after="0" w:line="208" w:lineRule="exact"/>
        <w:rPr>
          <w:sz w:val="20"/>
          <w:szCs w:val="20"/>
          <w:color w:val="auto"/>
        </w:rPr>
      </w:pPr>
    </w:p>
    <w:p>
      <w:pPr>
        <w:jc w:val="both"/>
        <w:ind w:firstLine="373"/>
        <w:spacing w:after="0" w:line="236" w:lineRule="auto"/>
        <w:rPr>
          <w:sz w:val="20"/>
          <w:szCs w:val="20"/>
          <w:color w:val="auto"/>
        </w:rPr>
      </w:pPr>
      <w:r>
        <w:rPr>
          <w:rFonts w:ascii="Times New Roman" w:cs="Times New Roman" w:eastAsia="Times New Roman" w:hAnsi="Times New Roman"/>
          <w:sz w:val="22"/>
          <w:szCs w:val="22"/>
          <w:i w:val="1"/>
          <w:iCs w:val="1"/>
          <w:color w:val="auto"/>
        </w:rPr>
        <w:t>Section 5.04. Delay in Requests</w:t>
      </w:r>
      <w:r>
        <w:rPr>
          <w:rFonts w:ascii="Times New Roman" w:cs="Times New Roman" w:eastAsia="Times New Roman" w:hAnsi="Times New Roman"/>
          <w:sz w:val="22"/>
          <w:szCs w:val="22"/>
          <w:color w:val="auto"/>
        </w:rPr>
        <w:t>. Failure or delay on the part of any Lender to demand compensation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Article 5 shall not constitute a waiver of such Lender’s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Obligors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97" w:name="page98"/>
    <w:bookmarkEnd w:id="97"/>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47"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6.01. Conditions to Tranche A Term Loan; Closing Date. </w:t>
      </w:r>
      <w:r>
        <w:rPr>
          <w:rFonts w:ascii="Times New Roman" w:cs="Times New Roman" w:eastAsia="Times New Roman" w:hAnsi="Times New Roman"/>
          <w:sz w:val="22"/>
          <w:szCs w:val="22"/>
          <w:color w:val="auto"/>
        </w:rPr>
        <w:t>The obligation of each Lender to make the Tranche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Loan on the Closing Date shall not become effective until the following conditions precedent shall have been reasonably satisfied or waived in writing by the Administrative Agent (which satisfaction or waiver may be made simultaneously with the making of the Tranche A Term Loan hereunder):</w:t>
      </w:r>
    </w:p>
    <w:p>
      <w:pPr>
        <w:spacing w:after="0" w:line="199" w:lineRule="exact"/>
        <w:rPr>
          <w:sz w:val="20"/>
          <w:szCs w:val="20"/>
          <w:color w:val="auto"/>
        </w:rPr>
      </w:pPr>
    </w:p>
    <w:p>
      <w:pPr>
        <w:jc w:val="both"/>
        <w:ind w:left="760" w:firstLine="745"/>
        <w:spacing w:after="0" w:line="246" w:lineRule="auto"/>
        <w:tabs>
          <w:tab w:leader="none" w:pos="20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Organization and Capitalization</w:t>
      </w:r>
      <w:r>
        <w:rPr>
          <w:rFonts w:ascii="Times New Roman" w:cs="Times New Roman" w:eastAsia="Times New Roman" w:hAnsi="Times New Roman"/>
          <w:sz w:val="22"/>
          <w:szCs w:val="22"/>
          <w:color w:val="auto"/>
        </w:rPr>
        <w:t>. The organizational structure and pro-forma capitalization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Obligors, after giving effect to the Transactions, as set forth on Schedule 7.20 shall be satisfactory to the Administrative Agent.</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63" w:lineRule="auto"/>
        <w:tabs>
          <w:tab w:leader="none" w:pos="193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Terms of Material Agreements. </w:t>
      </w:r>
      <w:r>
        <w:rPr>
          <w:rFonts w:ascii="Times New Roman" w:cs="Times New Roman" w:eastAsia="Times New Roman" w:hAnsi="Times New Roman"/>
          <w:sz w:val="21"/>
          <w:szCs w:val="21"/>
          <w:color w:val="auto"/>
        </w:rPr>
        <w:t>The Administrative Agent shall be satisfied in its sole discretion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terms and conditions of all of the Obligors’ Material Agreements, including without limitation, the Material Agreements that are directly or indirectly associated with manufacturing, distribution and payment of royalties by any Obligor.</w:t>
      </w:r>
    </w:p>
    <w:p>
      <w:pPr>
        <w:spacing w:after="0" w:line="191" w:lineRule="exact"/>
        <w:rPr>
          <w:rFonts w:ascii="Times New Roman" w:cs="Times New Roman" w:eastAsia="Times New Roman" w:hAnsi="Times New Roman"/>
          <w:sz w:val="21"/>
          <w:szCs w:val="21"/>
          <w:color w:val="auto"/>
        </w:rPr>
      </w:pPr>
    </w:p>
    <w:p>
      <w:pPr>
        <w:ind w:left="760" w:firstLine="745"/>
        <w:spacing w:after="0" w:line="262" w:lineRule="auto"/>
        <w:tabs>
          <w:tab w:leader="none" w:pos="199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Law Restraining Transactions. </w:t>
      </w:r>
      <w:r>
        <w:rPr>
          <w:rFonts w:ascii="Times New Roman" w:cs="Times New Roman" w:eastAsia="Times New Roman" w:hAnsi="Times New Roman"/>
          <w:sz w:val="22"/>
          <w:szCs w:val="22"/>
          <w:color w:val="auto"/>
        </w:rPr>
        <w:t>No applicable Law or regulation shall restrain, prevent or,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reasonable judgment of the Administrative Agent, impose materially adverse conditions upon the Transactions.</w:t>
      </w:r>
    </w:p>
    <w:p>
      <w:pPr>
        <w:spacing w:after="0" w:line="176" w:lineRule="exact"/>
        <w:rPr>
          <w:rFonts w:ascii="Times New Roman" w:cs="Times New Roman" w:eastAsia="Times New Roman" w:hAnsi="Times New Roman"/>
          <w:sz w:val="22"/>
          <w:szCs w:val="22"/>
          <w:color w:val="auto"/>
        </w:rPr>
      </w:pPr>
    </w:p>
    <w:p>
      <w:pPr>
        <w:ind w:left="760" w:right="20" w:firstLine="745"/>
        <w:spacing w:after="0" w:line="262" w:lineRule="auto"/>
        <w:tabs>
          <w:tab w:leader="none" w:pos="197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Lien Searches. </w:t>
      </w:r>
      <w:r>
        <w:rPr>
          <w:rFonts w:ascii="Times New Roman" w:cs="Times New Roman" w:eastAsia="Times New Roman" w:hAnsi="Times New Roman"/>
          <w:sz w:val="22"/>
          <w:szCs w:val="22"/>
          <w:color w:val="auto"/>
        </w:rPr>
        <w:t>The Administrative Agent shall be satisfied with Lien searches regarding the Obligors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prior to the Closing Date.</w:t>
      </w:r>
    </w:p>
    <w:p>
      <w:pPr>
        <w:spacing w:after="0" w:line="190" w:lineRule="exact"/>
        <w:rPr>
          <w:rFonts w:ascii="Times New Roman" w:cs="Times New Roman" w:eastAsia="Times New Roman" w:hAnsi="Times New Roman"/>
          <w:sz w:val="22"/>
          <w:szCs w:val="22"/>
          <w:color w:val="auto"/>
        </w:rPr>
      </w:pPr>
    </w:p>
    <w:p>
      <w:pPr>
        <w:ind w:left="760" w:firstLine="745"/>
        <w:spacing w:after="0" w:line="262" w:lineRule="auto"/>
        <w:tabs>
          <w:tab w:leader="none" w:pos="19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Documentary Deliveries. </w:t>
      </w:r>
      <w:r>
        <w:rPr>
          <w:rFonts w:ascii="Times New Roman" w:cs="Times New Roman" w:eastAsia="Times New Roman" w:hAnsi="Times New Roman"/>
          <w:sz w:val="22"/>
          <w:szCs w:val="22"/>
          <w:color w:val="auto"/>
        </w:rPr>
        <w:t>The Administrative Agent shall have received the following documents,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shall be in form and substance satisfactory to the Administrative Agent:</w:t>
      </w:r>
    </w:p>
    <w:p>
      <w:pPr>
        <w:spacing w:after="0" w:line="217" w:lineRule="exact"/>
        <w:rPr>
          <w:rFonts w:ascii="Times New Roman" w:cs="Times New Roman" w:eastAsia="Times New Roman" w:hAnsi="Times New Roman"/>
          <w:sz w:val="22"/>
          <w:szCs w:val="22"/>
          <w:color w:val="auto"/>
        </w:rPr>
      </w:pPr>
    </w:p>
    <w:p>
      <w:pPr>
        <w:ind w:left="1500" w:firstLine="754"/>
        <w:spacing w:after="0" w:line="262" w:lineRule="auto"/>
        <w:tabs>
          <w:tab w:leader="none" w:pos="268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This Agreement duly executed and delivered by the Obligors and each of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parties hereto.</w:t>
      </w:r>
    </w:p>
    <w:p>
      <w:pPr>
        <w:spacing w:after="0" w:line="230" w:lineRule="exact"/>
        <w:rPr>
          <w:rFonts w:ascii="Times New Roman" w:cs="Times New Roman" w:eastAsia="Times New Roman" w:hAnsi="Times New Roman"/>
          <w:sz w:val="22"/>
          <w:szCs w:val="22"/>
          <w:color w:val="auto"/>
        </w:rPr>
      </w:pPr>
    </w:p>
    <w:p>
      <w:pPr>
        <w:ind w:left="2660" w:hanging="406"/>
        <w:spacing w:after="0"/>
        <w:tabs>
          <w:tab w:leader="none" w:pos="266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Documents.</w:t>
      </w:r>
    </w:p>
    <w:p>
      <w:pPr>
        <w:spacing w:after="0" w:line="277" w:lineRule="exact"/>
        <w:rPr>
          <w:rFonts w:ascii="Times New Roman" w:cs="Times New Roman" w:eastAsia="Times New Roman" w:hAnsi="Times New Roman"/>
          <w:sz w:val="22"/>
          <w:szCs w:val="22"/>
          <w:color w:val="auto"/>
        </w:rPr>
      </w:pPr>
    </w:p>
    <w:p>
      <w:pPr>
        <w:jc w:val="both"/>
        <w:ind w:left="2260" w:firstLine="743"/>
        <w:spacing w:after="0" w:line="257" w:lineRule="exact"/>
        <w:tabs>
          <w:tab w:leader="none" w:pos="3409"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including, without limitation, the Security Agreement, each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Form IP Security Agreement, account control agreements and financing statements, each in form and substance satisfactory to the Administrative Agent and duly executed and delivered by each of the Obligors and the other parties thereto.</w:t>
      </w:r>
    </w:p>
    <w:p>
      <w:pPr>
        <w:spacing w:after="0" w:line="244" w:lineRule="exact"/>
        <w:rPr>
          <w:rFonts w:ascii="Times New Roman" w:cs="Times New Roman" w:eastAsia="Times New Roman" w:hAnsi="Times New Roman"/>
          <w:sz w:val="22"/>
          <w:szCs w:val="22"/>
          <w:color w:val="auto"/>
        </w:rPr>
      </w:pPr>
    </w:p>
    <w:p>
      <w:pPr>
        <w:jc w:val="both"/>
        <w:ind w:left="2260" w:firstLine="743"/>
        <w:spacing w:after="0" w:line="244" w:lineRule="auto"/>
        <w:tabs>
          <w:tab w:leader="none" w:pos="3369"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Questionnaire, duly executed and delivered by a Responsible Officer of the Borrower, substantially in the form of Exhibit I hereto and otherwise in form and substance satisfactory to the Administrative Agent.</w:t>
      </w:r>
    </w:p>
    <w:p>
      <w:pPr>
        <w:spacing w:after="0" w:line="254" w:lineRule="exact"/>
        <w:rPr>
          <w:rFonts w:ascii="Times New Roman" w:cs="Times New Roman" w:eastAsia="Times New Roman" w:hAnsi="Times New Roman"/>
          <w:sz w:val="22"/>
          <w:szCs w:val="22"/>
          <w:color w:val="auto"/>
        </w:rPr>
      </w:pPr>
    </w:p>
    <w:p>
      <w:pPr>
        <w:jc w:val="both"/>
        <w:ind w:left="2260" w:firstLine="743"/>
        <w:spacing w:after="0" w:line="244" w:lineRule="auto"/>
        <w:tabs>
          <w:tab w:leader="none" w:pos="3369"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all other documents and instruments reasonably required to perfect the Administrative Agent’s Lien on, and security interest in, the Collateral required to be delivered on or prior to the Closing Date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98" w:name="page99"/>
    <w:bookmarkEnd w:id="98"/>
    <w:p>
      <w:pPr>
        <w:jc w:val="both"/>
        <w:ind w:left="1140"/>
        <w:spacing w:after="0" w:line="244" w:lineRule="auto"/>
        <w:rPr>
          <w:sz w:val="20"/>
          <w:szCs w:val="20"/>
          <w:color w:val="auto"/>
        </w:rPr>
      </w:pPr>
      <w:r>
        <w:rPr>
          <w:rFonts w:ascii="Times New Roman" w:cs="Times New Roman" w:eastAsia="Times New Roman" w:hAnsi="Times New Roman"/>
          <w:sz w:val="22"/>
          <w:szCs w:val="22"/>
          <w:color w:val="auto"/>
        </w:rPr>
        <w:t>shall have been duly executed and delivered and be in proper form for filing, and shall create in favor of the Administrative Agent, a perfected Lien on, and security interest in, the Collateral, subject to no Liens other than Permitted Liens.</w:t>
      </w:r>
    </w:p>
    <w:p>
      <w:pPr>
        <w:spacing w:after="0" w:line="250" w:lineRule="exact"/>
        <w:rPr>
          <w:sz w:val="20"/>
          <w:szCs w:val="20"/>
          <w:color w:val="auto"/>
        </w:rPr>
      </w:pPr>
    </w:p>
    <w:p>
      <w:pPr>
        <w:ind w:left="1500" w:hanging="366"/>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Notes. </w:t>
      </w:r>
      <w:r>
        <w:rPr>
          <w:rFonts w:ascii="Times New Roman" w:cs="Times New Roman" w:eastAsia="Times New Roman" w:hAnsi="Times New Roman"/>
          <w:sz w:val="22"/>
          <w:szCs w:val="22"/>
          <w:color w:val="auto"/>
        </w:rPr>
        <w:t>Any Notes requested in accordance with Section 2.04.</w:t>
      </w:r>
    </w:p>
    <w:p>
      <w:pPr>
        <w:spacing w:after="0" w:line="273" w:lineRule="exact"/>
        <w:rPr>
          <w:rFonts w:ascii="Times New Roman" w:cs="Times New Roman" w:eastAsia="Times New Roman" w:hAnsi="Times New Roman"/>
          <w:sz w:val="22"/>
          <w:szCs w:val="22"/>
          <w:color w:val="auto"/>
        </w:rPr>
      </w:pPr>
    </w:p>
    <w:p>
      <w:pPr>
        <w:ind w:left="380" w:firstLine="754"/>
        <w:spacing w:after="0" w:line="262" w:lineRule="auto"/>
        <w:tabs>
          <w:tab w:leader="none" w:pos="15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The Fee Letter duly executed and delivered by the Obligors, the Lenders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w:t>
      </w:r>
    </w:p>
    <w:p>
      <w:pPr>
        <w:spacing w:after="0" w:line="217" w:lineRule="exact"/>
        <w:rPr>
          <w:rFonts w:ascii="Times New Roman" w:cs="Times New Roman" w:eastAsia="Times New Roman" w:hAnsi="Times New Roman"/>
          <w:sz w:val="22"/>
          <w:szCs w:val="22"/>
          <w:color w:val="auto"/>
        </w:rPr>
      </w:pPr>
    </w:p>
    <w:p>
      <w:pPr>
        <w:jc w:val="both"/>
        <w:ind w:left="380" w:firstLine="754"/>
        <w:spacing w:after="0" w:line="252" w:lineRule="exact"/>
        <w:tabs>
          <w:tab w:leader="none" w:pos="150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Approvals. </w:t>
      </w:r>
      <w:r>
        <w:rPr>
          <w:rFonts w:ascii="Times New Roman" w:cs="Times New Roman" w:eastAsia="Times New Roman" w:hAnsi="Times New Roman"/>
          <w:sz w:val="22"/>
          <w:szCs w:val="22"/>
          <w:color w:val="auto"/>
        </w:rPr>
        <w:t>The Borrower shall certify to the Administrative Agent that all Regulatory Approvals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been made or obtained, and all material licenses, consents, authorizations and approvals of, and notices to and filings and registrations with, any Governmental Authority (including all foreign exchange approvals) in connection with the Transactions have been made or obtained, and all material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consents and approvals, necessary in connection with the execution, delivery and performance by the Obligors of the Loan Documents and the Transactions have been obtained.</w:t>
      </w:r>
    </w:p>
    <w:p>
      <w:pPr>
        <w:spacing w:after="0" w:line="256"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54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(A) Certified copies of the Organizational Documents (as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restated to the satisfaction of the Administrative Agent, if required by the Administrative Agent in connection with the Liens created pursuant to the Security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each dated a recent date prior to the Closing Date; and (C) such other documents as the Administrative Agent may reasonably request.</w:t>
      </w:r>
    </w:p>
    <w:p>
      <w:pPr>
        <w:spacing w:after="0" w:line="246"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87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Incumbency Certificate. </w:t>
      </w:r>
      <w:r>
        <w:rPr>
          <w:rFonts w:ascii="Times New Roman" w:cs="Times New Roman" w:eastAsia="Times New Roman" w:hAnsi="Times New Roman"/>
          <w:sz w:val="22"/>
          <w:szCs w:val="22"/>
          <w:color w:val="auto"/>
        </w:rPr>
        <w:t>A certificate of each Obligor as to the authority, incumbency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specimen signatures of the persons who have executed the Loan Documents and any other documents in connection herewith on behalf of the Obligors.</w:t>
      </w:r>
    </w:p>
    <w:p>
      <w:pPr>
        <w:spacing w:after="0" w:line="207"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86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in form and substance satisfactory to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dated as of the Closing Date and signed by a Responsible Officer of each Obligor, confirming compliance with the conditions set forth in this Section 6.01.</w:t>
      </w:r>
    </w:p>
    <w:p>
      <w:pPr>
        <w:spacing w:after="0" w:line="194" w:lineRule="exact"/>
        <w:rPr>
          <w:rFonts w:ascii="Times New Roman" w:cs="Times New Roman" w:eastAsia="Times New Roman" w:hAnsi="Times New Roman"/>
          <w:sz w:val="22"/>
          <w:szCs w:val="22"/>
          <w:color w:val="auto"/>
        </w:rPr>
      </w:pPr>
    </w:p>
    <w:p>
      <w:pPr>
        <w:ind w:left="380" w:firstLine="754"/>
        <w:spacing w:after="0" w:line="262" w:lineRule="auto"/>
        <w:tabs>
          <w:tab w:leader="none" w:pos="159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of Counsel. </w:t>
      </w:r>
      <w:r>
        <w:rPr>
          <w:rFonts w:ascii="Times New Roman" w:cs="Times New Roman" w:eastAsia="Times New Roman" w:hAnsi="Times New Roman"/>
          <w:sz w:val="22"/>
          <w:szCs w:val="22"/>
          <w:color w:val="auto"/>
        </w:rPr>
        <w:t>A customary opinion, dated as of the Closing Date, of K&amp;L Gates LLP,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counsel to each Obligor in form reasonably acceptable to the Administrative Agent and its counsel.</w:t>
      </w:r>
    </w:p>
    <w:p>
      <w:pPr>
        <w:spacing w:after="0" w:line="190"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62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Insurance. </w:t>
      </w:r>
      <w:r>
        <w:rPr>
          <w:rFonts w:ascii="Times New Roman" w:cs="Times New Roman" w:eastAsia="Times New Roman" w:hAnsi="Times New Roman"/>
          <w:sz w:val="22"/>
          <w:szCs w:val="22"/>
          <w:color w:val="auto"/>
        </w:rPr>
        <w:t>Certificates from each Obligor’s insurance broker or other evidence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satisfactory to the Administrative Agent that all insurance required to be maintained pursuant to Section 8.05 is in full force and effect, together with</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0" w:right="339" w:bottom="1440" w:gutter="0" w:footer="0" w:header="0"/>
        </w:sectPr>
      </w:pPr>
    </w:p>
    <w:bookmarkStart w:id="99" w:name="page100"/>
    <w:bookmarkEnd w:id="99"/>
    <w:p>
      <w:pPr>
        <w:ind w:left="380"/>
        <w:spacing w:after="0" w:line="258" w:lineRule="auto"/>
        <w:rPr>
          <w:sz w:val="20"/>
          <w:szCs w:val="20"/>
          <w:color w:val="auto"/>
        </w:rPr>
      </w:pPr>
      <w:r>
        <w:rPr>
          <w:rFonts w:ascii="Times New Roman" w:cs="Times New Roman" w:eastAsia="Times New Roman" w:hAnsi="Times New Roman"/>
          <w:sz w:val="22"/>
          <w:szCs w:val="22"/>
          <w:color w:val="auto"/>
        </w:rPr>
        <w:t>endorsements naming the Administrative Agent as additional insured and lender’s loss payee, as applicable, under such Obligor’s liability and casualty insurance policies.</w:t>
      </w:r>
    </w:p>
    <w:p>
      <w:pPr>
        <w:spacing w:after="0" w:line="181" w:lineRule="exact"/>
        <w:rPr>
          <w:sz w:val="20"/>
          <w:szCs w:val="20"/>
          <w:color w:val="auto"/>
        </w:rPr>
      </w:pPr>
    </w:p>
    <w:p>
      <w:pPr>
        <w:jc w:val="both"/>
        <w:ind w:left="380" w:firstLine="754"/>
        <w:spacing w:after="0" w:line="246" w:lineRule="auto"/>
        <w:tabs>
          <w:tab w:leader="none" w:pos="165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 2.01(a)(ii) duly executed and delivered by a Responsible Officer of the Borrower, in form and substance satisfactory to the Administrative Agent.</w:t>
      </w:r>
    </w:p>
    <w:p>
      <w:pPr>
        <w:spacing w:after="0" w:line="207" w:lineRule="exact"/>
        <w:rPr>
          <w:rFonts w:ascii="Times New Roman" w:cs="Times New Roman" w:eastAsia="Times New Roman" w:hAnsi="Times New Roman"/>
          <w:sz w:val="22"/>
          <w:szCs w:val="22"/>
          <w:color w:val="auto"/>
        </w:rPr>
      </w:pPr>
    </w:p>
    <w:p>
      <w:pPr>
        <w:jc w:val="both"/>
        <w:ind w:left="-360" w:firstLine="745"/>
        <w:spacing w:after="0" w:line="241" w:lineRule="auto"/>
        <w:tabs>
          <w:tab w:leader="none" w:pos="78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Due Diligence. </w:t>
      </w:r>
      <w:r>
        <w:rPr>
          <w:rFonts w:ascii="Times New Roman" w:cs="Times New Roman" w:eastAsia="Times New Roman" w:hAnsi="Times New Roman"/>
          <w:sz w:val="22"/>
          <w:szCs w:val="22"/>
          <w:color w:val="auto"/>
        </w:rPr>
        <w:t>The Administrative Agent shall have received and be satisfied with all due diligence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Obligors (including without limitation historical financial statements, Projections, technical, operational, legal, Intellectual Property, commercial market forecasts, clinical and quality assessments, supply chain, securities, labor, Tax, litigation, environmental, reimbursement and regulatory authority matters) in its sole discretion.</w:t>
      </w:r>
    </w:p>
    <w:p>
      <w:pPr>
        <w:spacing w:after="0" w:line="212"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76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As of the Closing Date, after giving effect to the Transactions, no Obligor shall have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other than the Obligations and any Indebtedness specified on Schedule 9.01(b). All commitments and obligations in respect of the Existing Credit Documents shall be terminated, all guarantees (if any) thereof discharged and released and all security therefor (if any) released, together with all fees and other amounts owing thereon, or documentation in form and substance satisfactory to the Administrative Agent to effect such release upon such repayment and termination shall have been delivered to the Administrative Agent.</w:t>
      </w:r>
    </w:p>
    <w:p>
      <w:pPr>
        <w:spacing w:after="0" w:line="202" w:lineRule="exact"/>
        <w:rPr>
          <w:rFonts w:ascii="Times New Roman" w:cs="Times New Roman" w:eastAsia="Times New Roman" w:hAnsi="Times New Roman"/>
          <w:sz w:val="22"/>
          <w:szCs w:val="22"/>
          <w:color w:val="auto"/>
        </w:rPr>
      </w:pPr>
    </w:p>
    <w:p>
      <w:pPr>
        <w:jc w:val="both"/>
        <w:ind w:left="-360" w:firstLine="745"/>
        <w:spacing w:after="0" w:line="255" w:lineRule="exact"/>
        <w:tabs>
          <w:tab w:leader="none" w:pos="74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Closing Fees, Expenses, Etc. </w:t>
      </w:r>
      <w:r>
        <w:rPr>
          <w:rFonts w:ascii="Times New Roman" w:cs="Times New Roman" w:eastAsia="Times New Roman" w:hAnsi="Times New Roman"/>
          <w:sz w:val="22"/>
          <w:szCs w:val="22"/>
          <w:color w:val="auto"/>
        </w:rPr>
        <w:t>The Lenders and their Affiliates shall have received for their own account,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Fee and all fees, costs and expenses due (including applicable attorney costs and the reasonable and documented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fees and expenses of any other advisors to the Lenders) and payable pursuant to Section 13.03, after deducting therefrom the Expense Deposit (which Closing Fee and other fees, costs and expenses may be paid out of the proceeds of the Tranche A Term Loan advanced by the Lenders on the Closing Date).</w:t>
      </w:r>
    </w:p>
    <w:p>
      <w:pPr>
        <w:spacing w:after="0" w:line="214"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80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215" w:lineRule="exact"/>
        <w:rPr>
          <w:rFonts w:ascii="Times New Roman" w:cs="Times New Roman" w:eastAsia="Times New Roman" w:hAnsi="Times New Roman"/>
          <w:sz w:val="22"/>
          <w:szCs w:val="22"/>
          <w:color w:val="auto"/>
        </w:rPr>
      </w:pPr>
    </w:p>
    <w:p>
      <w:pPr>
        <w:ind w:left="740" w:hanging="355"/>
        <w:spacing w:after="0"/>
        <w:tabs>
          <w:tab w:leader="none" w:pos="74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Material Adverse Change</w:t>
      </w:r>
      <w:r>
        <w:rPr>
          <w:rFonts w:ascii="Times New Roman" w:cs="Times New Roman" w:eastAsia="Times New Roman" w:hAnsi="Times New Roman"/>
          <w:sz w:val="21"/>
          <w:szCs w:val="21"/>
          <w:color w:val="auto"/>
        </w:rPr>
        <w:t>. No Material Adverse Change shall have occurred since December 31, 2025.</w:t>
      </w:r>
    </w:p>
    <w:p>
      <w:pPr>
        <w:spacing w:after="0" w:line="244" w:lineRule="exact"/>
        <w:rPr>
          <w:rFonts w:ascii="Times New Roman" w:cs="Times New Roman" w:eastAsia="Times New Roman" w:hAnsi="Times New Roman"/>
          <w:sz w:val="21"/>
          <w:szCs w:val="21"/>
          <w:color w:val="auto"/>
        </w:rPr>
      </w:pPr>
    </w:p>
    <w:p>
      <w:pPr>
        <w:ind w:left="-360" w:firstLine="745"/>
        <w:spacing w:after="0" w:line="262" w:lineRule="auto"/>
        <w:tabs>
          <w:tab w:leader="none" w:pos="74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exist, or would result from such proposed Borrowing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application of the proceeds therefrom.</w:t>
      </w:r>
    </w:p>
    <w:p>
      <w:pPr>
        <w:spacing w:after="0" w:line="190" w:lineRule="exact"/>
        <w:rPr>
          <w:rFonts w:ascii="Times New Roman" w:cs="Times New Roman" w:eastAsia="Times New Roman" w:hAnsi="Times New Roman"/>
          <w:sz w:val="22"/>
          <w:szCs w:val="22"/>
          <w:color w:val="auto"/>
        </w:rPr>
      </w:pPr>
    </w:p>
    <w:p>
      <w:pPr>
        <w:jc w:val="both"/>
        <w:ind w:left="-360" w:firstLine="745"/>
        <w:spacing w:after="0" w:line="246" w:lineRule="auto"/>
        <w:tabs>
          <w:tab w:leader="none" w:pos="78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The Administrative Agent and each Lender shall have received such other opinions,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certificates and documents as the Administrative Agent or such Lender shall have reasonably requested with prior notice to the Borrower.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33" w:right="339" w:bottom="1440" w:gutter="0" w:footer="0" w:header="0"/>
        </w:sectPr>
      </w:pPr>
    </w:p>
    <w:bookmarkStart w:id="100" w:name="page101"/>
    <w:bookmarkEnd w:id="100"/>
    <w:p>
      <w:pPr>
        <w:jc w:val="both"/>
        <w:ind w:firstLine="3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6.02. Conditions to Tranche B Term Loan; Tranche B Term Loan Borrowing Date. </w:t>
      </w:r>
      <w:r>
        <w:rPr>
          <w:rFonts w:ascii="Times New Roman" w:cs="Times New Roman" w:eastAsia="Times New Roman" w:hAnsi="Times New Roman"/>
          <w:sz w:val="22"/>
          <w:szCs w:val="22"/>
          <w:color w:val="auto"/>
        </w:rPr>
        <w:t>The obligation of each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make the Tranche B Term Loan on the Tranche B Term Loan Borrowing Date shall not become effective until the following conditions precedent shall have been satisfied or waived in writing by the Administrative Agent (which satisfaction or waiver may be made simultaneously with the making of the Tranche B Term Loan hereunder):</w:t>
      </w:r>
    </w:p>
    <w:p>
      <w:pPr>
        <w:spacing w:after="0" w:line="199" w:lineRule="exact"/>
        <w:rPr>
          <w:sz w:val="20"/>
          <w:szCs w:val="20"/>
          <w:color w:val="auto"/>
        </w:rPr>
      </w:pPr>
    </w:p>
    <w:p>
      <w:pPr>
        <w:ind w:left="760" w:firstLine="745"/>
        <w:spacing w:after="0" w:line="262" w:lineRule="auto"/>
        <w:tabs>
          <w:tab w:leader="none" w:pos="19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Term Loan Commitment Termination Date</w:t>
      </w:r>
      <w:r>
        <w:rPr>
          <w:rFonts w:ascii="Times New Roman" w:cs="Times New Roman" w:eastAsia="Times New Roman" w:hAnsi="Times New Roman"/>
          <w:sz w:val="22"/>
          <w:szCs w:val="22"/>
          <w:color w:val="auto"/>
        </w:rPr>
        <w:t>. The Tranche B Term Loan Commitment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Date shall not have occurred.</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88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2.01(b)(ii) requesting the Borrowing of the Tranche B Term Loan duly executed by a Responsible Officer of the Borrower and the Borrower’s updated Schedules to this Agreement (if any), in form and substance satisfactory to the Administrative Agent.</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86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Tranche B Term Loan Borrowing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202" w:lineRule="exact"/>
        <w:rPr>
          <w:rFonts w:ascii="Times New Roman" w:cs="Times New Roman" w:eastAsia="Times New Roman" w:hAnsi="Times New Roman"/>
          <w:sz w:val="22"/>
          <w:szCs w:val="22"/>
          <w:color w:val="auto"/>
        </w:rPr>
      </w:pPr>
    </w:p>
    <w:p>
      <w:pPr>
        <w:ind w:left="760" w:firstLine="745"/>
        <w:spacing w:after="0" w:line="262" w:lineRule="auto"/>
        <w:tabs>
          <w:tab w:leader="none" w:pos="186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exist, or would result from such proposed Borrowing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application of the proceeds therefrom.</w:t>
      </w:r>
    </w:p>
    <w:p>
      <w:pPr>
        <w:spacing w:after="0" w:line="190" w:lineRule="exact"/>
        <w:rPr>
          <w:rFonts w:ascii="Times New Roman" w:cs="Times New Roman" w:eastAsia="Times New Roman" w:hAnsi="Times New Roman"/>
          <w:sz w:val="22"/>
          <w:szCs w:val="22"/>
          <w:color w:val="auto"/>
        </w:rPr>
      </w:pPr>
    </w:p>
    <w:p>
      <w:pPr>
        <w:ind w:left="760" w:firstLine="745"/>
        <w:spacing w:after="0" w:line="262" w:lineRule="auto"/>
        <w:tabs>
          <w:tab w:leader="none" w:pos="186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dated as of the Tranche B Term Loan Borrowing Date and signed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Responsible Officer of the Borrower, confirming compliance with the conditions set forth in this Section 6.02.</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86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Milestone. </w:t>
      </w:r>
      <w:r>
        <w:rPr>
          <w:rFonts w:ascii="Times New Roman" w:cs="Times New Roman" w:eastAsia="Times New Roman" w:hAnsi="Times New Roman"/>
          <w:sz w:val="22"/>
          <w:szCs w:val="22"/>
          <w:color w:val="auto"/>
        </w:rPr>
        <w:t>The Administrative Agent shall have received evidence satisfactory to the Administrative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Borrower has achieved Net Revenue of at least $85,000,000 for any twelve (12) consecutive month period prior to the Tranche B Term Loan Borrowing Date.</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88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Etc. </w:t>
      </w:r>
      <w:r>
        <w:rPr>
          <w:rFonts w:ascii="Times New Roman" w:cs="Times New Roman" w:eastAsia="Times New Roman" w:hAnsi="Times New Roman"/>
          <w:sz w:val="22"/>
          <w:szCs w:val="22"/>
          <w:color w:val="auto"/>
        </w:rPr>
        <w:t>The Lenders and their Affiliates shall have received for their own account, all fees, costs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expenses due (including applicable attorney costs and the reasonable and documented out-of-pocket fees and expenses of any other advisors to the Lenders) and payable pursuant to Section 13.03.</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0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Miscellaneous. </w:t>
      </w:r>
      <w:r>
        <w:rPr>
          <w:rFonts w:ascii="Times New Roman" w:cs="Times New Roman" w:eastAsia="Times New Roman" w:hAnsi="Times New Roman"/>
          <w:sz w:val="22"/>
          <w:szCs w:val="22"/>
          <w:color w:val="auto"/>
        </w:rPr>
        <w:t>The Administrative Agent and each Lender shall have received such other opinions,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certificates and documents as the Administrative Agent or such Lender shall have reasonably requested with prior notice to the Borrower.</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borrowing of the Term Loans shall constitute a certification by the Borrower to the effect that the conditions set forth in Sections 6.01 and 6.02, as applicable, have been fulfilled as of the Closing Date or the Tranche B Term Loan Borrowing Date, as applicable.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101" w:name="page102"/>
    <w:bookmarkEnd w:id="101"/>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p>
    <w:p>
      <w:pPr>
        <w:spacing w:after="0" w:line="25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order to induce the Lenders to enter into this Agreement and to extend the Term Loans hereunder, each Obligor represents and warrants to the Lenders and the Administrative Agent, on the Closing Date and on the Tranche B Term Loan Borrowing Date, as applicable, that the following statements are true and correct:</w:t>
      </w:r>
    </w:p>
    <w:p>
      <w:pPr>
        <w:spacing w:after="0" w:line="196"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Section 7.01. Power and Authority. </w:t>
      </w:r>
      <w:r>
        <w:rPr>
          <w:rFonts w:ascii="Times New Roman" w:cs="Times New Roman" w:eastAsia="Times New Roman" w:hAnsi="Times New Roman"/>
          <w:sz w:val="21"/>
          <w:szCs w:val="21"/>
          <w:color w:val="auto"/>
        </w:rPr>
        <w:t>Each Obligor and each of its Subsidiaries (a) is duly organized, validly existing and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good standing under the Laws of its jurisdiction of organization, (b) has all requisite corporate (or equivalent) power, and has all material Governmental Approvals necessary to own its assets and carry on its business as now being or as proposed to be conducted except to the extent that failure to have the same would not reasonably be expected to have a Material Adverse Effect,</w:t>
      </w:r>
    </w:p>
    <w:p>
      <w:pPr>
        <w:spacing w:after="0" w:line="2" w:lineRule="exact"/>
        <w:rPr>
          <w:sz w:val="20"/>
          <w:szCs w:val="20"/>
          <w:color w:val="auto"/>
        </w:rPr>
      </w:pPr>
    </w:p>
    <w:p>
      <w:pPr>
        <w:jc w:val="both"/>
        <w:ind w:firstLine="8"/>
        <w:spacing w:after="0" w:line="234" w:lineRule="auto"/>
        <w:tabs>
          <w:tab w:leader="none" w:pos="31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qualified to do business and is in good standing in all jurisdictions in which the nature of the business conducted by it makes such qualification necessary except where failure to so qualify would not (either individually or in the aggregate) reasonably be expected to have a Material Adverse Effect, and (d) has full power, authority and legal right to make and perform each of the Loan Documents and, in the case of the Borrower, to borrow the Term Loans hereunder.</w:t>
      </w:r>
    </w:p>
    <w:p>
      <w:pPr>
        <w:spacing w:after="0" w:line="214"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7.02. Authorization; Enforceability. </w:t>
      </w:r>
      <w:r>
        <w:rPr>
          <w:rFonts w:ascii="Times New Roman" w:cs="Times New Roman" w:eastAsia="Times New Roman" w:hAnsi="Times New Roman"/>
          <w:sz w:val="22"/>
          <w:szCs w:val="22"/>
          <w:color w:val="auto"/>
        </w:rPr>
        <w:t>The Transactions are within each Obligor’s corporate (or equivalent) powers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219" w:lineRule="exact"/>
        <w:rPr>
          <w:sz w:val="20"/>
          <w:szCs w:val="20"/>
          <w:color w:val="auto"/>
        </w:rPr>
      </w:pPr>
    </w:p>
    <w:p>
      <w:pPr>
        <w:jc w:val="both"/>
        <w:ind w:firstLine="387"/>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7.03. Governmental and Other Approvals; No Conflicts. </w:t>
      </w:r>
      <w:r>
        <w:rPr>
          <w:rFonts w:ascii="Times New Roman" w:cs="Times New Roman" w:eastAsia="Times New Roman" w:hAnsi="Times New Roman"/>
          <w:sz w:val="22"/>
          <w:szCs w:val="22"/>
          <w:color w:val="auto"/>
        </w:rPr>
        <w:t>The Transactions (a) do not require any consent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approval of, registration or filing with, or any other action by, any Governmental Authority or any other Person, except for (i) such as have been obtained or made and are in full force and effect and (ii) filings and recordings in respect of perfecting or recording the Liens created pursuant to the Security Documents, (b) will not violate any applicable Requirement of Law or any applicable order of any Governmental Authority, in each case, other than any such violations that, individually or in the aggregate, would not reasonably be expected to have a Material Adverse Effect, (c) will not violate any applicable Organizational Documents of any Obligor, (d) will not violate or result in a default under any Material Agreement, or give rise to a right thereunder to require any payment to be made by any such Person, and (e) will not result in the creation or imposition of any Lien (other than Permitted Liens) on any asset of any Obligor or any of its Subsidiaries.</w:t>
      </w:r>
    </w:p>
    <w:p>
      <w:pPr>
        <w:spacing w:after="0" w:line="201"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7.04.</w:t>
      </w:r>
      <w:r>
        <w:rPr>
          <w:sz w:val="20"/>
          <w:szCs w:val="20"/>
          <w:color w:val="auto"/>
        </w:rPr>
        <w:tab/>
      </w:r>
      <w:r>
        <w:rPr>
          <w:rFonts w:ascii="Times New Roman" w:cs="Times New Roman" w:eastAsia="Times New Roman" w:hAnsi="Times New Roman"/>
          <w:sz w:val="21"/>
          <w:szCs w:val="21"/>
          <w:i w:val="1"/>
          <w:iCs w:val="1"/>
          <w:color w:val="auto"/>
        </w:rPr>
        <w:t>Financial Statements; Projections; Material Adverse Change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41" w:lineRule="auto"/>
        <w:tabs>
          <w:tab w:leader="none" w:pos="186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Financial Statements. </w:t>
      </w:r>
      <w:r>
        <w:rPr>
          <w:rFonts w:ascii="Times New Roman" w:cs="Times New Roman" w:eastAsia="Times New Roman" w:hAnsi="Times New Roman"/>
          <w:sz w:val="22"/>
          <w:szCs w:val="22"/>
          <w:color w:val="auto"/>
        </w:rPr>
        <w:t>The Obligors have heretofore furnished to the Administrative Agent certain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as provided for in Section 8.01. Such financial statements present fairly, in all material respects, the financial position and results of operations and cash flows of the Obligors as of such dates and for such periods substantially in accordance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02" w:name="page103"/>
    <w:bookmarkEnd w:id="102"/>
    <w:p>
      <w:pPr>
        <w:jc w:val="both"/>
        <w:ind w:left="400"/>
        <w:spacing w:after="0" w:line="277" w:lineRule="exact"/>
        <w:rPr>
          <w:sz w:val="20"/>
          <w:szCs w:val="20"/>
          <w:color w:val="auto"/>
        </w:rPr>
      </w:pPr>
      <w:r>
        <w:rPr>
          <w:rFonts w:ascii="Times New Roman" w:cs="Times New Roman" w:eastAsia="Times New Roman" w:hAnsi="Times New Roman"/>
          <w:sz w:val="22"/>
          <w:szCs w:val="22"/>
          <w:color w:val="auto"/>
        </w:rPr>
        <w:t>with GAAP, subject to quarterly or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adjustments and the absence of footnotes. No Obligor has any material contingent liabilities or liabilities for taxes,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lease or unusual forward or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commitments not disclosed in the aforementioned financial statements.</w:t>
      </w:r>
    </w:p>
    <w:p>
      <w:pPr>
        <w:spacing w:after="0" w:line="201" w:lineRule="exact"/>
        <w:rPr>
          <w:sz w:val="20"/>
          <w:szCs w:val="20"/>
          <w:color w:val="auto"/>
        </w:rPr>
      </w:pPr>
    </w:p>
    <w:p>
      <w:pPr>
        <w:jc w:val="both"/>
        <w:ind w:left="400" w:firstLine="745"/>
        <w:spacing w:after="0" w:line="238" w:lineRule="auto"/>
        <w:tabs>
          <w:tab w:leader="none" w:pos="159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On and as of the Closing Date, the projections of the Obligors (collectively, the</w:t>
      </w:r>
      <w:r>
        <w:rPr>
          <w:rFonts w:ascii="Times New Roman" w:cs="Times New Roman" w:eastAsia="Times New Roman" w:hAnsi="Times New Roman"/>
          <w:sz w:val="22"/>
          <w:szCs w:val="22"/>
          <w:i w:val="1"/>
          <w:iCs w:val="1"/>
          <w:color w:val="auto"/>
        </w:rPr>
        <w:t xml:space="preserve"> “Projections”</w:t>
      </w:r>
      <w:r>
        <w:rPr>
          <w:rFonts w:ascii="Times New Roman" w:cs="Times New Roman" w:eastAsia="Times New Roman" w:hAnsi="Times New Roman"/>
          <w:sz w:val="22"/>
          <w:szCs w:val="22"/>
          <w:color w:val="auto"/>
        </w:rPr>
        <w:t>) are based on good faith estimates and assumptions made by the management of the Obligors;</w:t>
      </w:r>
      <w:r>
        <w:rPr>
          <w:rFonts w:ascii="Times New Roman" w:cs="Times New Roman" w:eastAsia="Times New Roman" w:hAnsi="Times New Roman"/>
          <w:sz w:val="22"/>
          <w:szCs w:val="22"/>
          <w:i w:val="1"/>
          <w:iCs w:val="1"/>
          <w:color w:val="auto"/>
        </w:rPr>
        <w:t xml:space="preserve"> provided,</w:t>
      </w:r>
      <w:r>
        <w:rPr>
          <w:rFonts w:ascii="Times New Roman" w:cs="Times New Roman" w:eastAsia="Times New Roman" w:hAnsi="Times New Roman"/>
          <w:sz w:val="22"/>
          <w:szCs w:val="22"/>
          <w:color w:val="auto"/>
        </w:rPr>
        <w:t>the Projections are not to be viewed as facts and that actual results during the period or periods covered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Projections may differ from such Projections and that the differences may be material;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as of the Closing Date, the management of the Obligors believe that the Projections are reasonable and attainable.</w:t>
      </w:r>
    </w:p>
    <w:p>
      <w:pPr>
        <w:spacing w:after="0" w:line="217" w:lineRule="exact"/>
        <w:rPr>
          <w:rFonts w:ascii="Times New Roman" w:cs="Times New Roman" w:eastAsia="Times New Roman" w:hAnsi="Times New Roman"/>
          <w:sz w:val="22"/>
          <w:szCs w:val="22"/>
          <w:color w:val="auto"/>
        </w:rPr>
      </w:pPr>
    </w:p>
    <w:p>
      <w:pPr>
        <w:ind w:left="400" w:firstLine="745"/>
        <w:spacing w:after="0" w:line="262" w:lineRule="auto"/>
        <w:tabs>
          <w:tab w:leader="none" w:pos="152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Since December 31, 2025, no event, circumstance or change has occurred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has caused or evidences, either individually or in the aggregate, a Material Adverse Change.</w:t>
      </w:r>
    </w:p>
    <w:p>
      <w:pPr>
        <w:spacing w:after="0" w:line="19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7.05.</w:t>
      </w:r>
      <w:r>
        <w:rPr>
          <w:sz w:val="20"/>
          <w:szCs w:val="20"/>
          <w:color w:val="auto"/>
        </w:rPr>
        <w:tab/>
      </w:r>
      <w:r>
        <w:rPr>
          <w:rFonts w:ascii="Times New Roman" w:cs="Times New Roman" w:eastAsia="Times New Roman" w:hAnsi="Times New Roman"/>
          <w:sz w:val="21"/>
          <w:szCs w:val="21"/>
          <w:i w:val="1"/>
          <w:iCs w:val="1"/>
          <w:color w:val="auto"/>
        </w:rPr>
        <w:t>Properties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400" w:firstLine="745"/>
        <w:spacing w:after="0" w:line="241" w:lineRule="auto"/>
        <w:tabs>
          <w:tab w:leader="none" w:pos="150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Property Generally. </w:t>
      </w:r>
      <w:r>
        <w:rPr>
          <w:rFonts w:ascii="Times New Roman" w:cs="Times New Roman" w:eastAsia="Times New Roman" w:hAnsi="Times New Roman"/>
          <w:sz w:val="22"/>
          <w:szCs w:val="22"/>
          <w:color w:val="auto"/>
        </w:rPr>
        <w:t>Each Obligor and each of its Subsidiaries has good and marketable fee simple title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valid leasehold or license interests in, all its real and personal Property material to its business, including all Product Assets, subject only to Permitted Liens and except as would not reasonably be expected to interfere with its ability to conduct its business as currently conducted or to utilize such properties for their intended purposes.</w:t>
      </w:r>
    </w:p>
    <w:p>
      <w:pPr>
        <w:spacing w:after="0" w:line="212" w:lineRule="exact"/>
        <w:rPr>
          <w:rFonts w:ascii="Times New Roman" w:cs="Times New Roman" w:eastAsia="Times New Roman" w:hAnsi="Times New Roman"/>
          <w:sz w:val="22"/>
          <w:szCs w:val="22"/>
          <w:color w:val="auto"/>
        </w:rPr>
      </w:pPr>
    </w:p>
    <w:p>
      <w:pPr>
        <w:ind w:left="1500" w:hanging="355"/>
        <w:spacing w:after="0"/>
        <w:tabs>
          <w:tab w:leader="none" w:pos="15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p>
    <w:p>
      <w:pPr>
        <w:spacing w:after="0" w:line="250" w:lineRule="exact"/>
        <w:rPr>
          <w:rFonts w:ascii="Times New Roman" w:cs="Times New Roman" w:eastAsia="Times New Roman" w:hAnsi="Times New Roman"/>
          <w:sz w:val="22"/>
          <w:szCs w:val="22"/>
          <w:color w:val="auto"/>
        </w:rPr>
      </w:pPr>
    </w:p>
    <w:p>
      <w:pPr>
        <w:jc w:val="both"/>
        <w:ind w:left="1140" w:firstLine="754"/>
        <w:spacing w:after="0" w:line="238" w:lineRule="auto"/>
        <w:tabs>
          <w:tab w:leader="none" w:pos="226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7.05(b) lists, with respect to each Obligor, all United States and foreign registrations of and applications for Patents, Trademarks, Copyrights, and Industrial Designs that are Obligor Intellectual Property, including the applicable jurisdiction, registration or application number and date, as applicable thereto, and a designation as to whether it is licensed or owned by an Obligor and whether such Obligor Intellectual Property is Material Intellectual Property.</w:t>
      </w:r>
    </w:p>
    <w:p>
      <w:pPr>
        <w:spacing w:after="0" w:line="203" w:lineRule="exact"/>
        <w:rPr>
          <w:rFonts w:ascii="Times New Roman" w:cs="Times New Roman" w:eastAsia="Times New Roman" w:hAnsi="Times New Roman"/>
          <w:sz w:val="22"/>
          <w:szCs w:val="22"/>
          <w:color w:val="auto"/>
        </w:rPr>
      </w:pPr>
    </w:p>
    <w:p>
      <w:pPr>
        <w:jc w:val="both"/>
        <w:ind w:left="1140" w:firstLine="754"/>
        <w:spacing w:after="0" w:line="239" w:lineRule="auto"/>
        <w:tabs>
          <w:tab w:leader="none" w:pos="231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 owns or possesses all legal and beneficial rights, title and interest in and to the Material Intellectual Property and (B) has the right to use the Material Intellectual Property licensed to such Obligor, in each case with good and marketable title, free and clear of any Liens or Claims of any kind, other than Permitted Liens.</w:t>
      </w:r>
    </w:p>
    <w:p>
      <w:pPr>
        <w:spacing w:after="0" w:line="220" w:lineRule="exact"/>
        <w:rPr>
          <w:rFonts w:ascii="Times New Roman" w:cs="Times New Roman" w:eastAsia="Times New Roman" w:hAnsi="Times New Roman"/>
          <w:sz w:val="22"/>
          <w:szCs w:val="22"/>
          <w:color w:val="auto"/>
        </w:rPr>
      </w:pPr>
    </w:p>
    <w:p>
      <w:pPr>
        <w:ind w:left="1140" w:firstLine="754"/>
        <w:spacing w:after="0" w:line="258" w:lineRule="auto"/>
        <w:tabs>
          <w:tab w:leader="none" w:pos="2339"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the Material Intellectual Property does not violate any license or infringe any valid and enforceable Intellectual Property right of another Person.</w:t>
      </w:r>
    </w:p>
    <w:p>
      <w:pPr>
        <w:spacing w:after="0" w:line="198" w:lineRule="exact"/>
        <w:rPr>
          <w:rFonts w:ascii="Times New Roman" w:cs="Times New Roman" w:eastAsia="Times New Roman" w:hAnsi="Times New Roman"/>
          <w:sz w:val="22"/>
          <w:szCs w:val="22"/>
          <w:color w:val="auto"/>
        </w:rPr>
      </w:pPr>
    </w:p>
    <w:p>
      <w:pPr>
        <w:jc w:val="both"/>
        <w:ind w:left="1140" w:firstLine="754"/>
        <w:spacing w:after="0" w:line="244" w:lineRule="auto"/>
        <w:tabs>
          <w:tab w:leader="none" w:pos="238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the Material Agreements, or as permitted by this Agreement, the Obligors have not assigned or otherwise transferred ownership of, or agreed to assign or otherwise transfer ownership of, any Obligor Intellectual Property, in whole or in part, to any Person who is not an Obligor.</w:t>
      </w:r>
    </w:p>
    <w:p>
      <w:pPr>
        <w:spacing w:after="0" w:line="200" w:lineRule="exact"/>
        <w:rPr>
          <w:rFonts w:ascii="Times New Roman" w:cs="Times New Roman" w:eastAsia="Times New Roman" w:hAnsi="Times New Roman"/>
          <w:sz w:val="22"/>
          <w:szCs w:val="22"/>
          <w:color w:val="auto"/>
        </w:rPr>
      </w:pPr>
    </w:p>
    <w:p>
      <w:pPr>
        <w:ind w:left="1140" w:firstLine="754"/>
        <w:spacing w:after="0" w:line="258" w:lineRule="auto"/>
        <w:tabs>
          <w:tab w:leader="none" w:pos="242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set forth on Schedule 7.05(b), the Obligors have not received any written communications, nor is there any pending or, to each Obligor’s</w:t>
      </w:r>
    </w:p>
    <w:p>
      <w:pPr>
        <w:spacing w:after="0" w:line="1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198" w:right="339" w:bottom="1440" w:gutter="0" w:footer="0" w:header="0"/>
        </w:sectPr>
      </w:pPr>
    </w:p>
    <w:bookmarkStart w:id="103" w:name="page104"/>
    <w:bookmarkEnd w:id="103"/>
    <w:p>
      <w:pPr>
        <w:ind w:left="380"/>
        <w:spacing w:after="0" w:line="258" w:lineRule="auto"/>
        <w:rPr>
          <w:sz w:val="20"/>
          <w:szCs w:val="20"/>
          <w:color w:val="auto"/>
        </w:rPr>
      </w:pPr>
      <w:r>
        <w:rPr>
          <w:rFonts w:ascii="Times New Roman" w:cs="Times New Roman" w:eastAsia="Times New Roman" w:hAnsi="Times New Roman"/>
          <w:sz w:val="22"/>
          <w:szCs w:val="22"/>
          <w:color w:val="auto"/>
        </w:rPr>
        <w:t>knowledge, threatened action in writing, suit, proceeding or Claim in writing by another, alleging that any of the Obligors has violated, infringed, diluted or misappropriated any Intellectual Property of another.</w:t>
      </w:r>
    </w:p>
    <w:p>
      <w:pPr>
        <w:spacing w:after="0" w:line="185" w:lineRule="exact"/>
        <w:rPr>
          <w:sz w:val="20"/>
          <w:szCs w:val="20"/>
          <w:color w:val="auto"/>
        </w:rPr>
      </w:pPr>
    </w:p>
    <w:p>
      <w:pPr>
        <w:jc w:val="both"/>
        <w:ind w:left="380" w:firstLine="754"/>
        <w:spacing w:after="0" w:line="253" w:lineRule="auto"/>
        <w:tabs>
          <w:tab w:leader="none" w:pos="155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pending or, to any Obligor’s knowledge, threatened action in writing, suit, proceeding or Claim in writing by another: (A) challenging an Obligor’s rights in or to any Obligor Intellectual Property; or</w:t>
      </w:r>
    </w:p>
    <w:p>
      <w:pPr>
        <w:jc w:val="both"/>
        <w:ind w:left="380" w:firstLine="5"/>
        <w:spacing w:after="0" w:line="235" w:lineRule="auto"/>
        <w:tabs>
          <w:tab w:leader="none" w:pos="7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challenging the validity, enforceability or scope of any Obligor Intellectual Property, except with respect to Material Intellectual Property, such action in writing, suit, proceeding or Claim in writing by another could not be reasonably expected to result in a Material Adverse Effect.</w:t>
      </w:r>
    </w:p>
    <w:p>
      <w:pPr>
        <w:spacing w:after="0" w:line="218"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92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taken commercially reasonable precautions to protect the secrecy, confidentiality and value of the Material Intellectual Property (including without limitation, by requiring that all relevant current and former employees, contractors, and consultants of the Obligors execute written confidentiality and Invention assignment Contracts).</w:t>
      </w:r>
    </w:p>
    <w:p>
      <w:pPr>
        <w:spacing w:after="0" w:line="220"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875"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complied with the terms of each Material Agreement pursuant to which Intellectual Property has been licensed to the Obligors (which material terms shall include, but not be limited to, pricing and duration of the agreement).</w:t>
      </w:r>
    </w:p>
    <w:p>
      <w:pPr>
        <w:spacing w:after="0" w:line="200" w:lineRule="exact"/>
        <w:rPr>
          <w:rFonts w:ascii="Times New Roman" w:cs="Times New Roman" w:eastAsia="Times New Roman" w:hAnsi="Times New Roman"/>
          <w:sz w:val="22"/>
          <w:szCs w:val="22"/>
          <w:color w:val="auto"/>
        </w:rPr>
      </w:pPr>
    </w:p>
    <w:p>
      <w:pPr>
        <w:jc w:val="both"/>
        <w:ind w:left="380" w:firstLine="754"/>
        <w:spacing w:after="0" w:line="236" w:lineRule="auto"/>
        <w:tabs>
          <w:tab w:leader="none" w:pos="148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maintenance fees, annuities, and the like due or payable on the Patents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have been validly executed, delivered and filed in a timely manner with the United States Patent and Trademark Office or the United States Copyright Office, as applicable.</w:t>
      </w:r>
    </w:p>
    <w:p>
      <w:pPr>
        <w:spacing w:after="0" w:line="221"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7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(A) there are no material defects in any of the Patents and (B) no such Patents have ever been finally adjudicated to be invalid, unpatentable or unenforceable for any reason in any administrative, arbitration, judicial or other proceeding.</w:t>
      </w:r>
    </w:p>
    <w:p>
      <w:pPr>
        <w:spacing w:after="0" w:line="213"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4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no Obligor has received any written notice asserting that the Patents are invalid, unpatentable or unenforceable and, to each Obligor’s knowledge, no Obligor has engaged in any conduct, or omitted to perform any necessary act, the result of which would invalidate or render unpatentable or unenforceable any such Patent.</w:t>
      </w:r>
    </w:p>
    <w:p>
      <w:pPr>
        <w:spacing w:after="0" w:line="207"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88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and consultant has signed a written agreement assigning to the applicable Obligor all Intellectual Property rights that are related to such Obligor’s business as now conducted and as conducted at the time of such execution, and such agreements include confidentiality provisions protecting both trade secrets and confidential information of the Obligors.</w:t>
      </w:r>
    </w:p>
    <w:p>
      <w:pPr>
        <w:spacing w:after="0" w:line="220" w:lineRule="exact"/>
        <w:rPr>
          <w:rFonts w:ascii="Times New Roman" w:cs="Times New Roman" w:eastAsia="Times New Roman" w:hAnsi="Times New Roman"/>
          <w:sz w:val="22"/>
          <w:szCs w:val="22"/>
          <w:color w:val="auto"/>
        </w:rPr>
      </w:pPr>
    </w:p>
    <w:p>
      <w:pPr>
        <w:ind w:left="380" w:firstLine="754"/>
        <w:spacing w:after="0" w:line="258" w:lineRule="auto"/>
        <w:tabs>
          <w:tab w:leader="none" w:pos="1935"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each Obligor, no third party is infringing upon or misappropriating, or violating any license or agreement with such Obligor relating to any Intellectual Property.</w:t>
      </w:r>
    </w:p>
    <w:p>
      <w:pPr>
        <w:spacing w:after="0" w:line="1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33" w:right="339" w:bottom="1440" w:gutter="0" w:footer="0" w:header="0"/>
        </w:sectPr>
      </w:pPr>
    </w:p>
    <w:bookmarkStart w:id="104" w:name="page105"/>
    <w:bookmarkEnd w:id="104"/>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7.06.</w:t>
      </w:r>
      <w:r>
        <w:rPr>
          <w:sz w:val="20"/>
          <w:szCs w:val="20"/>
          <w:color w:val="auto"/>
        </w:rPr>
        <w:tab/>
      </w:r>
      <w:r>
        <w:rPr>
          <w:rFonts w:ascii="Times New Roman" w:cs="Times New Roman" w:eastAsia="Times New Roman" w:hAnsi="Times New Roman"/>
          <w:sz w:val="21"/>
          <w:szCs w:val="21"/>
          <w:i w:val="1"/>
          <w:iCs w:val="1"/>
          <w:color w:val="auto"/>
        </w:rPr>
        <w:t>No Actions or Proceedings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400" w:firstLine="745"/>
        <w:spacing w:after="0" w:line="241" w:lineRule="auto"/>
        <w:tabs>
          <w:tab w:leader="none" w:pos="150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Litigation. </w:t>
      </w:r>
      <w:r>
        <w:rPr>
          <w:rFonts w:ascii="Times New Roman" w:cs="Times New Roman" w:eastAsia="Times New Roman" w:hAnsi="Times New Roman"/>
          <w:sz w:val="22"/>
          <w:szCs w:val="22"/>
          <w:color w:val="auto"/>
        </w:rPr>
        <w:t>There is no litigation, investigation or enforcement proceeding pending or threatened in writing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any Obligor or its Subsidiaries by or before any Governmental Authority or arbitrator (i) that either individually or in the aggregate would reasonably be expected to have a Material Adverse Effect or (ii) that involves this Agreement or the Transactions.</w:t>
      </w:r>
    </w:p>
    <w:p>
      <w:pPr>
        <w:spacing w:after="0" w:line="212" w:lineRule="exact"/>
        <w:rPr>
          <w:rFonts w:ascii="Times New Roman" w:cs="Times New Roman" w:eastAsia="Times New Roman" w:hAnsi="Times New Roman"/>
          <w:sz w:val="22"/>
          <w:szCs w:val="22"/>
          <w:color w:val="auto"/>
        </w:rPr>
      </w:pPr>
    </w:p>
    <w:p>
      <w:pPr>
        <w:jc w:val="both"/>
        <w:ind w:left="400" w:firstLine="745"/>
        <w:spacing w:after="0" w:line="238" w:lineRule="auto"/>
        <w:tabs>
          <w:tab w:leader="none" w:pos="150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Environmental Matters. </w:t>
      </w:r>
      <w:r>
        <w:rPr>
          <w:rFonts w:ascii="Times New Roman" w:cs="Times New Roman" w:eastAsia="Times New Roman" w:hAnsi="Times New Roman"/>
          <w:sz w:val="22"/>
          <w:szCs w:val="22"/>
          <w:color w:val="auto"/>
        </w:rPr>
        <w:t>The operations and the real Property of the Obligors and their Subsidiaries comply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spacing w:after="0" w:line="217" w:lineRule="exact"/>
        <w:rPr>
          <w:rFonts w:ascii="Times New Roman" w:cs="Times New Roman" w:eastAsia="Times New Roman" w:hAnsi="Times New Roman"/>
          <w:sz w:val="22"/>
          <w:szCs w:val="22"/>
          <w:color w:val="auto"/>
        </w:rPr>
      </w:pPr>
    </w:p>
    <w:p>
      <w:pPr>
        <w:jc w:val="both"/>
        <w:ind w:left="400" w:firstLine="745"/>
        <w:spacing w:after="0" w:line="237" w:lineRule="auto"/>
        <w:tabs>
          <w:tab w:leader="none" w:pos="152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Labor Matters. </w:t>
      </w:r>
      <w:r>
        <w:rPr>
          <w:rFonts w:ascii="Times New Roman" w:cs="Times New Roman" w:eastAsia="Times New Roman" w:hAnsi="Times New Roman"/>
          <w:sz w:val="22"/>
          <w:szCs w:val="22"/>
          <w:color w:val="auto"/>
        </w:rPr>
        <w:t>No Obligor nor any of its Subsidiaries has engaged in unfair labor practices and there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pending or, to any Obligor’s knowledge, threatened in writing labor actions, disputes, grievance or arbitration proceedings involving the employees of any Obligor or any of its Subsidiaries, in each case that would reasonably be expected to have a Material Adverse Effect. There is no material strike or work stoppage in existence or threatened in writing against any Obligor or any of its Subsidiaries and to the knowledge of such Obligor, no union organization activity is taking place.</w:t>
      </w:r>
    </w:p>
    <w:p>
      <w:pPr>
        <w:spacing w:after="0" w:line="20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7.07.</w:t>
      </w:r>
      <w:r>
        <w:rPr>
          <w:sz w:val="20"/>
          <w:szCs w:val="20"/>
          <w:color w:val="auto"/>
        </w:rPr>
        <w:tab/>
      </w:r>
      <w:r>
        <w:rPr>
          <w:rFonts w:ascii="Times New Roman" w:cs="Times New Roman" w:eastAsia="Times New Roman" w:hAnsi="Times New Roman"/>
          <w:sz w:val="21"/>
          <w:szCs w:val="21"/>
          <w:i w:val="1"/>
          <w:iCs w:val="1"/>
          <w:color w:val="auto"/>
        </w:rPr>
        <w:t>Compliance with Laws and Agreements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left="400" w:firstLine="745"/>
        <w:spacing w:after="0" w:line="244" w:lineRule="auto"/>
        <w:tabs>
          <w:tab w:leader="none" w:pos="150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of its Subsidiaries are in compliance with all Requirements of Law (including Health Care Laws and Environmental Laws) and all Contracts binding upon it or its Property, except where the failure to do so, individually or in the aggregate, would not reasonably be expected to result in a Material Adverse Effect.</w:t>
      </w:r>
    </w:p>
    <w:p>
      <w:pPr>
        <w:spacing w:after="0" w:line="213" w:lineRule="exact"/>
        <w:rPr>
          <w:rFonts w:ascii="Times New Roman" w:cs="Times New Roman" w:eastAsia="Times New Roman" w:hAnsi="Times New Roman"/>
          <w:sz w:val="22"/>
          <w:szCs w:val="22"/>
          <w:color w:val="auto"/>
        </w:rPr>
      </w:pPr>
    </w:p>
    <w:p>
      <w:pPr>
        <w:ind w:left="1500" w:hanging="355"/>
        <w:spacing w:after="0"/>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33" w:lineRule="exact"/>
        <w:rPr>
          <w:rFonts w:ascii="Times New Roman" w:cs="Times New Roman" w:eastAsia="Times New Roman" w:hAnsi="Times New Roman"/>
          <w:sz w:val="22"/>
          <w:szCs w:val="22"/>
          <w:color w:val="auto"/>
        </w:rPr>
      </w:pPr>
    </w:p>
    <w:p>
      <w:pPr>
        <w:jc w:val="both"/>
        <w:ind w:left="1140" w:firstLine="754"/>
        <w:spacing w:after="0" w:line="233" w:lineRule="auto"/>
        <w:tabs>
          <w:tab w:leader="none" w:pos="238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best of each Obligor’s knowledge, any financial relationships between or among any Obligor or any Subsidiary thereof, on the one hand, and any Person who is in a position to refer patients or other health care business to any Obligor or any Subsidiary thereof (collectively a </w:t>
      </w:r>
      <w:r>
        <w:rPr>
          <w:rFonts w:ascii="Times New Roman" w:cs="Times New Roman" w:eastAsia="Times New Roman" w:hAnsi="Times New Roman"/>
          <w:sz w:val="22"/>
          <w:szCs w:val="22"/>
          <w:i w:val="1"/>
          <w:iCs w:val="1"/>
          <w:color w:val="auto"/>
        </w:rPr>
        <w:t>“Referral Source”</w:t>
      </w:r>
      <w:r>
        <w:rPr>
          <w:rFonts w:ascii="Times New Roman" w:cs="Times New Roman" w:eastAsia="Times New Roman" w:hAnsi="Times New Roman"/>
          <w:sz w:val="22"/>
          <w:szCs w:val="22"/>
          <w:color w:val="auto"/>
        </w:rPr>
        <w:t>), on the other hand, (A) comply in all material respects with all applicable Health Care Laws, (B) reflect fair market value, have commercially reasonable terms and were negotiated at arm’s length; and (C) do not obligate the Referral Source to purchase, use, recommend or arrange for the use of any products or services of any Obligor or any Subsidiary thereof in any manner that could reasonably be expected to constitute a violation of Health Care Laws. No Obligor, nor any Subsidiary thereof,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w:t>
      </w:r>
    </w:p>
    <w:p>
      <w:pPr>
        <w:spacing w:after="0" w:line="227" w:lineRule="exact"/>
        <w:rPr>
          <w:rFonts w:ascii="Times New Roman" w:cs="Times New Roman" w:eastAsia="Times New Roman" w:hAnsi="Times New Roman"/>
          <w:sz w:val="22"/>
          <w:szCs w:val="22"/>
          <w:color w:val="auto"/>
        </w:rPr>
      </w:pPr>
    </w:p>
    <w:p>
      <w:pPr>
        <w:jc w:val="both"/>
        <w:ind w:left="1140" w:right="20" w:firstLine="754"/>
        <w:spacing w:after="0" w:line="271" w:lineRule="exact"/>
        <w:tabs>
          <w:tab w:leader="none" w:pos="231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Products have been developed, tested, manufactured, distributed, marketed and sold in compliance in all material respects with all applicable Regulated Product Laws, including, without limitation, all requirements relating to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market</w:t>
      </w:r>
    </w:p>
    <w:p>
      <w:pPr>
        <w:spacing w:after="0" w:line="18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29" w:right="339" w:bottom="1440" w:gutter="0" w:footer="0" w:header="0"/>
        </w:sectPr>
      </w:pPr>
    </w:p>
    <w:bookmarkStart w:id="105" w:name="page106"/>
    <w:bookmarkEnd w:id="105"/>
    <w:p>
      <w:pPr>
        <w:ind w:left="1500"/>
        <w:spacing w:after="0" w:line="285" w:lineRule="exact"/>
        <w:rPr>
          <w:sz w:val="20"/>
          <w:szCs w:val="20"/>
          <w:color w:val="auto"/>
        </w:rPr>
      </w:pPr>
      <w:r>
        <w:rPr>
          <w:rFonts w:ascii="Times New Roman" w:cs="Times New Roman" w:eastAsia="Times New Roman" w:hAnsi="Times New Roman"/>
          <w:sz w:val="22"/>
          <w:szCs w:val="22"/>
          <w:color w:val="auto"/>
        </w:rPr>
        <w:t>notification, good manufacturing practices/quality system regulations (21 CFR Part 820), labeling, advertising, record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keeping, and adverse event reporting.</w:t>
      </w:r>
    </w:p>
    <w:p>
      <w:pPr>
        <w:spacing w:after="0" w:line="173" w:lineRule="exact"/>
        <w:rPr>
          <w:sz w:val="20"/>
          <w:szCs w:val="20"/>
          <w:color w:val="auto"/>
        </w:rPr>
      </w:pPr>
    </w:p>
    <w:p>
      <w:pPr>
        <w:jc w:val="both"/>
        <w:ind w:left="1500" w:firstLine="754"/>
        <w:spacing w:after="0" w:line="244" w:lineRule="auto"/>
        <w:tabs>
          <w:tab w:leader="none" w:pos="264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Subsidiary thereof is in compliance in all material respects with the Physician Payments Sunshine Act (Section 6002 of the Affordable Care Act of 2010) and its implementing regulations and any applicable state disclosure and transparency laws.</w:t>
      </w:r>
    </w:p>
    <w:p>
      <w:pPr>
        <w:spacing w:after="0" w:line="213" w:lineRule="exact"/>
        <w:rPr>
          <w:rFonts w:ascii="Times New Roman" w:cs="Times New Roman" w:eastAsia="Times New Roman" w:hAnsi="Times New Roman"/>
          <w:sz w:val="22"/>
          <w:szCs w:val="22"/>
          <w:color w:val="auto"/>
        </w:rPr>
      </w:pPr>
    </w:p>
    <w:p>
      <w:pPr>
        <w:ind w:left="1500" w:firstLine="754"/>
        <w:spacing w:after="0" w:line="258" w:lineRule="auto"/>
        <w:tabs>
          <w:tab w:leader="none" w:pos="262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or Subsidiary participates in, or otherwise directly receives reimbursement from, any Third-Party Payor Program.</w:t>
      </w:r>
    </w:p>
    <w:p>
      <w:pPr>
        <w:spacing w:after="0" w:line="198" w:lineRule="exact"/>
        <w:rPr>
          <w:rFonts w:ascii="Times New Roman" w:cs="Times New Roman" w:eastAsia="Times New Roman" w:hAnsi="Times New Roman"/>
          <w:sz w:val="22"/>
          <w:szCs w:val="22"/>
          <w:color w:val="auto"/>
        </w:rPr>
      </w:pPr>
    </w:p>
    <w:p>
      <w:pPr>
        <w:jc w:val="both"/>
        <w:ind w:left="1500" w:firstLine="754"/>
        <w:spacing w:after="0" w:line="234" w:lineRule="auto"/>
        <w:tabs>
          <w:tab w:leader="none" w:pos="262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nor any Subsidiary thereof, nor, to the knowledge of any Obligor, any owner, officer, director, partner, agent or managing employee or Person with a “direct or indirect ownership interest” (as that phrase is defined in 42 C.F.R. § 420.201) in any Obligor has been (i) excluded from any Federal Health Care Program, (ii) “suspended” or “debarred” from selling products to the U.S. government or its agencies pursuant to the Federal Acquisition Regulation, relating to debarment and suspension applicable to federal government agencies generally (42 C.F.R. Subpart 9.4), (iii) is listed on the General Services Administration list of excluded parties, nor, to the knowledge of the Obligors, is any such debarment, disqualification, suspension or exclusion threatened or pending, or (iv) made a party to any other action by any Governmental Authority that may prohibit it from selling products or providing services to any governmental or other purchaser pursuant to any federal, state or local laws or regulations.</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7" w:lineRule="auto"/>
        <w:tabs>
          <w:tab w:leader="none" w:pos="2608"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Obligor nor any Subsidiary thereof is subject to any pending audit, claim review, investigation, proceeding, or other action (in each case, whether civil, criminal, administrative or investigative) relating to any actual or alleged noncompliance with any applicable Health Care Law, which could result in the imposition of any material penalties from any Governmental Authority. No Obligor nor any Subsidiary thereof, nor, to the knowledge of any Obligor, any owner, officer, director, partner, agent or managing employee of any Obligor is a party to or bound by any individual integrity agreement, corporate integrity agreement, corporate compliance agreement, deferred prosecution agreement, settlement agreement or other formal written agreement with any Governmental Authority concerning its compliance with any Health Care Law.</w:t>
      </w:r>
    </w:p>
    <w:p>
      <w:pPr>
        <w:spacing w:after="0" w:line="212" w:lineRule="exact"/>
        <w:rPr>
          <w:rFonts w:ascii="Times New Roman" w:cs="Times New Roman" w:eastAsia="Times New Roman" w:hAnsi="Times New Roman"/>
          <w:sz w:val="21"/>
          <w:szCs w:val="21"/>
          <w:color w:val="auto"/>
        </w:rPr>
      </w:pPr>
    </w:p>
    <w:p>
      <w:pPr>
        <w:jc w:val="both"/>
        <w:ind w:left="1500" w:firstLine="754"/>
        <w:spacing w:after="0" w:line="235" w:lineRule="auto"/>
        <w:tabs>
          <w:tab w:leader="none" w:pos="300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Obligor and Subsidiary thereof maintains and adheres to, in all material respects, a commercially reasonable compliance program designed to promote compliance with and to detect, prevent, and address violations of all material Health Care Laws (a </w:t>
      </w:r>
      <w:r>
        <w:rPr>
          <w:rFonts w:ascii="Times New Roman" w:cs="Times New Roman" w:eastAsia="Times New Roman" w:hAnsi="Times New Roman"/>
          <w:sz w:val="22"/>
          <w:szCs w:val="22"/>
          <w:i w:val="1"/>
          <w:iCs w:val="1"/>
          <w:color w:val="auto"/>
        </w:rPr>
        <w:t>“Health Care Compliance Program”</w:t>
      </w:r>
      <w:r>
        <w:rPr>
          <w:rFonts w:ascii="Times New Roman" w:cs="Times New Roman" w:eastAsia="Times New Roman" w:hAnsi="Times New Roman"/>
          <w:sz w:val="22"/>
          <w:szCs w:val="22"/>
          <w:color w:val="auto"/>
        </w:rPr>
        <w:t>). No Obligor nor any Subsidiary thereof is aware of any complaints from any employees, independent contractors, vendors, physicians, customers, patients or other persons that could reasonably be considered to indicate a violation of Health Care Laws which would be reasonably expected to result individually, or in the aggregate, in a Material Adverse Effect.</w:t>
      </w:r>
    </w:p>
    <w:p>
      <w:pPr>
        <w:spacing w:after="0" w:line="220"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7.08. Taxes. </w:t>
      </w:r>
      <w:r>
        <w:rPr>
          <w:rFonts w:ascii="Times New Roman" w:cs="Times New Roman" w:eastAsia="Times New Roman" w:hAnsi="Times New Roman"/>
          <w:sz w:val="22"/>
          <w:szCs w:val="22"/>
          <w:color w:val="auto"/>
        </w:rPr>
        <w:t>Each Obligor has timely filed or caused to be filed all federal income and other material Tax returns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06" w:name="page107"/>
    <w:bookmarkEnd w:id="106"/>
    <w:p>
      <w:pPr>
        <w:jc w:val="both"/>
        <w:ind w:firstLine="373"/>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7.09. Full Disclosure. </w:t>
      </w:r>
      <w:r>
        <w:rPr>
          <w:rFonts w:ascii="Times New Roman" w:cs="Times New Roman" w:eastAsia="Times New Roman" w:hAnsi="Times New Roman"/>
          <w:sz w:val="22"/>
          <w:szCs w:val="22"/>
          <w:color w:val="auto"/>
        </w:rPr>
        <w:t>Obligors have disclosed to the Lenders all Material Agreements to which any Obligor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and all other matters to its knowledge, that, individually or in the aggregate, would reasonably be expected to result in a Material Adverse Effect. None of the reports, financial statements, certificates or other information furnished by or on behalf of the Obligors to the Lenders in connection with the negotiation of this Agreement and the other Loan Documents or delivered hereunder or thereunder (as modified or supplemented by other information so furnished) contains any material misstatement of material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projected financial information, Obligors represent only that such information was prepared in good faith based upon assumptions believed to be reasonable at the time.</w:t>
      </w:r>
    </w:p>
    <w:p>
      <w:pPr>
        <w:spacing w:after="0" w:line="205"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7.10.</w:t>
      </w:r>
      <w:r>
        <w:rPr>
          <w:sz w:val="20"/>
          <w:szCs w:val="20"/>
          <w:color w:val="auto"/>
        </w:rPr>
        <w:tab/>
      </w:r>
      <w:r>
        <w:rPr>
          <w:rFonts w:ascii="Times New Roman" w:cs="Times New Roman" w:eastAsia="Times New Roman" w:hAnsi="Times New Roman"/>
          <w:sz w:val="21"/>
          <w:szCs w:val="21"/>
          <w:i w:val="1"/>
          <w:iCs w:val="1"/>
          <w:color w:val="auto"/>
        </w:rPr>
        <w:t>Regulation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760" w:firstLine="745"/>
        <w:spacing w:after="0" w:line="262" w:lineRule="auto"/>
        <w:tabs>
          <w:tab w:leader="none" w:pos="188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Investment Company Act. </w:t>
      </w:r>
      <w:r>
        <w:rPr>
          <w:rFonts w:ascii="Times New Roman" w:cs="Times New Roman" w:eastAsia="Times New Roman" w:hAnsi="Times New Roman"/>
          <w:sz w:val="22"/>
          <w:szCs w:val="22"/>
          <w:color w:val="auto"/>
        </w:rPr>
        <w:t>No Obligor is an “investment company” as defined in, or subject to regulation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Investment Company Act of 1940.</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88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No Obligor is engaged principally, or as one of its important activities, in the business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extending credit for the purpose, whether immediate, incidental or ultimate, of buying or carrying Margin Stock and no part of the proceeds of the Term Loans will be used to buy or carry any Margin Stock in violation of Regulation T, U or X.</w:t>
      </w:r>
    </w:p>
    <w:p>
      <w:pPr>
        <w:spacing w:after="0" w:line="199"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7.11. Solvency. </w:t>
      </w:r>
      <w:r>
        <w:rPr>
          <w:rFonts w:ascii="Times New Roman" w:cs="Times New Roman" w:eastAsia="Times New Roman" w:hAnsi="Times New Roman"/>
          <w:sz w:val="22"/>
          <w:szCs w:val="22"/>
          <w:color w:val="auto"/>
        </w:rPr>
        <w:t>The Obligors, on a consolidated basis, are, and, immediately after giving effect to the Borrowings,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use of proceeds thereof, and the consummation of the Transactions, will be, Solvent.</w:t>
      </w:r>
    </w:p>
    <w:p>
      <w:pPr>
        <w:spacing w:after="0" w:line="190"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7.12.</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47" w:lineRule="exact"/>
        <w:rPr>
          <w:sz w:val="20"/>
          <w:szCs w:val="20"/>
          <w:color w:val="auto"/>
        </w:rPr>
      </w:pPr>
    </w:p>
    <w:p>
      <w:pPr>
        <w:jc w:val="both"/>
        <w:ind w:firstLine="38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7.13. Indebtedness and Liens. </w:t>
      </w:r>
      <w:r>
        <w:rPr>
          <w:rFonts w:ascii="Times New Roman" w:cs="Times New Roman" w:eastAsia="Times New Roman" w:hAnsi="Times New Roman"/>
          <w:sz w:val="22"/>
          <w:szCs w:val="22"/>
          <w:color w:val="auto"/>
        </w:rPr>
        <w:t>Set forth on Schedule 9.01(b) is a complete and correct list of all Permitted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of each Obligor described in Section 9.01(b) as of the date hereof. Set forth on Schedule 9.02(b) is a complete and correct list of all Permitted Liens described in Section 9.02(b) granted by an Obligor with respect to its respective Property and outstanding as of the date hereof.</w:t>
      </w:r>
    </w:p>
    <w:p>
      <w:pPr>
        <w:spacing w:after="0" w:line="199"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7.14. Material Agreements. </w:t>
      </w:r>
      <w:r>
        <w:rPr>
          <w:rFonts w:ascii="Times New Roman" w:cs="Times New Roman" w:eastAsia="Times New Roman" w:hAnsi="Times New Roman"/>
          <w:sz w:val="22"/>
          <w:szCs w:val="22"/>
          <w:color w:val="auto"/>
        </w:rPr>
        <w:t>Set forth on Schedule 7.14 (as such Schedule may be updated by the Borrower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is a complete and correct list of (a) each Material Agreement and (b) each Contract creating or evidencing any Material Indebtedness, together with a summary reference to the product or purpose of each such Material Agreement and such Contract, to which an Obligor is a party. Accurate and complete copies of each such Contract listed on such schedule have been made available to the Lenders. No Obligor is in default in any material respect under any such Material Agreement or such Contract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spacing w:after="0" w:line="21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7.15. Restrictive Agreements. </w:t>
      </w:r>
      <w:r>
        <w:rPr>
          <w:rFonts w:ascii="Times New Roman" w:cs="Times New Roman" w:eastAsia="Times New Roman" w:hAnsi="Times New Roman"/>
          <w:sz w:val="22"/>
          <w:szCs w:val="22"/>
          <w:color w:val="auto"/>
        </w:rPr>
        <w:t>None of the Obligors is party to any Restrictive Agreement, except (a) those listed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Schedule 7.15 or otherwise permitted under Section 9.11, (b) restrictions and conditions imposed by Law or by the Loan Documents, (c) any stockholder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107" w:name="page108"/>
    <w:bookmarkEnd w:id="10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investor rights agreement, charter, bylaws or other Organizational Documents of an Obligor and (d) limitations associated with Permitted Liens.</w:t>
      </w:r>
    </w:p>
    <w:p>
      <w:pPr>
        <w:spacing w:after="0" w:line="181"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7.16. Real Property. </w:t>
      </w:r>
      <w:r>
        <w:rPr>
          <w:rFonts w:ascii="Times New Roman" w:cs="Times New Roman" w:eastAsia="Times New Roman" w:hAnsi="Times New Roman"/>
          <w:sz w:val="22"/>
          <w:szCs w:val="22"/>
          <w:color w:val="auto"/>
        </w:rPr>
        <w:t>No Obligor nor any of its Subsidiaries owns or leases (as tenant thereof) any real Property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hereof, except as described on Schedule 7.16.</w:t>
      </w:r>
    </w:p>
    <w:p>
      <w:pPr>
        <w:spacing w:after="0" w:line="19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1"/>
          <w:szCs w:val="21"/>
          <w:i w:val="1"/>
          <w:iCs w:val="1"/>
          <w:color w:val="auto"/>
        </w:rPr>
        <w:t>Section 7.17. Pension and Other Plans</w:t>
      </w:r>
      <w:r>
        <w:rPr>
          <w:rFonts w:ascii="Times New Roman" w:cs="Times New Roman" w:eastAsia="Times New Roman" w:hAnsi="Times New Roman"/>
          <w:sz w:val="21"/>
          <w:szCs w:val="21"/>
          <w:color w:val="auto"/>
        </w:rPr>
        <w:t>. Schedule 7.17 sets forth, as of the date hereof, a complete and correct list of,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spacing w:after="0" w:line="205" w:lineRule="exact"/>
        <w:rPr>
          <w:sz w:val="20"/>
          <w:szCs w:val="20"/>
          <w:color w:val="auto"/>
        </w:rPr>
      </w:pPr>
    </w:p>
    <w:p>
      <w:pPr>
        <w:jc w:val="both"/>
        <w:ind w:firstLine="373"/>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7.18. Collateral; Security Interest. </w:t>
      </w:r>
      <w:r>
        <w:rPr>
          <w:rFonts w:ascii="Times New Roman" w:cs="Times New Roman" w:eastAsia="Times New Roman" w:hAnsi="Times New Roman"/>
          <w:sz w:val="22"/>
          <w:szCs w:val="22"/>
          <w:color w:val="auto"/>
        </w:rPr>
        <w:t>Each Security Document is effective to create in favor of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spacing w:after="0" w:line="203"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7.19.</w:t>
      </w:r>
      <w:r>
        <w:rPr>
          <w:sz w:val="20"/>
          <w:szCs w:val="20"/>
          <w:color w:val="auto"/>
        </w:rPr>
        <w:tab/>
      </w:r>
      <w:r>
        <w:rPr>
          <w:rFonts w:ascii="Times New Roman" w:cs="Times New Roman" w:eastAsia="Times New Roman" w:hAnsi="Times New Roman"/>
          <w:sz w:val="21"/>
          <w:szCs w:val="21"/>
          <w:i w:val="1"/>
          <w:iCs w:val="1"/>
          <w:color w:val="auto"/>
        </w:rPr>
        <w:t>Regulatory Approvals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left="760" w:right="20" w:firstLine="745"/>
        <w:spacing w:after="0" w:line="244" w:lineRule="auto"/>
        <w:tabs>
          <w:tab w:leader="none" w:pos="192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of its Subsidiaries holds either directly or through licensees and agents, all Regulatory Approvals and Permits necessary or required for each Obligor and its Subsidiaries to conduct all Product Development and Commercialization Activities with respect to the Products.</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45" w:lineRule="auto"/>
        <w:tabs>
          <w:tab w:leader="none" w:pos="1909"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on Schedule 7.19(b) is a complete and accurate list as of the date hereof of all Regulatory Approvals and Permits referred to in clause (a) above, setting forth (on a per Product basis) the Obligor that holds such Regulatory Approval or Permit and a brief description of each such Regulatory Approval or Permit. All such Regulatory Approvals and Permits are (i) legally and/or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have been filed with the applicable Regulatory Authorities or other Governmental Authorities.</w:t>
      </w:r>
    </w:p>
    <w:p>
      <w:pPr>
        <w:spacing w:after="0" w:line="204" w:lineRule="exact"/>
        <w:rPr>
          <w:rFonts w:ascii="Times New Roman" w:cs="Times New Roman" w:eastAsia="Times New Roman" w:hAnsi="Times New Roman"/>
          <w:sz w:val="21"/>
          <w:szCs w:val="21"/>
          <w:color w:val="auto"/>
        </w:rPr>
      </w:pPr>
    </w:p>
    <w:p>
      <w:pPr>
        <w:ind w:left="760" w:right="20" w:firstLine="745"/>
        <w:spacing w:after="0" w:line="258" w:lineRule="auto"/>
        <w:tabs>
          <w:tab w:leader="none" w:pos="200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material regulatory filings required by any Regulatory Authority or in respect of any Product Authorization or other Regulatory Approval with respect to any Product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08" w:name="page109"/>
    <w:bookmarkEnd w:id="108"/>
    <w:p>
      <w:pPr>
        <w:jc w:val="both"/>
        <w:spacing w:after="0" w:line="250" w:lineRule="exact"/>
        <w:rPr>
          <w:sz w:val="20"/>
          <w:szCs w:val="20"/>
          <w:color w:val="auto"/>
        </w:rPr>
      </w:pPr>
      <w:r>
        <w:rPr>
          <w:rFonts w:ascii="Times New Roman" w:cs="Times New Roman" w:eastAsia="Times New Roman" w:hAnsi="Times New Roman"/>
          <w:sz w:val="22"/>
          <w:szCs w:val="22"/>
          <w:color w:val="auto"/>
        </w:rPr>
        <w:t>or any Product Development and Commercialization Activities have been made, and all such filings are complete and correct in all material respects and have complied in all material respects with all applicable Requirements of Law, (ii) all clinical and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all material communications between representatives of each Obligor and any Regulatory Authority.</w:t>
      </w:r>
    </w:p>
    <w:p>
      <w:pPr>
        <w:spacing w:after="0" w:line="209" w:lineRule="exact"/>
        <w:rPr>
          <w:sz w:val="20"/>
          <w:szCs w:val="20"/>
          <w:color w:val="auto"/>
        </w:rPr>
      </w:pPr>
    </w:p>
    <w:p>
      <w:pPr>
        <w:jc w:val="both"/>
        <w:ind w:firstLine="745"/>
        <w:spacing w:after="0" w:line="234" w:lineRule="auto"/>
        <w:tabs>
          <w:tab w:leader="none" w:pos="110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to each Obligor’s knowledge, each of its agents are in compliance in all material respects with all applicable statutes, rules and regulations (including all Product Authorizations and other Regulatory Approvals) of all applicable Governmental Authorities, including the FDA and all other applicable Regulatory Authorities, with respect to each Product and all Product Development and Commercialization Activities related thereto. Each Obligor has and maintains in full force and effect all the necessary and required Product Authorizations and other Regulatory Approvals for its Products. Each Obligor is in compliance in all material respects with all applicable registration and listing requirements set forth in all applicable Regulated Product Laws. Each Obligor adheres in all material respects to all applicable regulations of all Regulatory Authorities with respect to the Products and all Product Development and Commercialization Activities related thereto.</w:t>
      </w:r>
    </w:p>
    <w:p>
      <w:pPr>
        <w:spacing w:after="0" w:line="223" w:lineRule="exact"/>
        <w:rPr>
          <w:rFonts w:ascii="Times New Roman" w:cs="Times New Roman" w:eastAsia="Times New Roman" w:hAnsi="Times New Roman"/>
          <w:sz w:val="22"/>
          <w:szCs w:val="22"/>
          <w:color w:val="auto"/>
        </w:rPr>
      </w:pPr>
    </w:p>
    <w:p>
      <w:pPr>
        <w:jc w:val="both"/>
        <w:ind w:firstLine="745"/>
        <w:spacing w:after="0" w:line="233" w:lineRule="auto"/>
        <w:tabs>
          <w:tab w:leader="none" w:pos="112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Obligor has received from any Regulatory Authority any notice of adverse findings with respect to any Product or any Product Development and Commercialization Activities related thereto, including any FDA Form 483 inspectional observations (to the extent any such FDA Form 483 inspectional observation would have a material impact on the conduct of the Borrower’s business operations),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(iii) no Obligor has received any written notification that remains unresolved from the FDA or any other Regulatory Authority indicating any breach or violation of any applicable Product Authorization or other Regulatory Approval, including that any Product is “misbranded” or “adulterated” within the meaning of the FD&amp;C Act or the rules and regulations promulgated thereunder.</w:t>
      </w:r>
    </w:p>
    <w:p>
      <w:pPr>
        <w:spacing w:after="0" w:line="225" w:lineRule="exact"/>
        <w:rPr>
          <w:rFonts w:ascii="Times New Roman" w:cs="Times New Roman" w:eastAsia="Times New Roman" w:hAnsi="Times New Roman"/>
          <w:sz w:val="22"/>
          <w:szCs w:val="22"/>
          <w:color w:val="auto"/>
        </w:rPr>
      </w:pPr>
    </w:p>
    <w:p>
      <w:pPr>
        <w:jc w:val="both"/>
        <w:ind w:firstLine="745"/>
        <w:spacing w:after="0" w:line="235" w:lineRule="auto"/>
        <w:tabs>
          <w:tab w:leader="none" w:pos="110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Obligor nor, to any Obligor’s knowledge, any officer, employee or agent thereof, has made an untrue statement of a material fact or fraudulent statements to the FDA or any other applicable Regulatory Authority, failed to disclose a material fact required to be disclosed to the FDA or any other applicable Regulatory Authority, or committed an act, made a statement, or failed to make a statement that, at the time such disclosure was made (or was not made), would reasonably be expected to provide a basis for the FDA or any other applicable Regulatory Authority to invoke its policy respecting Fraud, Untrue Statements of Material Facts, Bribery and Illegal Gratuities, set forth in 56 Fed. Reg. 46191 (September 10, 1991) or any similar policy.</w:t>
      </w:r>
    </w:p>
    <w:p>
      <w:pPr>
        <w:spacing w:after="0" w:line="210" w:lineRule="exact"/>
        <w:rPr>
          <w:rFonts w:ascii="Times New Roman" w:cs="Times New Roman" w:eastAsia="Times New Roman" w:hAnsi="Times New Roman"/>
          <w:sz w:val="22"/>
          <w:szCs w:val="22"/>
          <w:color w:val="auto"/>
        </w:rPr>
      </w:pPr>
    </w:p>
    <w:p>
      <w:pPr>
        <w:ind w:right="20" w:firstLine="745"/>
        <w:spacing w:after="0" w:line="258" w:lineRule="auto"/>
        <w:tabs>
          <w:tab w:leader="none" w:pos="110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has received any written notice that the FDA or any other applicable Regulatory Authority has commenced or initiated, or, to the knowledge of any such Obligor,</w:t>
      </w:r>
    </w:p>
    <w:p>
      <w:pPr>
        <w:spacing w:after="0" w:line="19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493395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33" w:right="339" w:bottom="1440" w:gutter="0" w:footer="0" w:header="0"/>
        </w:sectPr>
      </w:pPr>
    </w:p>
    <w:bookmarkStart w:id="109" w:name="page110"/>
    <w:bookmarkEnd w:id="109"/>
    <w:p>
      <w:pPr>
        <w:jc w:val="both"/>
        <w:ind w:left="760"/>
        <w:spacing w:after="0" w:line="261" w:lineRule="auto"/>
        <w:rPr>
          <w:sz w:val="20"/>
          <w:szCs w:val="20"/>
          <w:color w:val="auto"/>
        </w:rPr>
      </w:pPr>
      <w:r>
        <w:rPr>
          <w:rFonts w:ascii="Times New Roman" w:cs="Times New Roman" w:eastAsia="Times New Roman" w:hAnsi="Times New Roman"/>
          <w:sz w:val="21"/>
          <w:szCs w:val="21"/>
          <w:color w:val="auto"/>
        </w:rPr>
        <w:t>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spacing w:after="0" w:line="184" w:lineRule="exact"/>
        <w:rPr>
          <w:sz w:val="20"/>
          <w:szCs w:val="20"/>
          <w:color w:val="auto"/>
        </w:rPr>
      </w:pPr>
    </w:p>
    <w:p>
      <w:pPr>
        <w:jc w:val="both"/>
        <w:ind w:left="760" w:firstLine="745"/>
        <w:spacing w:after="0" w:line="234" w:lineRule="auto"/>
        <w:tabs>
          <w:tab w:leader="none" w:pos="188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Regulated Product Laws, Product Authorizations and other Regulatory Approvals. No Obligor has received any notices or other correspondence from the FDA or any other applicable Regulatory Authority requiring the material modification, termination or suspension of any clinical, preclinical, safety or other studies or tests used to support regulatory clearance of, or any Product Authorization or other Regulatory Approval for, any Product.</w:t>
      </w:r>
    </w:p>
    <w:p>
      <w:pPr>
        <w:spacing w:after="0" w:line="22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89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under (i) Section 335a of the FD&amp;C Act or (ii) any similar applicable Law.</w:t>
      </w:r>
    </w:p>
    <w:p>
      <w:pPr>
        <w:spacing w:after="0" w:line="213" w:lineRule="exact"/>
        <w:rPr>
          <w:sz w:val="20"/>
          <w:szCs w:val="20"/>
          <w:color w:val="auto"/>
        </w:rPr>
      </w:pPr>
    </w:p>
    <w:p>
      <w:pPr>
        <w:jc w:val="both"/>
        <w:ind w:firstLine="360"/>
        <w:spacing w:after="0" w:line="250" w:lineRule="exact"/>
        <w:rPr>
          <w:sz w:val="20"/>
          <w:szCs w:val="20"/>
          <w:color w:val="auto"/>
        </w:rPr>
      </w:pPr>
      <w:r>
        <w:rPr>
          <w:rFonts w:ascii="Times New Roman" w:cs="Times New Roman" w:eastAsia="Times New Roman" w:hAnsi="Times New Roman"/>
          <w:sz w:val="22"/>
          <w:szCs w:val="22"/>
          <w:i w:val="1"/>
          <w:iCs w:val="1"/>
          <w:color w:val="auto"/>
        </w:rPr>
        <w:t xml:space="preserve">Section 7.20. Capitalization. </w:t>
      </w:r>
      <w:r>
        <w:rPr>
          <w:rFonts w:ascii="Times New Roman" w:cs="Times New Roman" w:eastAsia="Times New Roman" w:hAnsi="Times New Roman"/>
          <w:sz w:val="22"/>
          <w:szCs w:val="22"/>
          <w:color w:val="auto"/>
        </w:rPr>
        <w:t>All of the issued and outstanding securities of each Obligor have been duly authorized,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validly issued, fully paid,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 As of the Closing Date and except as set forth on Schedule 7.20, there are no outstanding or authorized options, warrants, purchase rights, subscription rights, conversion rights, exchange rights, or other Contracts or commitments that could require the Obligors to issue, sell, or otherwise cause to become outstanding any of their ownership interests. There are no outstanding or authorized stock appreciation, phantom stock, profit participation, or similar rights with respect to the Obligors. There are no voting trusts, proxies, or other agreements or understandings with respect to the voting of the ownership interests of the Obligors. None of the Equity Interests in any Obligor has been mortgaged, assigned or pledged in favor of any Person, other than pursuant to the Security Agreement.</w:t>
      </w:r>
    </w:p>
    <w:p>
      <w:pPr>
        <w:spacing w:after="0" w:line="202"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7.21. Insurance. </w:t>
      </w:r>
      <w:r>
        <w:rPr>
          <w:rFonts w:ascii="Times New Roman" w:cs="Times New Roman" w:eastAsia="Times New Roman" w:hAnsi="Times New Roman"/>
          <w:sz w:val="22"/>
          <w:szCs w:val="22"/>
          <w:color w:val="auto"/>
        </w:rPr>
        <w:t>Each Obligor has obtained (and is maintaining), insurance for its assets (including the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business as required under the Loan Documents.</w:t>
      </w:r>
    </w:p>
    <w:p>
      <w:pPr>
        <w:spacing w:after="0" w:line="190" w:lineRule="exact"/>
        <w:rPr>
          <w:sz w:val="20"/>
          <w:szCs w:val="20"/>
          <w:color w:val="auto"/>
        </w:rPr>
      </w:pPr>
    </w:p>
    <w:p>
      <w:pPr>
        <w:jc w:val="both"/>
        <w:ind w:right="20" w:firstLine="40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7.22. Certain Fees. </w:t>
      </w:r>
      <w:r>
        <w:rPr>
          <w:rFonts w:ascii="Times New Roman" w:cs="Times New Roman" w:eastAsia="Times New Roman" w:hAnsi="Times New Roman"/>
          <w:sz w:val="22"/>
          <w:szCs w:val="22"/>
          <w:color w:val="auto"/>
        </w:rPr>
        <w:t>Except as described on Schedule 7.22, no broker’s or finder’s fee will be payable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execution and delivery of this Agreement.</w:t>
      </w:r>
    </w:p>
    <w:p>
      <w:pPr>
        <w:spacing w:after="0" w:line="190" w:lineRule="exact"/>
        <w:rPr>
          <w:sz w:val="20"/>
          <w:szCs w:val="20"/>
          <w:color w:val="auto"/>
        </w:rPr>
      </w:pPr>
    </w:p>
    <w:p>
      <w:pPr>
        <w:jc w:val="both"/>
        <w:ind w:firstLine="373"/>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7.23. Sanctions Laws. </w:t>
      </w:r>
      <w:r>
        <w:rPr>
          <w:rFonts w:ascii="Times New Roman" w:cs="Times New Roman" w:eastAsia="Times New Roman" w:hAnsi="Times New Roman"/>
          <w:sz w:val="22"/>
          <w:szCs w:val="22"/>
          <w:color w:val="auto"/>
        </w:rPr>
        <w:t>Obligors and, to the knowledge of the Obligors, any director, officer or employee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acting on behalf of the Obligors, are in compliance with the Sanctions Laws.</w:t>
      </w:r>
    </w:p>
    <w:p>
      <w:pPr>
        <w:spacing w:after="0" w:line="146" w:lineRule="exact"/>
        <w:rPr>
          <w:sz w:val="20"/>
          <w:szCs w:val="20"/>
          <w:color w:val="auto"/>
        </w:rPr>
      </w:pPr>
    </w:p>
    <w:p>
      <w:pPr>
        <w:jc w:val="both"/>
        <w:ind w:firstLine="360"/>
        <w:spacing w:after="0" w:line="272" w:lineRule="exact"/>
        <w:rPr>
          <w:sz w:val="20"/>
          <w:szCs w:val="20"/>
          <w:color w:val="auto"/>
        </w:rPr>
      </w:pPr>
      <w:r>
        <w:rPr>
          <w:rFonts w:ascii="Times New Roman" w:cs="Times New Roman" w:eastAsia="Times New Roman" w:hAnsi="Times New Roman"/>
          <w:sz w:val="22"/>
          <w:szCs w:val="22"/>
          <w:i w:val="1"/>
          <w:iCs w:val="1"/>
          <w:color w:val="auto"/>
        </w:rPr>
        <w:t>Section 7.24.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Corruption Laws. </w:t>
      </w:r>
      <w:r>
        <w:rPr>
          <w:rFonts w:ascii="Times New Roman" w:cs="Times New Roman" w:eastAsia="Times New Roman" w:hAnsi="Times New Roman"/>
          <w:sz w:val="22"/>
          <w:szCs w:val="22"/>
          <w:color w:val="auto"/>
        </w:rPr>
        <w:t>No Obligor nor any of its Subsidiaries has, nor, to the knowledge of any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any Obligor, has any director, officer, agent or employee of any Obligor acting on behalf of such Obligor (a) taken any action, directly or indirectly, that would result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10" w:name="page111"/>
    <w:bookmarkEnd w:id="110"/>
    <w:p>
      <w:pPr>
        <w:jc w:val="both"/>
        <w:spacing w:after="0" w:line="272" w:lineRule="exact"/>
        <w:rPr>
          <w:sz w:val="20"/>
          <w:szCs w:val="20"/>
          <w:color w:val="auto"/>
        </w:rPr>
      </w:pPr>
      <w:r>
        <w:rPr>
          <w:rFonts w:ascii="Times New Roman" w:cs="Times New Roman" w:eastAsia="Times New Roman" w:hAnsi="Times New Roman"/>
          <w:sz w:val="22"/>
          <w:szCs w:val="22"/>
          <w:color w:val="auto"/>
        </w:rPr>
        <w:t>in a violation by such Persons of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spacing w:after="0" w:line="170" w:lineRule="exact"/>
        <w:rPr>
          <w:sz w:val="20"/>
          <w:szCs w:val="20"/>
          <w:color w:val="auto"/>
        </w:rPr>
      </w:pPr>
    </w:p>
    <w:p>
      <w:pPr>
        <w:jc w:val="both"/>
        <w:ind w:firstLine="373"/>
        <w:spacing w:after="0" w:line="263" w:lineRule="exact"/>
        <w:rPr>
          <w:sz w:val="20"/>
          <w:szCs w:val="20"/>
          <w:color w:val="auto"/>
        </w:rPr>
      </w:pPr>
      <w:r>
        <w:rPr>
          <w:rFonts w:ascii="Times New Roman" w:cs="Times New Roman" w:eastAsia="Times New Roman" w:hAnsi="Times New Roman"/>
          <w:sz w:val="22"/>
          <w:szCs w:val="22"/>
          <w:i w:val="1"/>
          <w:iCs w:val="1"/>
          <w:color w:val="auto"/>
        </w:rPr>
        <w:t>Section 7.25.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Terrorism Laws. </w:t>
      </w:r>
      <w:r>
        <w:rPr>
          <w:rFonts w:ascii="Times New Roman" w:cs="Times New Roman" w:eastAsia="Times New Roman" w:hAnsi="Times New Roman"/>
          <w:sz w:val="22"/>
          <w:szCs w:val="22"/>
          <w:color w:val="auto"/>
        </w:rPr>
        <w:t>The Obligors and their Subsidiaries (a) have taken reasonable measures to ensure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applicable Economic Sanctions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 (b) are not Designated Persons and (c) have not used any part of the proceeds from any advance on behalf of any Designated Person or has not used, directly by it or indirectly through any Subsidiary, such proceeds in connection with any investment in, or any transactions or dealings with, any Designated Person.</w:t>
      </w:r>
    </w:p>
    <w:p>
      <w:pPr>
        <w:spacing w:after="0" w:line="217"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Section 7.26. Royalty and Other Payments</w:t>
      </w:r>
      <w:r>
        <w:rPr>
          <w:rFonts w:ascii="Times New Roman" w:cs="Times New Roman" w:eastAsia="Times New Roman" w:hAnsi="Times New Roman"/>
          <w:sz w:val="22"/>
          <w:szCs w:val="22"/>
          <w:color w:val="auto"/>
        </w:rPr>
        <w:t>. Except as set forth on Schedule 7.26, no Obligor, nor any of its Subsidiaries,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obligated to pay any royalty, milestone payment, deferred payment or any other contingent payment in respect of any Product.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ffirmative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 and</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Each Obligor covenants and agrees with the Lenders that, until the Commitments have expired or been terminated and all Obligations (other than the Warrant Obligations and inchoate indemnity obligations) have been paid in full in cash:</w:t>
      </w:r>
    </w:p>
    <w:p>
      <w:pPr>
        <w:spacing w:after="0" w:line="181" w:lineRule="exact"/>
        <w:rPr>
          <w:sz w:val="20"/>
          <w:szCs w:val="20"/>
          <w:color w:val="auto"/>
        </w:rPr>
      </w:pPr>
    </w:p>
    <w:p>
      <w:pPr>
        <w:jc w:val="both"/>
        <w:ind w:firstLine="373"/>
        <w:spacing w:after="0" w:line="262" w:lineRule="auto"/>
        <w:rPr>
          <w:sz w:val="20"/>
          <w:szCs w:val="20"/>
          <w:color w:val="auto"/>
        </w:rPr>
      </w:pPr>
      <w:r>
        <w:rPr>
          <w:rFonts w:ascii="Times New Roman" w:cs="Times New Roman" w:eastAsia="Times New Roman" w:hAnsi="Times New Roman"/>
          <w:sz w:val="22"/>
          <w:szCs w:val="22"/>
          <w:i w:val="1"/>
          <w:iCs w:val="1"/>
          <w:color w:val="auto"/>
        </w:rPr>
        <w:t>Section 8.01. Financial Statements and Other Information</w:t>
      </w:r>
      <w:r>
        <w:rPr>
          <w:rFonts w:ascii="Times New Roman" w:cs="Times New Roman" w:eastAsia="Times New Roman" w:hAnsi="Times New Roman"/>
          <w:sz w:val="22"/>
          <w:szCs w:val="22"/>
          <w:color w:val="auto"/>
        </w:rPr>
        <w:t>. It will furnish to the Administrative Agent for distribution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Lenders:</w:t>
      </w:r>
    </w:p>
    <w:p>
      <w:pPr>
        <w:spacing w:after="0" w:line="181" w:lineRule="exact"/>
        <w:rPr>
          <w:sz w:val="20"/>
          <w:szCs w:val="20"/>
          <w:color w:val="auto"/>
        </w:rPr>
      </w:pPr>
    </w:p>
    <w:p>
      <w:pPr>
        <w:ind w:left="1860" w:hanging="355"/>
        <w:spacing w:after="0"/>
        <w:tabs>
          <w:tab w:leader="none" w:pos="18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760" w:firstLine="745"/>
        <w:spacing w:after="0" w:line="246" w:lineRule="exact"/>
        <w:tabs>
          <w:tab w:leader="none" w:pos="190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forty (40) days after the end of each fiscal quarter,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(i)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end adjustments and except for the absence of footnotes and (ii) a management’s discussion and analysis of the financial condition and results of operations, including the Borrower’s and its Subsidiaries’ liquidity and capital resources;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so long as the Borrower is a Publicly Reporting Company, the Borrower’s filing of a Quarterly Report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Form 10-Q with the SEC shall be deemed to satisfy the requirements of this Section 8.01(b) on the date on which such report is first available via the SEC’s EDGAR system or a successor system related thereto.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11" w:name="page112"/>
    <w:bookmarkEnd w:id="111"/>
    <w:p>
      <w:pPr>
        <w:jc w:val="both"/>
        <w:ind w:left="3" w:firstLine="745"/>
        <w:spacing w:after="0" w:line="232" w:lineRule="auto"/>
        <w:tabs>
          <w:tab w:leader="none" w:pos="1111"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available and in any event within one hundred twenty (120) days after the end of each fiscal year,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and the corresponding figures from the Financial Plan for the fiscal year covered by such financial statements, prepared substantially in accordance with GAAP consistently applied, all in reasonable detail accompanied by (i) a report and opinion thereon of Grant Thornton LLP or another firm of independent certified public accountants of recognized national standing, which report and opinion shall be prepared in accordance with generally accepted auditing standards, and commencing with the Annual Report on Form 10-K for the Company’s fiscal year ending December 31, 2026, shall not be subject to any “going concern” or like qualification or exception audit (other than solely with respect to, or resulting solely from the upcoming Stated Maturity Date occurring within one year from the time such report is delivered) or any qualification or exception as to the scope of such audit or related to the maturity of the Transactions and (ii) a management’s discussion and analysis of the financial condition and results of operations, including the Obligors’ liquidity and capital resources;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an Annual Report on Form 10-K with the SEC shall be deemed to satisfy the requirements of this Section 8.01(c) on the date on which such report is first available via the SEC’s EDGAR system or a successor system related thereto;</w:t>
      </w:r>
    </w:p>
    <w:p>
      <w:pPr>
        <w:spacing w:after="0" w:line="216" w:lineRule="exact"/>
        <w:rPr>
          <w:rFonts w:ascii="Times New Roman" w:cs="Times New Roman" w:eastAsia="Times New Roman" w:hAnsi="Times New Roman"/>
          <w:sz w:val="22"/>
          <w:szCs w:val="22"/>
          <w:color w:val="auto"/>
        </w:rPr>
      </w:pPr>
    </w:p>
    <w:p>
      <w:pPr>
        <w:jc w:val="both"/>
        <w:ind w:left="3" w:firstLine="745"/>
        <w:spacing w:after="0" w:line="247" w:lineRule="auto"/>
        <w:tabs>
          <w:tab w:leader="none" w:pos="1112"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forty (40) days after the end of each quarter,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 which, for purposes of clarification, shall</w:t>
      </w:r>
    </w:p>
    <w:p>
      <w:pPr>
        <w:spacing w:after="0" w:line="1" w:lineRule="exact"/>
        <w:rPr>
          <w:rFonts w:ascii="Times New Roman" w:cs="Times New Roman" w:eastAsia="Times New Roman" w:hAnsi="Times New Roman"/>
          <w:sz w:val="21"/>
          <w:szCs w:val="21"/>
          <w:color w:val="auto"/>
        </w:rPr>
      </w:pPr>
    </w:p>
    <w:p>
      <w:pPr>
        <w:jc w:val="both"/>
        <w:ind w:left="3" w:hanging="3"/>
        <w:spacing w:after="0" w:line="243" w:lineRule="auto"/>
        <w:tabs>
          <w:tab w:leader="none" w:pos="26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confirm the Obligors’ compliance with Section 8.11, Section 8.15(a) and Section 8.15(b) and (B) confirm that no Default or Event of Default is continuing (and if a Default or Event of Default has occurred and is continuing state the proposed actions that the Obligors intend to take in connection with such Default or Event of Default), and (ii) for each quarter end that coincides with the end of a fiscal year of the Obligors, (A) provide a copy of any new Material Agreement, except as publicly disclosed by the Borrower as a Publicly Reporting Company, (B) state that the representations and warranties made by the Obligors in Article 7 are true in all material respects on and as of the date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any representation and warranty that is qualified as to “materiality”, “Material Adverse Effect” or similar language shall be true and correct (after giving effect to any qualification therein) in all respects and (C) provide updated Schedules (if any) to this Agreement;</w:t>
      </w:r>
    </w:p>
    <w:p>
      <w:pPr>
        <w:spacing w:after="0" w:line="203" w:lineRule="exact"/>
        <w:rPr>
          <w:rFonts w:ascii="Times New Roman" w:cs="Times New Roman" w:eastAsia="Times New Roman" w:hAnsi="Times New Roman"/>
          <w:sz w:val="21"/>
          <w:szCs w:val="21"/>
          <w:color w:val="auto"/>
        </w:rPr>
      </w:pPr>
    </w:p>
    <w:p>
      <w:pPr>
        <w:jc w:val="both"/>
        <w:ind w:left="3" w:firstLine="745"/>
        <w:spacing w:after="0" w:line="239" w:lineRule="auto"/>
        <w:tabs>
          <w:tab w:leader="none" w:pos="1138"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end of each month a Compliance Certificate of a Responsible Officer of the Borrower as of the end of the month which, for purposes of clarification, shall confirm the Obligors’ compliance with Section 8.15(a), which may include statements showing the current balance of each account of the Obligors holding Unrestricted Cash necessary to establish compliance with Section 8.15(a);</w:t>
      </w:r>
    </w:p>
    <w:p>
      <w:pPr>
        <w:spacing w:after="0" w:line="207"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1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(5) Business Days after receipt thereof by an Obligor thereof, copies of each notice or other correspondence received from any securities regulator or exchange to the authority of which an Obligor is subject concerning any investigation</w:t>
      </w:r>
    </w:p>
    <w:p>
      <w:pPr>
        <w:spacing w:after="0" w:line="210"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493395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7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1"/>
          <w:szCs w:val="21"/>
          <w:color w:val="auto"/>
        </w:rPr>
        <w:t>or possible investigation or other inquiry by such agency regarding financial or other operational results of such Obligor;</w:t>
      </w:r>
    </w:p>
    <w:p>
      <w:pPr>
        <w:spacing w:after="0" w:line="245" w:lineRule="exact"/>
        <w:rPr>
          <w:sz w:val="20"/>
          <w:szCs w:val="20"/>
          <w:color w:val="auto"/>
        </w:rPr>
      </w:pPr>
    </w:p>
    <w:p>
      <w:pPr>
        <w:ind w:left="1100" w:hanging="355"/>
        <w:spacing w:after="0"/>
        <w:tabs>
          <w:tab w:leader="none" w:pos="11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regarding insurance maintained by Obligors as and when required under Section 8.05;</w:t>
      </w:r>
    </w:p>
    <w:p>
      <w:pPr>
        <w:spacing w:after="0" w:line="233" w:lineRule="exact"/>
        <w:rPr>
          <w:rFonts w:ascii="Times New Roman" w:cs="Times New Roman" w:eastAsia="Times New Roman" w:hAnsi="Times New Roman"/>
          <w:sz w:val="22"/>
          <w:szCs w:val="22"/>
          <w:color w:val="auto"/>
        </w:rPr>
      </w:pPr>
    </w:p>
    <w:p>
      <w:pPr>
        <w:ind w:right="480" w:firstLine="745"/>
        <w:spacing w:after="0" w:line="244" w:lineRule="auto"/>
        <w:tabs>
          <w:tab w:leader="none" w:pos="110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spacing w:after="0" w:line="213" w:lineRule="exact"/>
        <w:rPr>
          <w:rFonts w:ascii="Times New Roman" w:cs="Times New Roman" w:eastAsia="Times New Roman" w:hAnsi="Times New Roman"/>
          <w:sz w:val="22"/>
          <w:szCs w:val="22"/>
          <w:color w:val="auto"/>
        </w:rPr>
      </w:pPr>
    </w:p>
    <w:p>
      <w:pPr>
        <w:jc w:val="both"/>
        <w:ind w:firstLine="745"/>
        <w:spacing w:after="0" w:line="251" w:lineRule="exact"/>
        <w:tabs>
          <w:tab w:leader="none" w:pos="116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ten (10) days of delivery, copies of all periodic reports distributed by the Borrower to its shareholders generally;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any such material may be redacted by the Borrower to exclude information relating to the Loan Documents or the Lenders and (ii) the Lenders shall not be entitled to receive statements, reports and notices relating to topics that (A) are subject to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client privilege or (B) present a conflict of interest for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Borrower is subject to the public reporting requirements of the Exchange Act, the Borrower’s filing of any such material with the SEC shall be deemed to satisfy the requirements of this Section 8.01(g) on the date on which such report is first available via the SEC’s EDGAR system or a successor system related thereto;</w:t>
      </w:r>
    </w:p>
    <w:p>
      <w:pPr>
        <w:spacing w:after="0" w:line="203" w:lineRule="exact"/>
        <w:rPr>
          <w:rFonts w:ascii="Times New Roman" w:cs="Times New Roman" w:eastAsia="Times New Roman" w:hAnsi="Times New Roman"/>
          <w:sz w:val="21"/>
          <w:szCs w:val="21"/>
          <w:color w:val="auto"/>
        </w:rPr>
      </w:pPr>
    </w:p>
    <w:p>
      <w:pPr>
        <w:jc w:val="both"/>
        <w:ind w:firstLine="745"/>
        <w:spacing w:after="0" w:line="239" w:lineRule="auto"/>
        <w:tabs>
          <w:tab w:leader="none" w:pos="113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to the extent requested by the Administrative Agent, a financial forecast for the Borrower and its Subsidiaries for each fiscal year, including forecasted balance sheets, statements of income and cash flows of the Borrower and its Subsidiaries (the “</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all of which shall be prepared on a consolidated basis and delivered not later than February 28 of such fiscal year;</w:t>
      </w:r>
    </w:p>
    <w:p>
      <w:pPr>
        <w:spacing w:after="0" w:line="220" w:lineRule="exact"/>
        <w:rPr>
          <w:rFonts w:ascii="Times New Roman" w:cs="Times New Roman" w:eastAsia="Times New Roman" w:hAnsi="Times New Roman"/>
          <w:sz w:val="22"/>
          <w:szCs w:val="22"/>
          <w:color w:val="auto"/>
        </w:rPr>
      </w:pPr>
    </w:p>
    <w:p>
      <w:pPr>
        <w:jc w:val="both"/>
        <w:ind w:firstLine="745"/>
        <w:spacing w:after="0" w:line="239" w:lineRule="auto"/>
        <w:tabs>
          <w:tab w:leader="none" w:pos="110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following any Lender’s written request, certification that such Obligor is not a passive foreign investment company (</w:t>
      </w:r>
      <w:r>
        <w:rPr>
          <w:rFonts w:ascii="Times New Roman" w:cs="Times New Roman" w:eastAsia="Times New Roman" w:hAnsi="Times New Roman"/>
          <w:sz w:val="22"/>
          <w:szCs w:val="22"/>
          <w:i w:val="1"/>
          <w:iCs w:val="1"/>
          <w:color w:val="auto"/>
        </w:rPr>
        <w:t>“PFIC”</w:t>
      </w:r>
      <w:r>
        <w:rPr>
          <w:rFonts w:ascii="Times New Roman" w:cs="Times New Roman" w:eastAsia="Times New Roman" w:hAnsi="Times New Roman"/>
          <w:sz w:val="22"/>
          <w:szCs w:val="22"/>
          <w:color w:val="auto"/>
        </w:rPr>
        <w:t>) within the meaning of Sections 1291 through 1297 of the Code, or, if such Obligor determines that it is a PFIC, such information as would allow the Lender to make a qualified electing fund election with respect to the Equity Interest of the Obligor;</w:t>
      </w:r>
    </w:p>
    <w:p>
      <w:pPr>
        <w:spacing w:after="0" w:line="220" w:lineRule="exact"/>
        <w:rPr>
          <w:rFonts w:ascii="Times New Roman" w:cs="Times New Roman" w:eastAsia="Times New Roman" w:hAnsi="Times New Roman"/>
          <w:sz w:val="22"/>
          <w:szCs w:val="22"/>
          <w:color w:val="auto"/>
        </w:rPr>
      </w:pPr>
    </w:p>
    <w:p>
      <w:pPr>
        <w:ind w:firstLine="745"/>
        <w:spacing w:after="0" w:line="258" w:lineRule="auto"/>
        <w:tabs>
          <w:tab w:leader="none" w:pos="112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respecting the operations, properties, business or condition (financial or otherwise) of the Obligors (including with respect to the Collateral) as the Lenders may from time to time reasonably request; and</w:t>
      </w:r>
    </w:p>
    <w:p>
      <w:pPr>
        <w:spacing w:after="0" w:line="185" w:lineRule="exact"/>
        <w:rPr>
          <w:rFonts w:ascii="Times New Roman" w:cs="Times New Roman" w:eastAsia="Times New Roman" w:hAnsi="Times New Roman"/>
          <w:sz w:val="22"/>
          <w:szCs w:val="22"/>
          <w:color w:val="auto"/>
        </w:rPr>
      </w:pPr>
    </w:p>
    <w:p>
      <w:pPr>
        <w:jc w:val="both"/>
        <w:ind w:firstLine="745"/>
        <w:spacing w:after="0" w:line="235" w:lineRule="auto"/>
        <w:tabs>
          <w:tab w:leader="none" w:pos="110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Borrower is a Publicly Reporting Company, the Borrower shall within five (5) Business Days of the Borrower’s filing, provide access (via posting and/or links on the Borrower’s website) to all reports filed with the SEC, any Governmental Authority succeeding to any or all of the functions of the SEC or with any national securities exchange; and within five (5) Business Days of filing, provide notice and access (via posting and/or links on the Borrower’s website) to all reports filed with the SEC, and copies of (or access to, via posting and/or links on the Borrower’s website) all other reports, proxy statements and other materials filed by the Borrower with the SEC, any Governmental Authority succeeding to any of the functions of the SEC or with any national securities exchange.</w:t>
      </w:r>
    </w:p>
    <w:p>
      <w:pPr>
        <w:spacing w:after="0" w:line="2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493395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76" w:right="339" w:bottom="1440" w:gutter="0" w:footer="0" w:header="0"/>
        </w:sectPr>
      </w:pPr>
    </w:p>
    <w:bookmarkStart w:id="113" w:name="page114"/>
    <w:bookmarkEnd w:id="113"/>
    <w:p>
      <w:pPr>
        <w:jc w:val="both"/>
        <w:ind w:firstLine="387"/>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8.02. Notices of Material Events. </w:t>
      </w:r>
      <w:r>
        <w:rPr>
          <w:rFonts w:ascii="Times New Roman" w:cs="Times New Roman" w:eastAsia="Times New Roman" w:hAnsi="Times New Roman"/>
          <w:sz w:val="22"/>
          <w:szCs w:val="22"/>
          <w:color w:val="auto"/>
        </w:rPr>
        <w:t>It will furnish to the Administrative Agent for distribution to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written notice of the following promptly after a Responsible Officer of the Borrower and its Subsidiaries first learns of the existence of:</w:t>
      </w:r>
    </w:p>
    <w:p>
      <w:pPr>
        <w:spacing w:after="0" w:line="198" w:lineRule="exact"/>
        <w:rPr>
          <w:sz w:val="20"/>
          <w:szCs w:val="20"/>
          <w:color w:val="auto"/>
        </w:rPr>
      </w:pPr>
    </w:p>
    <w:p>
      <w:pPr>
        <w:ind w:left="1860" w:hanging="355"/>
        <w:spacing w:after="0"/>
        <w:tabs>
          <w:tab w:leader="none" w:pos="18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 or Event of Default;</w:t>
      </w:r>
    </w:p>
    <w:p>
      <w:pPr>
        <w:spacing w:after="0" w:line="246" w:lineRule="exact"/>
        <w:rPr>
          <w:rFonts w:ascii="Times New Roman" w:cs="Times New Roman" w:eastAsia="Times New Roman" w:hAnsi="Times New Roman"/>
          <w:sz w:val="22"/>
          <w:szCs w:val="22"/>
          <w:color w:val="auto"/>
        </w:rPr>
      </w:pPr>
    </w:p>
    <w:p>
      <w:pPr>
        <w:ind w:left="760" w:firstLine="745"/>
        <w:spacing w:after="0" w:line="258" w:lineRule="auto"/>
        <w:tabs>
          <w:tab w:leader="none" w:pos="188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with respect to any Obligor’s Property resulting in a Loss, to the extent not covered by insurance, aggregating $500,000 or more;</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3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proposed Acquisition by any Obligor that would reasonably be expected to result in environmental liability under Environmental Laws in excess of $500,000, and (ii) in each case, to the extent that any of the following would reasonably be expected to result in liability in excess of $500,000: (A) any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spacing w:after="0" w:line="205" w:lineRule="exact"/>
        <w:rPr>
          <w:rFonts w:ascii="Times New Roman" w:cs="Times New Roman" w:eastAsia="Times New Roman" w:hAnsi="Times New Roman"/>
          <w:sz w:val="22"/>
          <w:szCs w:val="22"/>
          <w:color w:val="auto"/>
        </w:rPr>
      </w:pPr>
    </w:p>
    <w:p>
      <w:pPr>
        <w:jc w:val="both"/>
        <w:ind w:left="760" w:firstLine="745"/>
        <w:spacing w:after="0" w:line="251" w:lineRule="exact"/>
        <w:tabs>
          <w:tab w:leader="none" w:pos="186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assertion of any environmental matter by any Person in writing against, or with respect to the activities of, any Obligor or any of its Subsidiaries and any alleged violation of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any Environmental Laws or any Permits, licenses or authorizations by any Obligor or any of its Subsidiaries, in each case, which would reasonably be expected to involve damages in excess of $500,000 other than any environmental matter or alleged violation that, if adversely determined, would not reasonably be expected to result (either individually or in the aggregate) in a Material Adverse Effect;</w:t>
      </w:r>
    </w:p>
    <w:p>
      <w:pPr>
        <w:spacing w:after="0" w:line="22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88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spacing w:after="0" w:line="20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88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(i) the termination of any Material Agreement;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or (iv) any amendment to a Material Agreement that would be materially adverse to the Lenders (and a copy thereof) (which includes, but is not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114" w:name="page115"/>
    <w:bookmarkEnd w:id="114"/>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limited to, any amendments to provisions relating to pricing and term);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notices required under this subsection (g) may be delivered with the quarterly Compliance Certificate unless any of the foregoing events would reasonably be expected to have a Material Adverse Effect;</w:t>
      </w:r>
    </w:p>
    <w:p>
      <w:pPr>
        <w:spacing w:after="0" w:line="198" w:lineRule="exact"/>
        <w:rPr>
          <w:sz w:val="20"/>
          <w:szCs w:val="20"/>
          <w:color w:val="auto"/>
        </w:rPr>
      </w:pPr>
    </w:p>
    <w:p>
      <w:pPr>
        <w:jc w:val="both"/>
        <w:ind w:firstLine="745"/>
        <w:spacing w:after="0" w:line="239" w:lineRule="auto"/>
        <w:tabs>
          <w:tab w:leader="none" w:pos="114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product recalls, seizures, safety alerts, corrections, withdrawals, marketing suspensions, import alert or detention, removals or the like conducted, to be undertaken or issued by any Obligor or any of its Subsidiaries, whether or not at the request, demand or order of any Governmental Authority or otherwise with respect to any Product;</w:t>
      </w:r>
    </w:p>
    <w:p>
      <w:pPr>
        <w:spacing w:after="0" w:line="220" w:lineRule="exact"/>
        <w:rPr>
          <w:rFonts w:ascii="Times New Roman" w:cs="Times New Roman" w:eastAsia="Times New Roman" w:hAnsi="Times New Roman"/>
          <w:sz w:val="22"/>
          <w:szCs w:val="22"/>
          <w:color w:val="auto"/>
        </w:rPr>
      </w:pPr>
    </w:p>
    <w:p>
      <w:pPr>
        <w:jc w:val="both"/>
        <w:ind w:firstLine="745"/>
        <w:spacing w:after="0" w:line="244" w:lineRule="auto"/>
        <w:tabs>
          <w:tab w:leader="none" w:pos="112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infringement or other violation by any Person of any Obligor Intellectual Property that would reasonably be expected to result in a Material Adverse Effect;</w:t>
      </w:r>
    </w:p>
    <w:p>
      <w:pPr>
        <w:spacing w:after="0" w:line="213" w:lineRule="exact"/>
        <w:rPr>
          <w:rFonts w:ascii="Times New Roman" w:cs="Times New Roman" w:eastAsia="Times New Roman" w:hAnsi="Times New Roman"/>
          <w:sz w:val="22"/>
          <w:szCs w:val="22"/>
          <w:color w:val="auto"/>
        </w:rPr>
      </w:pPr>
    </w:p>
    <w:p>
      <w:pPr>
        <w:jc w:val="both"/>
        <w:ind w:firstLine="745"/>
        <w:spacing w:after="0" w:line="244" w:lineRule="auto"/>
        <w:tabs>
          <w:tab w:leader="none" w:pos="112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 licensing agreement or arrangement entered into by any Obligor or any of its Subsidiaries in connection with any infringement or alleged infringement of the Intellectual Property of another Person;</w:t>
      </w:r>
    </w:p>
    <w:p>
      <w:pPr>
        <w:spacing w:after="0" w:line="200" w:lineRule="exact"/>
        <w:rPr>
          <w:rFonts w:ascii="Times New Roman" w:cs="Times New Roman" w:eastAsia="Times New Roman" w:hAnsi="Times New Roman"/>
          <w:sz w:val="22"/>
          <w:szCs w:val="22"/>
          <w:color w:val="auto"/>
        </w:rPr>
      </w:pPr>
    </w:p>
    <w:p>
      <w:pPr>
        <w:jc w:val="both"/>
        <w:ind w:firstLine="745"/>
        <w:spacing w:after="0" w:line="239" w:lineRule="auto"/>
        <w:tabs>
          <w:tab w:leader="none" w:pos="112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spacing w:after="0" w:line="220" w:lineRule="exact"/>
        <w:rPr>
          <w:rFonts w:ascii="Times New Roman" w:cs="Times New Roman" w:eastAsia="Times New Roman" w:hAnsi="Times New Roman"/>
          <w:sz w:val="22"/>
          <w:szCs w:val="22"/>
          <w:color w:val="auto"/>
        </w:rPr>
      </w:pPr>
    </w:p>
    <w:p>
      <w:pPr>
        <w:ind w:left="1100" w:hanging="355"/>
        <w:spacing w:after="0"/>
        <w:tabs>
          <w:tab w:leader="none" w:pos="11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of reports and notices as and when required by the Security Documents;</w:t>
      </w:r>
    </w:p>
    <w:p>
      <w:pPr>
        <w:spacing w:after="0" w:line="246" w:lineRule="exact"/>
        <w:rPr>
          <w:rFonts w:ascii="Times New Roman" w:cs="Times New Roman" w:eastAsia="Times New Roman" w:hAnsi="Times New Roman"/>
          <w:sz w:val="22"/>
          <w:szCs w:val="22"/>
          <w:color w:val="auto"/>
        </w:rPr>
      </w:pPr>
    </w:p>
    <w:p>
      <w:pPr>
        <w:jc w:val="both"/>
        <w:ind w:firstLine="745"/>
        <w:spacing w:after="0" w:line="244" w:lineRule="auto"/>
        <w:tabs>
          <w:tab w:leader="none" w:pos="110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of the date thereof, or, if earlier, on the date of delivery of any financial statements pursuant to Section 8.01, notice of any material change in accounting policies or financial reporting practices by the Obligors;</w:t>
      </w:r>
    </w:p>
    <w:p>
      <w:pPr>
        <w:spacing w:after="0" w:line="200" w:lineRule="exact"/>
        <w:rPr>
          <w:rFonts w:ascii="Times New Roman" w:cs="Times New Roman" w:eastAsia="Times New Roman" w:hAnsi="Times New Roman"/>
          <w:sz w:val="22"/>
          <w:szCs w:val="22"/>
          <w:color w:val="auto"/>
        </w:rPr>
      </w:pPr>
    </w:p>
    <w:p>
      <w:pPr>
        <w:jc w:val="both"/>
        <w:ind w:firstLine="745"/>
        <w:spacing w:after="0" w:line="244" w:lineRule="auto"/>
        <w:tabs>
          <w:tab w:leader="none" w:pos="113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occurrence thereof, notice of any labor controversy resulting in or threatening to result in any strike, work stoppage, boycott, shutdown or other material labor disruption against or involving an Obligor (or any Subsidiary thereof);</w:t>
      </w:r>
    </w:p>
    <w:p>
      <w:pPr>
        <w:spacing w:after="0" w:line="213" w:lineRule="exact"/>
        <w:rPr>
          <w:rFonts w:ascii="Times New Roman" w:cs="Times New Roman" w:eastAsia="Times New Roman" w:hAnsi="Times New Roman"/>
          <w:sz w:val="22"/>
          <w:szCs w:val="22"/>
          <w:color w:val="auto"/>
        </w:rPr>
      </w:pPr>
    </w:p>
    <w:p>
      <w:pPr>
        <w:ind w:left="1140" w:hanging="395"/>
        <w:spacing w:after="0"/>
        <w:tabs>
          <w:tab w:leader="none" w:pos="11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results in, or would reasonably be expected to result in, a Material Adverse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w:t>
      </w:r>
    </w:p>
    <w:p>
      <w:pPr>
        <w:spacing w:after="0" w:line="222" w:lineRule="exact"/>
        <w:rPr>
          <w:rFonts w:ascii="Times New Roman" w:cs="Times New Roman" w:eastAsia="Times New Roman" w:hAnsi="Times New Roman"/>
          <w:sz w:val="22"/>
          <w:szCs w:val="22"/>
          <w:color w:val="auto"/>
        </w:rPr>
      </w:pPr>
    </w:p>
    <w:p>
      <w:pPr>
        <w:jc w:val="both"/>
        <w:ind w:firstLine="745"/>
        <w:spacing w:after="0" w:line="239" w:lineRule="auto"/>
        <w:tabs>
          <w:tab w:leader="none" w:pos="112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acceleration of the maturity of any Indebtedness owed by any Obligor or of any default by Obligors under any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spacing w:after="0" w:line="207" w:lineRule="exact"/>
        <w:rPr>
          <w:rFonts w:ascii="Times New Roman" w:cs="Times New Roman" w:eastAsia="Times New Roman" w:hAnsi="Times New Roman"/>
          <w:sz w:val="22"/>
          <w:szCs w:val="22"/>
          <w:color w:val="auto"/>
        </w:rPr>
      </w:pPr>
    </w:p>
    <w:p>
      <w:pPr>
        <w:ind w:left="1100" w:hanging="355"/>
        <w:spacing w:after="0"/>
        <w:tabs>
          <w:tab w:leader="none" w:pos="11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or obligations that are not paid in accordance with Section 8.04;</w:t>
      </w:r>
    </w:p>
    <w:p>
      <w:pPr>
        <w:spacing w:after="0" w:line="24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493395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29" w:right="339" w:bottom="1440" w:gutter="0" w:footer="0" w:header="0"/>
        </w:sectPr>
      </w:pPr>
    </w:p>
    <w:bookmarkStart w:id="115" w:name="page116"/>
    <w:bookmarkEnd w:id="115"/>
    <w:p>
      <w:pPr>
        <w:jc w:val="both"/>
        <w:ind w:left="760" w:firstLine="745"/>
        <w:spacing w:after="0" w:line="238" w:lineRule="auto"/>
        <w:tabs>
          <w:tab w:leader="none" w:pos="188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w:t>
      </w:r>
    </w:p>
    <w:p>
      <w:pPr>
        <w:spacing w:after="0" w:line="20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2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to any Obligor’s ownership of Deposit Accounts, Securities Accounts and Commodity Accounts, by delivering to the Lenders an updated Schedule 7 to the Security Agreement setting forth a complete and correct list of all such accounts as of the date of such change;</w:t>
      </w:r>
    </w:p>
    <w:p>
      <w:pPr>
        <w:spacing w:after="0" w:line="21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8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introducing any Product that is subject to regulation by the FDA, or any comparable foreign Governmental Authority, as a medical device; and</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1896"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five (5) Business Days of (i) receipt of any subpoena, civil investigative demand letter, or other notice from any Governmental Authority of any investigation or audit, or pending or threatened (in writing) proceedings relating to any material violation of any Health Care Law, (ii) any loss, suspension or relinquishment of any Product Authorization or other Regulatory Approval, or (iii) any voluntary disclosure to a Governmental Authority of an overpayment amount greater than $500,000 related to an actual or potential violation of Health Care Laws.</w:t>
      </w:r>
    </w:p>
    <w:p>
      <w:pPr>
        <w:spacing w:after="0" w:line="19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spacing w:after="0" w:line="21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 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the Obligors shall at all times comply with Section 8.01(d) and 8.02(a).</w:t>
      </w:r>
    </w:p>
    <w:p>
      <w:pPr>
        <w:spacing w:after="0" w:line="218"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8.03.</w:t>
      </w:r>
      <w:r>
        <w:rPr>
          <w:sz w:val="20"/>
          <w:szCs w:val="20"/>
          <w:color w:val="auto"/>
        </w:rPr>
        <w:tab/>
      </w:r>
      <w:r>
        <w:rPr>
          <w:rFonts w:ascii="Times New Roman" w:cs="Times New Roman" w:eastAsia="Times New Roman" w:hAnsi="Times New Roman"/>
          <w:sz w:val="21"/>
          <w:szCs w:val="21"/>
          <w:i w:val="1"/>
          <w:iCs w:val="1"/>
          <w:color w:val="auto"/>
        </w:rPr>
        <w:t>Existence; Maintenance of Properties, Etc</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760" w:firstLine="745"/>
        <w:spacing w:after="0" w:line="244" w:lineRule="auto"/>
        <w:tabs>
          <w:tab w:leader="none" w:pos="188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will, and will cause each of its Subsidiaries to, do or cause to be done all things necessary to preserve, renew and keep in full force and effect its legal existence;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merger, amalgamation, plan of arrangement, consolidation, liquidation or dissolution permitted under Section 9.03.</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9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and shall cause each of its Subsidiaries to, maintain and preserve all rights, licenses, Permits, privileges and franchises material to the conduct of its business, and maintain and preserve all of its assets and properties, including all Product Assets, necessary to the conduct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16" w:name="page117"/>
    <w:bookmarkEnd w:id="116"/>
    <w:p>
      <w:pPr>
        <w:ind w:left="760"/>
        <w:spacing w:after="0" w:line="258" w:lineRule="auto"/>
        <w:rPr>
          <w:sz w:val="20"/>
          <w:szCs w:val="20"/>
          <w:color w:val="auto"/>
        </w:rPr>
      </w:pPr>
      <w:r>
        <w:rPr>
          <w:rFonts w:ascii="Times New Roman" w:cs="Times New Roman" w:eastAsia="Times New Roman" w:hAnsi="Times New Roman"/>
          <w:sz w:val="22"/>
          <w:szCs w:val="22"/>
          <w:color w:val="auto"/>
        </w:rPr>
        <w:t>of its business in good working order and condition, ordinary wear and tear and damage from casualty or condemnation excepted.</w:t>
      </w:r>
    </w:p>
    <w:p>
      <w:pPr>
        <w:spacing w:after="0" w:line="185" w:lineRule="exact"/>
        <w:rPr>
          <w:sz w:val="20"/>
          <w:szCs w:val="20"/>
          <w:color w:val="auto"/>
        </w:rPr>
      </w:pPr>
    </w:p>
    <w:p>
      <w:pPr>
        <w:jc w:val="both"/>
        <w:ind w:left="760" w:firstLine="745"/>
        <w:spacing w:after="0" w:line="261" w:lineRule="exact"/>
        <w:tabs>
          <w:tab w:leader="none" w:pos="186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and shall cause each of its Subsidiaries to, use commercially reasonable efforts to cause each new employee and contractor to execute and deliver a customary confidentiality,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disclosure, and Intellectual Property assignment agreement that includes a waiver of moral rights.</w:t>
      </w:r>
    </w:p>
    <w:p>
      <w:pPr>
        <w:spacing w:after="0" w:line="214"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8.04. Payment of Obligations. </w:t>
      </w:r>
      <w:r>
        <w:rPr>
          <w:rFonts w:ascii="Times New Roman" w:cs="Times New Roman" w:eastAsia="Times New Roman" w:hAnsi="Times New Roman"/>
          <w:sz w:val="22"/>
          <w:szCs w:val="22"/>
          <w:color w:val="auto"/>
        </w:rPr>
        <w:t>It will, and will cause each of its Subsidiaries to, pay and discharge (a) all federal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spacing w:after="0" w:line="219" w:lineRule="exact"/>
        <w:rPr>
          <w:sz w:val="20"/>
          <w:szCs w:val="20"/>
          <w:color w:val="auto"/>
        </w:rPr>
      </w:pPr>
    </w:p>
    <w:p>
      <w:pPr>
        <w:jc w:val="both"/>
        <w:ind w:firstLine="387"/>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Section 8.05. Insurance. </w:t>
      </w:r>
      <w:r>
        <w:rPr>
          <w:rFonts w:ascii="Times New Roman" w:cs="Times New Roman" w:eastAsia="Times New Roman" w:hAnsi="Times New Roman"/>
          <w:sz w:val="21"/>
          <w:szCs w:val="21"/>
          <w:color w:val="auto"/>
        </w:rPr>
        <w:t>At its own cost and expense, it will, and will cause each of its Subsidiaries, to obtain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w:t>
      </w:r>
    </w:p>
    <w:p>
      <w:pPr>
        <w:spacing w:after="0" w:line="10" w:lineRule="exact"/>
        <w:rPr>
          <w:sz w:val="20"/>
          <w:szCs w:val="20"/>
          <w:color w:val="auto"/>
        </w:rPr>
      </w:pPr>
    </w:p>
    <w:p>
      <w:pPr>
        <w:jc w:val="both"/>
        <w:ind w:firstLine="8"/>
        <w:spacing w:after="0" w:line="232" w:lineRule="auto"/>
        <w:tabs>
          <w:tab w:leader="none" w:pos="33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and at such other times as the Administrative Agent may request from time to time.</w:t>
      </w:r>
    </w:p>
    <w:p>
      <w:pPr>
        <w:spacing w:after="0" w:line="20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8.06. Books and Records; Inspection Rights. </w:t>
      </w:r>
      <w:r>
        <w:rPr>
          <w:rFonts w:ascii="Times New Roman" w:cs="Times New Roman" w:eastAsia="Times New Roman" w:hAnsi="Times New Roman"/>
          <w:sz w:val="22"/>
          <w:szCs w:val="22"/>
          <w:color w:val="auto"/>
        </w:rPr>
        <w:t>It will, and will cause each of its Subsidiaries to, keep proper books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17" w:name="page118"/>
    <w:bookmarkEnd w:id="117"/>
    <w:p>
      <w:pPr>
        <w:jc w:val="both"/>
        <w:spacing w:after="0" w:line="257" w:lineRule="exact"/>
        <w:rPr>
          <w:sz w:val="20"/>
          <w:szCs w:val="20"/>
          <w:color w:val="auto"/>
        </w:rPr>
      </w:pPr>
      <w:r>
        <w:rPr>
          <w:rFonts w:ascii="Times New Roman" w:cs="Times New Roman" w:eastAsia="Times New Roman" w:hAnsi="Times New Roman"/>
          <w:sz w:val="22"/>
          <w:szCs w:val="22"/>
          <w:color w:val="auto"/>
        </w:rPr>
        <w:t>independent accountants, all at such reasonable times during normal business hours and with reasonable advance notice as the Administrative Agent may request. It will, and will cause each of its Subsidiaries to, pay all reasonable and documented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by the Administrative Agent (a) so long as no Default has occurred and is continuing, for no more than two (2) such inspections each calendar year and (b) during a continuing Default, all such inspections.</w:t>
      </w:r>
    </w:p>
    <w:p>
      <w:pPr>
        <w:spacing w:after="0" w:line="200"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8.07.</w:t>
      </w:r>
      <w:r>
        <w:rPr>
          <w:sz w:val="20"/>
          <w:szCs w:val="20"/>
          <w:color w:val="auto"/>
        </w:rPr>
        <w:tab/>
      </w:r>
      <w:r>
        <w:rPr>
          <w:rFonts w:ascii="Times New Roman" w:cs="Times New Roman" w:eastAsia="Times New Roman" w:hAnsi="Times New Roman"/>
          <w:sz w:val="21"/>
          <w:szCs w:val="21"/>
          <w:i w:val="1"/>
          <w:iCs w:val="1"/>
          <w:color w:val="auto"/>
        </w:rPr>
        <w:t>Compliance with Laws.</w:t>
      </w:r>
    </w:p>
    <w:p>
      <w:pPr>
        <w:spacing w:after="0" w:line="251" w:lineRule="exact"/>
        <w:rPr>
          <w:sz w:val="20"/>
          <w:szCs w:val="20"/>
          <w:color w:val="auto"/>
        </w:rPr>
      </w:pPr>
    </w:p>
    <w:p>
      <w:pPr>
        <w:jc w:val="both"/>
        <w:ind w:left="760" w:firstLine="745"/>
        <w:spacing w:after="0" w:line="239" w:lineRule="auto"/>
        <w:tabs>
          <w:tab w:leader="none" w:pos="186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and will cause each of its Subsidiaries to, (i) comply in all material respects with all Requirements of Law (including Health Care Laws and Environmental Laws) and (ii) comply in all material respects with all terms of outstanding Indebtedness and all Material Agreements, except where the failure to do so, individually or in the aggregate, would not reasonably be expected to result in a Material Adverse Effect.</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8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all records required to be maintained by a Governmental Authority or otherwise under any applicable Health Care Law, except where failure to do so, individually or in the aggregate, would not reasonably be expected to have a Material Adverse Effect.</w:t>
      </w:r>
    </w:p>
    <w:p>
      <w:pPr>
        <w:spacing w:after="0" w:line="200" w:lineRule="exact"/>
        <w:rPr>
          <w:rFonts w:ascii="Times New Roman" w:cs="Times New Roman" w:eastAsia="Times New Roman" w:hAnsi="Times New Roman"/>
          <w:sz w:val="22"/>
          <w:szCs w:val="22"/>
          <w:color w:val="auto"/>
        </w:rPr>
      </w:pPr>
    </w:p>
    <w:p>
      <w:pPr>
        <w:ind w:left="760" w:firstLine="745"/>
        <w:spacing w:after="0" w:line="258" w:lineRule="auto"/>
        <w:tabs>
          <w:tab w:leader="none" w:pos="186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a Health Care Compliance Program, which will be reviewed and updated annually, as necessary.</w:t>
      </w:r>
    </w:p>
    <w:p>
      <w:pPr>
        <w:spacing w:after="0" w:line="19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8.08. Licenses. </w:t>
      </w:r>
      <w:r>
        <w:rPr>
          <w:rFonts w:ascii="Times New Roman" w:cs="Times New Roman" w:eastAsia="Times New Roman" w:hAnsi="Times New Roman"/>
          <w:sz w:val="22"/>
          <w:szCs w:val="22"/>
          <w:color w:val="auto"/>
        </w:rPr>
        <w:t>It will, and will cause each of its Subsidiaries to, obtain and maintain all licenses, authorizations,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spacing w:after="0" w:line="217" w:lineRule="exact"/>
        <w:rPr>
          <w:sz w:val="20"/>
          <w:szCs w:val="20"/>
          <w:color w:val="auto"/>
        </w:rPr>
      </w:pPr>
    </w:p>
    <w:p>
      <w:pPr>
        <w:jc w:val="both"/>
        <w:ind w:firstLine="373"/>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8.09. Action under Environmental Laws. </w:t>
      </w:r>
      <w:r>
        <w:rPr>
          <w:rFonts w:ascii="Times New Roman" w:cs="Times New Roman" w:eastAsia="Times New Roman" w:hAnsi="Times New Roman"/>
          <w:sz w:val="21"/>
          <w:szCs w:val="21"/>
          <w:color w:val="auto"/>
        </w:rPr>
        <w:t>It will, and will cause each of its Subsidiaries to, upon a Responsible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 becoming aware of the release of any Hazardous Materials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in each case in material compliance with applicable Environmental Laws.</w:t>
      </w:r>
    </w:p>
    <w:p>
      <w:pPr>
        <w:spacing w:after="0" w:line="19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8.10. Use of Proceeds. </w:t>
      </w:r>
      <w:r>
        <w:rPr>
          <w:rFonts w:ascii="Times New Roman" w:cs="Times New Roman" w:eastAsia="Times New Roman" w:hAnsi="Times New Roman"/>
          <w:sz w:val="22"/>
          <w:szCs w:val="22"/>
          <w:color w:val="auto"/>
        </w:rPr>
        <w:t>The proceeds of the Term Loans will be used only as provided in Section 2.05. No part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proceeds of the Term Loans will be used, whether directly or indirectly, for any purpose that violates any of the Regulations of the Board of Governors of the Federal Reserve System, including Regulations T, U and X.</w:t>
      </w:r>
    </w:p>
    <w:p>
      <w:pPr>
        <w:spacing w:after="0" w:line="208"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8.11.</w:t>
      </w:r>
      <w:r>
        <w:rPr>
          <w:sz w:val="20"/>
          <w:szCs w:val="20"/>
          <w:color w:val="auto"/>
        </w:rPr>
        <w:tab/>
      </w:r>
      <w:r>
        <w:rPr>
          <w:rFonts w:ascii="Times New Roman" w:cs="Times New Roman" w:eastAsia="Times New Roman" w:hAnsi="Times New Roman"/>
          <w:sz w:val="21"/>
          <w:szCs w:val="21"/>
          <w:i w:val="1"/>
          <w:iCs w:val="1"/>
          <w:color w:val="auto"/>
        </w:rPr>
        <w:t>Certain Obligations Respecting Subsidiaries; Further Assurances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Intellectual Property.</w:t>
      </w:r>
    </w:p>
    <w:p>
      <w:pPr>
        <w:spacing w:after="0" w:line="247" w:lineRule="exact"/>
        <w:rPr>
          <w:sz w:val="20"/>
          <w:szCs w:val="20"/>
          <w:color w:val="auto"/>
        </w:rPr>
      </w:pPr>
    </w:p>
    <w:p>
      <w:pPr>
        <w:jc w:val="both"/>
        <w:ind w:left="760" w:firstLine="745"/>
        <w:spacing w:after="0" w:line="246" w:lineRule="auto"/>
        <w:tabs>
          <w:tab w:leader="none" w:pos="186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Subsidiaries. </w:t>
      </w:r>
      <w:r>
        <w:rPr>
          <w:rFonts w:ascii="Times New Roman" w:cs="Times New Roman" w:eastAsia="Times New Roman" w:hAnsi="Times New Roman"/>
          <w:sz w:val="22"/>
          <w:szCs w:val="22"/>
          <w:color w:val="auto"/>
        </w:rPr>
        <w:t>It will take such action, and will cause each of its Subsidiaries to take such action, from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time as shall be necessary to ensure that all Domestic Subsidiaries are “Guarantors” hereunder. Without limiting the generality of the foregoing, in the event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18" w:name="page119"/>
    <w:bookmarkEnd w:id="118"/>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any Obligor shall form or acquire any new Subsidiary, it and its Subsidiaries will promptly and in any event within fifteen (15) days (or such longer time as consented to by the Administrative Agent in writing) of the formation or Acquisition of such Subsidiary:</w:t>
      </w:r>
    </w:p>
    <w:p>
      <w:pPr>
        <w:spacing w:after="0" w:line="133" w:lineRule="exact"/>
        <w:rPr>
          <w:sz w:val="20"/>
          <w:szCs w:val="20"/>
          <w:color w:val="auto"/>
        </w:rPr>
      </w:pPr>
    </w:p>
    <w:p>
      <w:pPr>
        <w:ind w:left="1500" w:firstLine="754"/>
        <w:spacing w:after="0" w:line="258" w:lineRule="auto"/>
        <w:tabs>
          <w:tab w:leader="none" w:pos="260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new Subsidiary to become a “Guarantor” hereunder, and a “Grantor” under the Security Documents, pursuant to a Guarantee Assumption Agreement;</w:t>
      </w:r>
    </w:p>
    <w:p>
      <w:pPr>
        <w:spacing w:after="0" w:line="117"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spacing w:after="0" w:line="154"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0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Administrative Agent, in respect of all outstanding issued shares of such Subsidiary; and</w:t>
      </w:r>
    </w:p>
    <w:p>
      <w:pPr>
        <w:spacing w:after="0" w:line="139"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4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such proof of corporate action, incumbency of officers, opinions of counsel and other documents as is consistent with those delivered by each Obligor pursuant to Section 6.01 or as the Majority Lenders shall have requested;</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solely with respect to AVITA Japan, no such actions shall be required other than a pledge by Avita Americas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100% of the Equity Interests of AVITA Japan, which pledge shall not be required to be perfected under the Law of AVITA Japan’s jurisdiction of 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(x) AVITA Japan’s total assets exceed 4% of the consolidated total assets of the Borrower or (y) the aggregate amount of the Net Revenue of AVITA Japan exceeds 4% of the Net Revenue of the Borrower and its Subsidiaries, AVITA Japan shall, at the request of the Administrative Agent, promptly comply with clauses (a)(i)-(iv) hereof.</w:t>
      </w:r>
    </w:p>
    <w:p>
      <w:pPr>
        <w:spacing w:after="0" w:line="148" w:lineRule="exact"/>
        <w:rPr>
          <w:sz w:val="20"/>
          <w:szCs w:val="20"/>
          <w:color w:val="auto"/>
        </w:rPr>
      </w:pPr>
    </w:p>
    <w:p>
      <w:pPr>
        <w:jc w:val="both"/>
        <w:ind w:left="760" w:firstLine="745"/>
        <w:spacing w:after="0" w:line="235" w:lineRule="auto"/>
        <w:tabs>
          <w:tab w:leader="none" w:pos="186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Further Assurances. </w:t>
      </w:r>
      <w:r>
        <w:rPr>
          <w:rFonts w:ascii="Times New Roman" w:cs="Times New Roman" w:eastAsia="Times New Roman" w:hAnsi="Times New Roman"/>
          <w:sz w:val="22"/>
          <w:szCs w:val="22"/>
          <w:color w:val="auto"/>
        </w:rPr>
        <w:t>It will, and will cause each of its Subsidiaries to, take such action from time to time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Administrative Agent, perfected security interests and Liens (subject to Permitted Liens) in substantially all of the personal Property of such Obligor as collateral security for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security interest or Lien shall be subject to the relevant requirements of the Security Documents.</w:t>
      </w:r>
    </w:p>
    <w:p>
      <w:pPr>
        <w:spacing w:after="0" w:line="137"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0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In the event that any Obligor creates, develops or acquires Obligor Intellectual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19" w:name="page120"/>
    <w:bookmarkEnd w:id="119"/>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p>
    <w:p>
      <w:pPr>
        <w:spacing w:after="0" w:line="120" w:lineRule="exact"/>
        <w:rPr>
          <w:sz w:val="20"/>
          <w:szCs w:val="20"/>
          <w:color w:val="auto"/>
        </w:rPr>
      </w:pPr>
    </w:p>
    <w:p>
      <w:pPr>
        <w:jc w:val="both"/>
        <w:ind w:firstLine="360"/>
        <w:spacing w:after="0" w:line="265" w:lineRule="exact"/>
        <w:rPr>
          <w:sz w:val="20"/>
          <w:szCs w:val="20"/>
          <w:color w:val="auto"/>
        </w:rPr>
      </w:pPr>
      <w:r>
        <w:rPr>
          <w:rFonts w:ascii="Times New Roman" w:cs="Times New Roman" w:eastAsia="Times New Roman" w:hAnsi="Times New Roman"/>
          <w:sz w:val="22"/>
          <w:szCs w:val="22"/>
          <w:i w:val="1"/>
          <w:iCs w:val="1"/>
          <w:color w:val="auto"/>
        </w:rPr>
        <w:t>Section 8.12. Termination of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In the event that any Responsible Officer of any Obligor shall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aware or be notified by the Lenders of the existence of any outstanding Lien against any Property of any Obligor or any of its Subsidiaries, which Lien is not a Permitted Lien, such Obligor shall use its best efforts to promptly terminate or cause the termination of such Lien.</w:t>
      </w:r>
    </w:p>
    <w:p>
      <w:pPr>
        <w:spacing w:after="0" w:line="103" w:lineRule="exact"/>
        <w:rPr>
          <w:sz w:val="20"/>
          <w:szCs w:val="20"/>
          <w:color w:val="auto"/>
        </w:rPr>
      </w:pPr>
    </w:p>
    <w:p>
      <w:pPr>
        <w:jc w:val="both"/>
        <w:ind w:firstLine="360"/>
        <w:spacing w:after="0" w:line="272" w:lineRule="exact"/>
        <w:rPr>
          <w:sz w:val="20"/>
          <w:szCs w:val="20"/>
          <w:color w:val="auto"/>
        </w:rPr>
      </w:pPr>
      <w:r>
        <w:rPr>
          <w:rFonts w:ascii="Times New Roman" w:cs="Times New Roman" w:eastAsia="Times New Roman" w:hAnsi="Times New Roman"/>
          <w:sz w:val="22"/>
          <w:szCs w:val="22"/>
          <w:i w:val="1"/>
          <w:iCs w:val="1"/>
          <w:color w:val="auto"/>
        </w:rPr>
        <w:t>Section 8.13.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Consolidation</w:t>
      </w:r>
      <w:r>
        <w:rPr>
          <w:rFonts w:ascii="Times New Roman" w:cs="Times New Roman" w:eastAsia="Times New Roman" w:hAnsi="Times New Roman"/>
          <w:sz w:val="22"/>
          <w:szCs w:val="22"/>
          <w:color w:val="auto"/>
        </w:rPr>
        <w:t>. It will, and will cause each of its Subsidiaries to, (a) maintain entity records and books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account separate from those of any other entity which is an Affiliate of such entity; and (b) not commingle its funds or assets with those of any other entity which is an Affiliate of such entity.</w:t>
      </w:r>
    </w:p>
    <w:p>
      <w:pPr>
        <w:spacing w:after="0" w:line="102" w:lineRule="exact"/>
        <w:rPr>
          <w:sz w:val="20"/>
          <w:szCs w:val="20"/>
          <w:color w:val="auto"/>
        </w:rPr>
      </w:pPr>
    </w:p>
    <w:p>
      <w:pPr>
        <w:jc w:val="both"/>
        <w:ind w:firstLine="387"/>
        <w:spacing w:after="0" w:line="258" w:lineRule="exact"/>
        <w:rPr>
          <w:sz w:val="20"/>
          <w:szCs w:val="20"/>
          <w:color w:val="auto"/>
        </w:rPr>
      </w:pPr>
      <w:r>
        <w:rPr>
          <w:rFonts w:ascii="Times New Roman" w:cs="Times New Roman" w:eastAsia="Times New Roman" w:hAnsi="Times New Roman"/>
          <w:sz w:val="22"/>
          <w:szCs w:val="22"/>
          <w:i w:val="1"/>
          <w:iCs w:val="1"/>
          <w:color w:val="auto"/>
        </w:rPr>
        <w:t>Section 8.14.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Terrorism and Anti</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Corruption Laws</w:t>
      </w:r>
      <w:r>
        <w:rPr>
          <w:rFonts w:ascii="Times New Roman" w:cs="Times New Roman" w:eastAsia="Times New Roman" w:hAnsi="Times New Roman"/>
          <w:sz w:val="22"/>
          <w:szCs w:val="22"/>
          <w:color w:val="auto"/>
        </w:rPr>
        <w:t>. No Obligor nor any of its Subsidiaries shall engage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that violates any of the applicable prohibitions set forth in any Economic Sanctions Law,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Terrorism Law, or the </w:t>
      </w:r>
      <w:r>
        <w:rPr>
          <w:rFonts w:ascii="Times New Roman" w:cs="Times New Roman" w:eastAsia="Times New Roman" w:hAnsi="Times New Roman"/>
          <w:sz w:val="22"/>
          <w:szCs w:val="22"/>
          <w:i w:val="1"/>
          <w:iCs w:val="1"/>
          <w:color w:val="auto"/>
        </w:rPr>
        <w:t xml:space="preserve">US Foreign Corrupt Practices Act of 1977 </w:t>
      </w:r>
      <w:r>
        <w:rPr>
          <w:rFonts w:ascii="Times New Roman" w:cs="Times New Roman" w:eastAsia="Times New Roman" w:hAnsi="Times New Roman"/>
          <w:sz w:val="22"/>
          <w:szCs w:val="22"/>
          <w:color w:val="auto"/>
        </w:rPr>
        <w:t>(15 USC. §§ 78dd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None of the funds or assets of such Obligor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any Obligor or any of its Subsidiaries insofar as such interest would violate any Economic Sanctions Laws applicable to such Obligor or such Subsidiary.</w:t>
      </w:r>
    </w:p>
    <w:p>
      <w:pPr>
        <w:spacing w:after="0" w:line="146"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8.15.</w:t>
      </w:r>
      <w:r>
        <w:rPr>
          <w:sz w:val="20"/>
          <w:szCs w:val="20"/>
          <w:color w:val="auto"/>
        </w:rPr>
        <w:tab/>
      </w:r>
      <w:r>
        <w:rPr>
          <w:rFonts w:ascii="Times New Roman" w:cs="Times New Roman" w:eastAsia="Times New Roman" w:hAnsi="Times New Roman"/>
          <w:sz w:val="21"/>
          <w:szCs w:val="21"/>
          <w:i w:val="1"/>
          <w:iCs w:val="1"/>
          <w:color w:val="auto"/>
        </w:rPr>
        <w:t>Financial Covenants</w:t>
      </w:r>
    </w:p>
    <w:p>
      <w:pPr>
        <w:spacing w:after="0" w:line="166" w:lineRule="exact"/>
        <w:rPr>
          <w:sz w:val="20"/>
          <w:szCs w:val="20"/>
          <w:color w:val="auto"/>
        </w:rPr>
      </w:pPr>
    </w:p>
    <w:p>
      <w:pPr>
        <w:ind w:left="760" w:firstLine="745"/>
        <w:spacing w:after="0" w:line="262" w:lineRule="auto"/>
        <w:tabs>
          <w:tab w:leader="none" w:pos="186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Liquidity</w:t>
      </w:r>
      <w:r>
        <w:rPr>
          <w:rFonts w:ascii="Times New Roman" w:cs="Times New Roman" w:eastAsia="Times New Roman" w:hAnsi="Times New Roman"/>
          <w:sz w:val="22"/>
          <w:szCs w:val="22"/>
          <w:color w:val="auto"/>
        </w:rPr>
        <w:t>. The Borrower shall ensure that the Obligors shall have aggregate Unrestricted Cash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less than $5,000,000 at all times.</w:t>
      </w:r>
    </w:p>
    <w:p>
      <w:pPr>
        <w:spacing w:after="0" w:line="109"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88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Net Revenue</w:t>
      </w:r>
      <w:r>
        <w:rPr>
          <w:rFonts w:ascii="Times New Roman" w:cs="Times New Roman" w:eastAsia="Times New Roman" w:hAnsi="Times New Roman"/>
          <w:sz w:val="22"/>
          <w:szCs w:val="22"/>
          <w:color w:val="auto"/>
        </w:rPr>
        <w:t>. As of the end of the fiscal quarter ended March 31, 2026, and each fiscal quarter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thereafter, the Obligors shall maintain, on a consolidated basis, Net Revenue for the twelve (12) month period most recently ended on such date of not less than the amount set forth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8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welve</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onth</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eriod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nded</w:t>
            </w:r>
          </w:p>
        </w:tc>
        <w:tc>
          <w:tcPr>
            <w:tcW w:w="6060" w:type="dxa"/>
            <w:vAlign w:val="bottom"/>
          </w:tcPr>
          <w:p>
            <w:pPr>
              <w:jc w:val="center"/>
              <w:ind w:right="1715"/>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et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evenue</w:t>
            </w:r>
          </w:p>
        </w:tc>
      </w:tr>
      <w:tr>
        <w:trPr>
          <w:trHeight w:val="500"/>
        </w:trPr>
        <w:tc>
          <w:tcPr>
            <w:tcW w:w="518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8"/>
              </w:rPr>
              <w:t>March 31, 2026</w:t>
            </w:r>
          </w:p>
        </w:tc>
        <w:tc>
          <w:tcPr>
            <w:tcW w:w="6060" w:type="dxa"/>
            <w:vAlign w:val="bottom"/>
          </w:tcPr>
          <w:p>
            <w:pPr>
              <w:jc w:val="center"/>
              <w:ind w:right="1675"/>
              <w:spacing w:after="0"/>
              <w:rPr>
                <w:sz w:val="20"/>
                <w:szCs w:val="20"/>
                <w:color w:val="auto"/>
              </w:rPr>
            </w:pPr>
            <w:r>
              <w:rPr>
                <w:rFonts w:ascii="Times New Roman" w:cs="Times New Roman" w:eastAsia="Times New Roman" w:hAnsi="Times New Roman"/>
                <w:sz w:val="22"/>
                <w:szCs w:val="22"/>
                <w:color w:val="auto"/>
                <w:w w:val="98"/>
              </w:rPr>
              <w:t>$68,500,000</w:t>
            </w:r>
          </w:p>
        </w:tc>
      </w:tr>
      <w:tr>
        <w:trPr>
          <w:trHeight w:val="500"/>
        </w:trPr>
        <w:tc>
          <w:tcPr>
            <w:tcW w:w="518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9"/>
              </w:rPr>
              <w:t>June 30, 2026</w:t>
            </w:r>
          </w:p>
        </w:tc>
        <w:tc>
          <w:tcPr>
            <w:tcW w:w="6060" w:type="dxa"/>
            <w:vAlign w:val="bottom"/>
          </w:tcPr>
          <w:p>
            <w:pPr>
              <w:jc w:val="center"/>
              <w:ind w:right="1675"/>
              <w:spacing w:after="0"/>
              <w:rPr>
                <w:sz w:val="20"/>
                <w:szCs w:val="20"/>
                <w:color w:val="auto"/>
              </w:rPr>
            </w:pPr>
            <w:r>
              <w:rPr>
                <w:rFonts w:ascii="Times New Roman" w:cs="Times New Roman" w:eastAsia="Times New Roman" w:hAnsi="Times New Roman"/>
                <w:sz w:val="22"/>
                <w:szCs w:val="22"/>
                <w:color w:val="auto"/>
                <w:w w:val="98"/>
              </w:rPr>
              <w:t>$69,000,000</w:t>
            </w:r>
          </w:p>
        </w:tc>
      </w:tr>
      <w:tr>
        <w:trPr>
          <w:trHeight w:val="500"/>
        </w:trPr>
        <w:tc>
          <w:tcPr>
            <w:tcW w:w="518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8"/>
              </w:rPr>
              <w:t>September 30, 2026</w:t>
            </w:r>
          </w:p>
        </w:tc>
        <w:tc>
          <w:tcPr>
            <w:tcW w:w="6060" w:type="dxa"/>
            <w:vAlign w:val="bottom"/>
          </w:tcPr>
          <w:p>
            <w:pPr>
              <w:jc w:val="center"/>
              <w:ind w:right="1675"/>
              <w:spacing w:after="0"/>
              <w:rPr>
                <w:sz w:val="20"/>
                <w:szCs w:val="20"/>
                <w:color w:val="auto"/>
              </w:rPr>
            </w:pPr>
            <w:r>
              <w:rPr>
                <w:rFonts w:ascii="Times New Roman" w:cs="Times New Roman" w:eastAsia="Times New Roman" w:hAnsi="Times New Roman"/>
                <w:sz w:val="22"/>
                <w:szCs w:val="22"/>
                <w:color w:val="auto"/>
                <w:w w:val="98"/>
              </w:rPr>
              <w:t>$70,800,000</w:t>
            </w:r>
          </w:p>
        </w:tc>
      </w:tr>
      <w:tr>
        <w:trPr>
          <w:trHeight w:val="499"/>
        </w:trPr>
        <w:tc>
          <w:tcPr>
            <w:tcW w:w="518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8"/>
              </w:rPr>
              <w:t>December 31, 2026</w:t>
            </w:r>
          </w:p>
        </w:tc>
        <w:tc>
          <w:tcPr>
            <w:tcW w:w="6060" w:type="dxa"/>
            <w:vAlign w:val="bottom"/>
          </w:tcPr>
          <w:p>
            <w:pPr>
              <w:jc w:val="center"/>
              <w:ind w:right="1675"/>
              <w:spacing w:after="0"/>
              <w:rPr>
                <w:sz w:val="20"/>
                <w:szCs w:val="20"/>
                <w:color w:val="auto"/>
              </w:rPr>
            </w:pPr>
            <w:r>
              <w:rPr>
                <w:rFonts w:ascii="Times New Roman" w:cs="Times New Roman" w:eastAsia="Times New Roman" w:hAnsi="Times New Roman"/>
                <w:sz w:val="22"/>
                <w:szCs w:val="22"/>
                <w:color w:val="auto"/>
                <w:w w:val="98"/>
              </w:rPr>
              <w:t>$73,000,000</w:t>
            </w:r>
          </w:p>
        </w:tc>
      </w:tr>
      <w:tr>
        <w:trPr>
          <w:trHeight w:val="500"/>
        </w:trPr>
        <w:tc>
          <w:tcPr>
            <w:tcW w:w="5180" w:type="dxa"/>
            <w:vAlign w:val="bottom"/>
          </w:tcPr>
          <w:p>
            <w:pPr>
              <w:jc w:val="center"/>
              <w:ind w:left="1852"/>
              <w:spacing w:after="0"/>
              <w:rPr>
                <w:sz w:val="20"/>
                <w:szCs w:val="20"/>
                <w:color w:val="auto"/>
              </w:rPr>
            </w:pPr>
            <w:r>
              <w:rPr>
                <w:rFonts w:ascii="Times New Roman" w:cs="Times New Roman" w:eastAsia="Times New Roman" w:hAnsi="Times New Roman"/>
                <w:sz w:val="22"/>
                <w:szCs w:val="22"/>
                <w:color w:val="auto"/>
                <w:w w:val="98"/>
              </w:rPr>
              <w:t>March 31, 2027</w:t>
            </w:r>
          </w:p>
        </w:tc>
        <w:tc>
          <w:tcPr>
            <w:tcW w:w="6060" w:type="dxa"/>
            <w:vAlign w:val="bottom"/>
          </w:tcPr>
          <w:p>
            <w:pPr>
              <w:jc w:val="center"/>
              <w:ind w:right="1675"/>
              <w:spacing w:after="0"/>
              <w:rPr>
                <w:sz w:val="20"/>
                <w:szCs w:val="20"/>
                <w:color w:val="auto"/>
              </w:rPr>
            </w:pPr>
            <w:r>
              <w:rPr>
                <w:rFonts w:ascii="Times New Roman" w:cs="Times New Roman" w:eastAsia="Times New Roman" w:hAnsi="Times New Roman"/>
                <w:sz w:val="22"/>
                <w:szCs w:val="22"/>
                <w:color w:val="auto"/>
                <w:w w:val="98"/>
              </w:rPr>
              <w:t>$78,000,000</w:t>
            </w:r>
          </w:p>
        </w:tc>
      </w:tr>
      <w:tr>
        <w:trPr>
          <w:trHeight w:val="447"/>
        </w:trPr>
        <w:tc>
          <w:tcPr>
            <w:tcW w:w="5180" w:type="dxa"/>
            <w:vAlign w:val="bottom"/>
          </w:tcPr>
          <w:p>
            <w:pPr>
              <w:spacing w:after="0"/>
              <w:rPr>
                <w:sz w:val="24"/>
                <w:szCs w:val="24"/>
                <w:color w:val="auto"/>
              </w:rPr>
            </w:pPr>
          </w:p>
        </w:tc>
        <w:tc>
          <w:tcPr>
            <w:tcW w:w="6060" w:type="dxa"/>
            <w:vAlign w:val="bottom"/>
          </w:tcPr>
          <w:p>
            <w:pPr>
              <w:jc w:val="right"/>
              <w:ind w:right="5375"/>
              <w:spacing w:after="0"/>
              <w:rPr>
                <w:sz w:val="20"/>
                <w:szCs w:val="20"/>
                <w:color w:val="auto"/>
              </w:rPr>
            </w:pPr>
            <w:r>
              <w:rPr>
                <w:rFonts w:ascii="Times New Roman" w:cs="Times New Roman" w:eastAsia="Times New Roman" w:hAnsi="Times New Roman"/>
                <w:sz w:val="18"/>
                <w:szCs w:val="18"/>
                <w:color w:val="auto"/>
              </w:rPr>
              <w:t>116</w:t>
            </w:r>
          </w:p>
        </w:tc>
      </w:tr>
      <w:tr>
        <w:trPr>
          <w:trHeight w:val="776"/>
        </w:trPr>
        <w:tc>
          <w:tcPr>
            <w:tcW w:w="5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0" w:name="page121"/>
    <w:bookmarkEnd w:id="120"/>
    <w:tbl>
      <w:tblPr>
        <w:tblLayout w:type="fixed"/>
        <w:tblInd w:w="2260" w:type="dxa"/>
        <w:tblCellMar>
          <w:top w:w="0" w:type="dxa"/>
          <w:left w:w="0" w:type="dxa"/>
          <w:bottom w:w="0" w:type="dxa"/>
          <w:right w:w="0" w:type="dxa"/>
        </w:tblCellMar>
      </w:tblPr>
      <w:tr>
        <w:trPr>
          <w:trHeight w:val="282"/>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welve</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onth</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eriod</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nded</w:t>
            </w:r>
          </w:p>
        </w:tc>
        <w:tc>
          <w:tcPr>
            <w:tcW w:w="25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et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evenue</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9"/>
              </w:rPr>
              <w:t>June 30, 2027</w:t>
            </w:r>
          </w:p>
        </w:tc>
        <w:tc>
          <w:tcPr>
            <w:tcW w:w="2500" w:type="dxa"/>
            <w:vAlign w:val="bottom"/>
          </w:tcPr>
          <w:p>
            <w:pPr>
              <w:jc w:val="center"/>
              <w:ind w:left="712"/>
              <w:spacing w:after="0"/>
              <w:rPr>
                <w:sz w:val="20"/>
                <w:szCs w:val="20"/>
                <w:color w:val="auto"/>
              </w:rPr>
            </w:pPr>
            <w:r>
              <w:rPr>
                <w:rFonts w:ascii="Times New Roman" w:cs="Times New Roman" w:eastAsia="Times New Roman" w:hAnsi="Times New Roman"/>
                <w:sz w:val="22"/>
                <w:szCs w:val="22"/>
                <w:color w:val="auto"/>
                <w:w w:val="98"/>
              </w:rPr>
              <w:t>$80,000,000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September 30, 2027</w:t>
            </w:r>
          </w:p>
        </w:tc>
        <w:tc>
          <w:tcPr>
            <w:tcW w:w="2500" w:type="dxa"/>
            <w:vAlign w:val="bottom"/>
          </w:tcPr>
          <w:p>
            <w:pPr>
              <w:jc w:val="center"/>
              <w:ind w:left="712"/>
              <w:spacing w:after="0"/>
              <w:rPr>
                <w:sz w:val="20"/>
                <w:szCs w:val="20"/>
                <w:color w:val="auto"/>
              </w:rPr>
            </w:pPr>
            <w:r>
              <w:rPr>
                <w:rFonts w:ascii="Times New Roman" w:cs="Times New Roman" w:eastAsia="Times New Roman" w:hAnsi="Times New Roman"/>
                <w:sz w:val="22"/>
                <w:szCs w:val="22"/>
                <w:color w:val="auto"/>
                <w:w w:val="98"/>
              </w:rPr>
              <w:t>$86,000,000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December 31, 2027</w:t>
            </w:r>
          </w:p>
        </w:tc>
        <w:tc>
          <w:tcPr>
            <w:tcW w:w="2500" w:type="dxa"/>
            <w:vAlign w:val="bottom"/>
          </w:tcPr>
          <w:p>
            <w:pPr>
              <w:jc w:val="center"/>
              <w:ind w:left="712"/>
              <w:spacing w:after="0"/>
              <w:rPr>
                <w:sz w:val="20"/>
                <w:szCs w:val="20"/>
                <w:color w:val="auto"/>
              </w:rPr>
            </w:pPr>
            <w:r>
              <w:rPr>
                <w:rFonts w:ascii="Times New Roman" w:cs="Times New Roman" w:eastAsia="Times New Roman" w:hAnsi="Times New Roman"/>
                <w:sz w:val="22"/>
                <w:szCs w:val="22"/>
                <w:color w:val="auto"/>
                <w:w w:val="98"/>
              </w:rPr>
              <w:t>$90,000,000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March 31, 2028</w:t>
            </w:r>
          </w:p>
        </w:tc>
        <w:tc>
          <w:tcPr>
            <w:tcW w:w="2500" w:type="dxa"/>
            <w:vAlign w:val="bottom"/>
          </w:tcPr>
          <w:p>
            <w:pPr>
              <w:jc w:val="center"/>
              <w:ind w:left="712"/>
              <w:spacing w:after="0"/>
              <w:rPr>
                <w:sz w:val="20"/>
                <w:szCs w:val="20"/>
                <w:color w:val="auto"/>
              </w:rPr>
            </w:pPr>
            <w:r>
              <w:rPr>
                <w:rFonts w:ascii="Times New Roman" w:cs="Times New Roman" w:eastAsia="Times New Roman" w:hAnsi="Times New Roman"/>
                <w:sz w:val="22"/>
                <w:szCs w:val="22"/>
                <w:color w:val="auto"/>
                <w:w w:val="98"/>
              </w:rPr>
              <w:t>$96,000,000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9"/>
              </w:rPr>
              <w:t>June 30, 2028</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$102,400,000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September 30, 2028</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$109,200,000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December 31, 2028</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$117,600,000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March 31,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$126,000,000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9"/>
              </w:rPr>
              <w:t>June 30,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$131,300,000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September 30,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$133,100,000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December 31, 2029</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$135,000,000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March 31,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$137,000,000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9"/>
              </w:rPr>
              <w:t>June 30,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$138,000,000</w:t>
            </w:r>
          </w:p>
        </w:tc>
      </w:tr>
      <w:tr>
        <w:trPr>
          <w:trHeight w:val="499"/>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September 30,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$139,000,000</w:t>
            </w:r>
          </w:p>
        </w:tc>
      </w:tr>
      <w:tr>
        <w:trPr>
          <w:trHeight w:val="500"/>
        </w:trPr>
        <w:tc>
          <w:tcPr>
            <w:tcW w:w="3400" w:type="dxa"/>
            <w:vAlign w:val="bottom"/>
          </w:tcPr>
          <w:p>
            <w:pPr>
              <w:jc w:val="center"/>
              <w:ind w:right="672"/>
              <w:spacing w:after="0"/>
              <w:rPr>
                <w:sz w:val="20"/>
                <w:szCs w:val="20"/>
                <w:color w:val="auto"/>
              </w:rPr>
            </w:pPr>
            <w:r>
              <w:rPr>
                <w:rFonts w:ascii="Times New Roman" w:cs="Times New Roman" w:eastAsia="Times New Roman" w:hAnsi="Times New Roman"/>
                <w:sz w:val="22"/>
                <w:szCs w:val="22"/>
                <w:color w:val="auto"/>
                <w:w w:val="98"/>
              </w:rPr>
              <w:t>December 31, 2030</w:t>
            </w:r>
          </w:p>
        </w:tc>
        <w:tc>
          <w:tcPr>
            <w:tcW w:w="250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$140,000,000</w:t>
            </w:r>
          </w:p>
        </w:tc>
      </w:tr>
    </w:tbl>
    <w:p>
      <w:pPr>
        <w:spacing w:after="0" w:line="65" w:lineRule="exact"/>
        <w:rPr>
          <w:sz w:val="20"/>
          <w:szCs w:val="20"/>
          <w:color w:val="auto"/>
        </w:rPr>
      </w:pPr>
    </w:p>
    <w:p>
      <w:pPr>
        <w:ind w:firstLine="373"/>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8.16. Maintenance of Regulatory Approvals, Contracts, Intellectual Property, Etc. </w:t>
      </w:r>
      <w:r>
        <w:rPr>
          <w:rFonts w:ascii="Times New Roman" w:cs="Times New Roman" w:eastAsia="Times New Roman" w:hAnsi="Times New Roman"/>
          <w:sz w:val="22"/>
          <w:szCs w:val="22"/>
          <w:color w:val="auto"/>
        </w:rPr>
        <w:t>Each Obligor will,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each of its Subsidiaries (to the extent applicable) to:</w:t>
      </w:r>
    </w:p>
    <w:p>
      <w:pPr>
        <w:spacing w:after="0" w:line="86" w:lineRule="exact"/>
        <w:rPr>
          <w:sz w:val="20"/>
          <w:szCs w:val="20"/>
          <w:color w:val="auto"/>
        </w:rPr>
      </w:pPr>
    </w:p>
    <w:p>
      <w:pPr>
        <w:jc w:val="both"/>
        <w:ind w:left="760" w:firstLine="745"/>
        <w:spacing w:after="0" w:line="261" w:lineRule="auto"/>
        <w:tabs>
          <w:tab w:leader="none" w:pos="186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in full force and effect all material Regulatory Approvals (including the Product Authorizations), Material Agreements, or other rights necessary for the current operations of such Obligor’s or such Subsidiary’s business, as the case may be, including in respect of all related Product Development and Commercialization Activities;</w:t>
      </w:r>
    </w:p>
    <w:p>
      <w:pPr>
        <w:spacing w:after="0" w:line="76"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192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all Obligor Intellectual Property that, according to such Obligor’s commercially reasonable determination, is used in and necessary for related Product Development and Commercialization Activities; and</w:t>
      </w:r>
    </w:p>
    <w:p>
      <w:pPr>
        <w:spacing w:after="0" w:line="105"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8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pursue and maintain in full force and effect legal protection for all new Obligor Intellectual Property that is used in and necessary in connection with any Product Development and Commercialization Activities relating to any such Product.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21" w:name="page122"/>
    <w:bookmarkEnd w:id="121"/>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8.17.</w:t>
        <w:tab/>
        <w:t>Cash Management</w:t>
      </w:r>
      <w:r>
        <w:rPr>
          <w:rFonts w:ascii="Times New Roman" w:cs="Times New Roman" w:eastAsia="Times New Roman" w:hAnsi="Times New Roman"/>
          <w:sz w:val="22"/>
          <w:szCs w:val="22"/>
          <w:color w:val="auto"/>
        </w:rPr>
        <w:t>. The Obligors will:</w:t>
      </w:r>
    </w:p>
    <w:p>
      <w:pPr>
        <w:spacing w:after="0" w:line="143" w:lineRule="exact"/>
        <w:rPr>
          <w:sz w:val="20"/>
          <w:szCs w:val="20"/>
          <w:color w:val="auto"/>
        </w:rPr>
      </w:pPr>
    </w:p>
    <w:p>
      <w:pPr>
        <w:jc w:val="both"/>
        <w:ind w:left="760" w:firstLine="745"/>
        <w:spacing w:after="0" w:line="238" w:lineRule="auto"/>
        <w:tabs>
          <w:tab w:leader="none" w:pos="189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rFonts w:ascii="Times New Roman" w:cs="Times New Roman" w:eastAsia="Times New Roman" w:hAnsi="Times New Roman"/>
          <w:sz w:val="22"/>
          <w:szCs w:val="22"/>
          <w:i w:val="1"/>
          <w:iCs w:val="1"/>
          <w:color w:val="auto"/>
        </w:rPr>
        <w:t>“Controlled Account”</w:t>
      </w:r>
      <w:r>
        <w:rPr>
          <w:rFonts w:ascii="Times New Roman" w:cs="Times New Roman" w:eastAsia="Times New Roman" w:hAnsi="Times New Roman"/>
          <w:sz w:val="22"/>
          <w:szCs w:val="22"/>
          <w:color w:val="auto"/>
        </w:rPr>
        <w:t>); and</w:t>
      </w:r>
    </w:p>
    <w:p>
      <w:pPr>
        <w:spacing w:after="0" w:line="109"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promptly, and in any event no later than five (5) Business Days after the date of receipt thereof, all cash, checks, drafts or other similar items of payment relating to or constituting payments made in respect of any and all accounts and other rights and interests into Controlled Accounts.</w:t>
      </w:r>
    </w:p>
    <w:p>
      <w:pPr>
        <w:spacing w:after="0" w:line="129" w:lineRule="exact"/>
        <w:rPr>
          <w:sz w:val="20"/>
          <w:szCs w:val="20"/>
          <w:color w:val="auto"/>
        </w:rPr>
      </w:pPr>
    </w:p>
    <w:p>
      <w:pPr>
        <w:jc w:val="both"/>
        <w:ind w:right="20" w:firstLine="373"/>
        <w:spacing w:after="0" w:line="262" w:lineRule="auto"/>
        <w:rPr>
          <w:sz w:val="20"/>
          <w:szCs w:val="20"/>
          <w:color w:val="auto"/>
        </w:rPr>
      </w:pPr>
      <w:r>
        <w:rPr>
          <w:rFonts w:ascii="Times New Roman" w:cs="Times New Roman" w:eastAsia="Times New Roman" w:hAnsi="Times New Roman"/>
          <w:sz w:val="22"/>
          <w:szCs w:val="22"/>
          <w:i w:val="1"/>
          <w:iCs w:val="1"/>
          <w:color w:val="auto"/>
        </w:rPr>
        <w:t>Section 8.18. Post-Closing Obligations</w:t>
      </w:r>
      <w:r>
        <w:rPr>
          <w:rFonts w:ascii="Times New Roman" w:cs="Times New Roman" w:eastAsia="Times New Roman" w:hAnsi="Times New Roman"/>
          <w:sz w:val="22"/>
          <w:szCs w:val="22"/>
          <w:color w:val="auto"/>
        </w:rPr>
        <w:t>. The Obligors will provide the items set forth in Schedule 8.18 within the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periods set forth therein.</w:t>
      </w:r>
    </w:p>
    <w:p>
      <w:pPr>
        <w:spacing w:after="0" w:line="109" w:lineRule="exact"/>
        <w:rPr>
          <w:sz w:val="20"/>
          <w:szCs w:val="20"/>
          <w:color w:val="auto"/>
        </w:rPr>
      </w:pPr>
    </w:p>
    <w:p>
      <w:pPr>
        <w:jc w:val="both"/>
        <w:ind w:firstLine="414"/>
        <w:spacing w:after="0" w:line="234" w:lineRule="auto"/>
        <w:rPr>
          <w:sz w:val="20"/>
          <w:szCs w:val="20"/>
          <w:color w:val="auto"/>
        </w:rPr>
      </w:pPr>
      <w:r>
        <w:rPr>
          <w:rFonts w:ascii="Times New Roman" w:cs="Times New Roman" w:eastAsia="Times New Roman" w:hAnsi="Times New Roman"/>
          <w:sz w:val="22"/>
          <w:szCs w:val="22"/>
          <w:i w:val="1"/>
          <w:iCs w:val="1"/>
          <w:color w:val="auto"/>
        </w:rPr>
        <w:t>Section 8.19. Warrant Certificate</w:t>
      </w:r>
      <w:r>
        <w:rPr>
          <w:rFonts w:ascii="Times New Roman" w:cs="Times New Roman" w:eastAsia="Times New Roman" w:hAnsi="Times New Roman"/>
          <w:sz w:val="22"/>
          <w:szCs w:val="22"/>
          <w:color w:val="auto"/>
        </w:rPr>
        <w:t>. The Borrower will use its reasonable best efforts to receive approval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shareholders, and otherwise comply with applicable ASX Listing Rules, to issue the Warrant Certificate to the Administrative Agent on or before September 30, 2026. In the event that the Warrant Certificate is not issued on or before September 30, 2026, then the Exit Fee shall be payable pursuant to the terms of the Fee Letter and the Borrower will receive approval of its shareholders, and otherwise comply with applicable ASX Listing Rules, to issue the Warrant Certificate to the Administrative Agent on or before November 30, 2026, the failure of which shall result in an Event of Default pursuant to Section 10.01(d). For the avoidance of doubt, the Borrower’s obligation to issue the Warrant Certificate to the Administrative Agent is conditional on the Borrower’s shareholders approving the issuance under ASX Listing Rule 7.1 before the issuance is made. Where the ASX requires any amendments to the Warrant Certificate, the Borrower and the Administrative Agent agree to effect and execute those changes in order for the Warrant Certificate to be issued.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egative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Obligor covenants and agrees with the Administrative Agent and the Lenders that, until the Commitments have expired or been terminated and all Obligations (other than the Warrant Obligations and inchoate indemnity obligations) have been paid in full in cash:</w:t>
      </w:r>
    </w:p>
    <w:p>
      <w:pPr>
        <w:spacing w:after="0" w:line="210" w:lineRule="exact"/>
        <w:rPr>
          <w:sz w:val="20"/>
          <w:szCs w:val="20"/>
          <w:color w:val="auto"/>
        </w:rPr>
      </w:pPr>
    </w:p>
    <w:p>
      <w:pPr>
        <w:jc w:val="both"/>
        <w:ind w:right="20" w:firstLine="373"/>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9.01. Indebtedness. </w:t>
      </w:r>
      <w:r>
        <w:rPr>
          <w:rFonts w:ascii="Times New Roman" w:cs="Times New Roman" w:eastAsia="Times New Roman" w:hAnsi="Times New Roman"/>
          <w:sz w:val="22"/>
          <w:szCs w:val="22"/>
          <w:color w:val="auto"/>
        </w:rPr>
        <w:t>It will not, and will not permit any of its Subsidiaries to, create, incur, assume or permit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 any Indebtedness, whether directly or indirectly, except:</w:t>
      </w:r>
    </w:p>
    <w:p>
      <w:pPr>
        <w:spacing w:after="0" w:line="194" w:lineRule="exact"/>
        <w:rPr>
          <w:sz w:val="20"/>
          <w:szCs w:val="20"/>
          <w:color w:val="auto"/>
        </w:rPr>
      </w:pPr>
    </w:p>
    <w:p>
      <w:pPr>
        <w:ind w:left="1860" w:hanging="355"/>
        <w:spacing w:after="0"/>
        <w:tabs>
          <w:tab w:leader="none" w:pos="18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33" w:lineRule="exact"/>
        <w:rPr>
          <w:rFonts w:ascii="Times New Roman" w:cs="Times New Roman" w:eastAsia="Times New Roman" w:hAnsi="Times New Roman"/>
          <w:sz w:val="22"/>
          <w:szCs w:val="22"/>
          <w:color w:val="auto"/>
        </w:rPr>
      </w:pPr>
    </w:p>
    <w:p>
      <w:pPr>
        <w:ind w:left="1900" w:hanging="395"/>
        <w:spacing w:after="0"/>
        <w:tabs>
          <w:tab w:leader="none" w:pos="19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9.01(b) and Permitted Refinancings</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thereof;</w:t>
      </w:r>
    </w:p>
    <w:p>
      <w:pPr>
        <w:spacing w:after="0" w:line="223" w:lineRule="exact"/>
        <w:rPr>
          <w:sz w:val="20"/>
          <w:szCs w:val="20"/>
          <w:color w:val="auto"/>
        </w:rPr>
      </w:pPr>
    </w:p>
    <w:p>
      <w:pPr>
        <w:ind w:left="760" w:firstLine="745"/>
        <w:spacing w:after="0" w:line="258" w:lineRule="auto"/>
        <w:tabs>
          <w:tab w:leader="none" w:pos="186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payable to trade creditors for goods and services and current operating liabilities (not the result of the borrowing of money) incurred in the Ordinary Course of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22" w:name="page123"/>
    <w:bookmarkEnd w:id="122"/>
    <w:p>
      <w:pPr>
        <w:ind w:left="760" w:firstLine="745"/>
        <w:spacing w:after="0" w:line="258" w:lineRule="auto"/>
        <w:tabs>
          <w:tab w:leader="none" w:pos="188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guarantees resulting from endorsement of negotiable instruments for collection by an Obligor or any of its Subsidiaries in the Ordinary Course of Business;</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88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of an Obligor to any other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Indebtedness is pledged to the Administrative Agent for the benefit of the Lenders under the Security Agreement and otherwise subordinate in right of payment to the Obligations on terms satisfactory to the Administrative Agent in its sole discretion;</w:t>
      </w:r>
    </w:p>
    <w:p>
      <w:pPr>
        <w:spacing w:after="0" w:line="211"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any Obligor of Indebtedness of any other Obligor;</w:t>
      </w:r>
    </w:p>
    <w:p>
      <w:pPr>
        <w:spacing w:after="0" w:line="242"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8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Indebtedness and Capital Lease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$250,000 at any time;</w:t>
      </w:r>
    </w:p>
    <w:p>
      <w:pPr>
        <w:spacing w:after="0" w:line="20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workers’ compensation Claims, payment obligations in connection with health, disability or other types of social security benefits, unemployment or other insurance obligations, reclamation and statutory obligations, in each case incurred in the Ordinary Course of Business;</w:t>
      </w:r>
    </w:p>
    <w:p>
      <w:pPr>
        <w:spacing w:after="0" w:line="213"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approved in advance in writing by the Majority Lenders; and</w:t>
      </w:r>
    </w:p>
    <w:p>
      <w:pPr>
        <w:spacing w:after="0" w:line="246" w:lineRule="exact"/>
        <w:rPr>
          <w:rFonts w:ascii="Times New Roman" w:cs="Times New Roman" w:eastAsia="Times New Roman" w:hAnsi="Times New Roman"/>
          <w:sz w:val="22"/>
          <w:szCs w:val="22"/>
          <w:color w:val="auto"/>
        </w:rPr>
      </w:pPr>
    </w:p>
    <w:p>
      <w:pPr>
        <w:ind w:left="760" w:firstLine="745"/>
        <w:spacing w:after="0" w:line="258" w:lineRule="auto"/>
        <w:tabs>
          <w:tab w:leader="none" w:pos="189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and its Subsidiaries with respect to corporate credit cards not to exceed $250,000 at any time outstanding.</w:t>
      </w:r>
    </w:p>
    <w:p>
      <w:pPr>
        <w:spacing w:after="0" w:line="181"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9.02.</w:t>
        <w:tab/>
        <w:t xml:space="preserve">Liens. </w:t>
      </w:r>
      <w:r>
        <w:rPr>
          <w:rFonts w:ascii="Times New Roman" w:cs="Times New Roman" w:eastAsia="Times New Roman" w:hAnsi="Times New Roman"/>
          <w:sz w:val="22"/>
          <w:szCs w:val="22"/>
          <w:color w:val="auto"/>
        </w:rPr>
        <w:t>It will not, and will not permit any of its Subsidiaries to, create, incur, assume or permit to exist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 on any Property now owned by it, except:</w:t>
      </w:r>
    </w:p>
    <w:p>
      <w:pPr>
        <w:spacing w:after="0" w:line="223" w:lineRule="exact"/>
        <w:rPr>
          <w:sz w:val="20"/>
          <w:szCs w:val="20"/>
          <w:color w:val="auto"/>
        </w:rPr>
      </w:pPr>
    </w:p>
    <w:p>
      <w:pPr>
        <w:ind w:left="1860" w:hanging="355"/>
        <w:spacing w:after="0"/>
        <w:tabs>
          <w:tab w:leader="none" w:pos="18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Obligations;</w:t>
      </w:r>
    </w:p>
    <w:p>
      <w:pPr>
        <w:spacing w:after="0" w:line="24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8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of any Obligor existing on the date hereof and set forth in Schedule 9.02(b);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no such Lien shall extend to any other Property of such Obligor and (ii) any such Lien shall secure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obligations which it secures on the date hereof and extensions, renewals and replacements thereof that do not increase the outstanding principal amount thereof;</w:t>
      </w:r>
    </w:p>
    <w:p>
      <w:pPr>
        <w:spacing w:after="0" w:line="203" w:lineRule="exact"/>
        <w:rPr>
          <w:rFonts w:ascii="Times New Roman" w:cs="Times New Roman" w:eastAsia="Times New Roman" w:hAnsi="Times New Roman"/>
          <w:sz w:val="22"/>
          <w:szCs w:val="22"/>
          <w:color w:val="auto"/>
        </w:rPr>
      </w:pPr>
    </w:p>
    <w:p>
      <w:pPr>
        <w:ind w:left="760" w:firstLine="745"/>
        <w:spacing w:after="0" w:line="262" w:lineRule="auto"/>
        <w:tabs>
          <w:tab w:leader="none" w:pos="186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Section 9.01(g);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restricted solely to the collateral described in Section 9.01(g);</w:t>
      </w:r>
    </w:p>
    <w:p>
      <w:pPr>
        <w:spacing w:after="0" w:line="194"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86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23" w:name="page124"/>
    <w:bookmarkEnd w:id="123"/>
    <w:p>
      <w:pPr>
        <w:ind w:left="760"/>
        <w:spacing w:after="0" w:line="258" w:lineRule="auto"/>
        <w:rPr>
          <w:sz w:val="20"/>
          <w:szCs w:val="20"/>
          <w:color w:val="auto"/>
        </w:rPr>
      </w:pPr>
      <w:r>
        <w:rPr>
          <w:rFonts w:ascii="Times New Roman" w:cs="Times New Roman" w:eastAsia="Times New Roman" w:hAnsi="Times New Roman"/>
          <w:sz w:val="22"/>
          <w:szCs w:val="22"/>
          <w:color w:val="auto"/>
        </w:rPr>
        <w:t>have the effect of preventing the forfeiture or sale of the Property subject to such Liens and for which adequate reserves have been made if required substantially in accordance with GAAP;</w:t>
      </w:r>
    </w:p>
    <w:p>
      <w:pPr>
        <w:spacing w:after="0" w:line="185" w:lineRule="exact"/>
        <w:rPr>
          <w:sz w:val="20"/>
          <w:szCs w:val="20"/>
          <w:color w:val="auto"/>
        </w:rPr>
      </w:pPr>
    </w:p>
    <w:p>
      <w:pPr>
        <w:ind w:left="760" w:firstLine="745"/>
        <w:spacing w:after="0" w:line="258" w:lineRule="auto"/>
        <w:tabs>
          <w:tab w:leader="none" w:pos="189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pledges or deposits made in the Ordinary Course of Business in connection with bids, Contracts, leases, appeal bonds, workers’ compensation, unemployment insurance or other similar social security legislation;</w:t>
      </w:r>
    </w:p>
    <w:p>
      <w:pPr>
        <w:spacing w:after="0" w:line="19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86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such Obligor or Subsidiary;</w:t>
      </w:r>
    </w:p>
    <w:p>
      <w:pPr>
        <w:spacing w:after="0" w:line="20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similar Liens incurred in the Ordinary Course of Business and arising in connection with the Obligors’ Deposit Accounts or Securities Accounts held at financial institutions solely to secure payment of fees and similar costs and expenses of such financial institutions with respect to such accounts;</w:t>
      </w:r>
    </w:p>
    <w:p>
      <w:pPr>
        <w:spacing w:after="0" w:line="213"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transfers permitted under Section 9.09;</w:t>
      </w:r>
    </w:p>
    <w:p>
      <w:pPr>
        <w:spacing w:after="0" w:line="246"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Lien or Lien arising from decrees or attachments not constituting an Event of Default;</w:t>
      </w:r>
    </w:p>
    <w:p>
      <w:pPr>
        <w:spacing w:after="0" w:line="23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property granted in the Ordinary Course of Business, and leases, subleases, nonexclusive licenses or sublicenses of personal property (other than Intellectual Property) granted in the Ordinary Course of Business;</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the payment of custom duties in connection with the importation of goods, not securing an amount in the aggregate in excess of $100,000 at any given time;</w:t>
      </w:r>
    </w:p>
    <w:p>
      <w:pPr>
        <w:spacing w:after="0" w:line="21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8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 Deposit Account of the Obligors and the cash and cash equivalents therein, in each case, securing Indebtedness described in Section 9.01(l); and</w:t>
      </w:r>
    </w:p>
    <w:p>
      <w:pPr>
        <w:spacing w:after="0" w:line="185"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 solely to the extent that such Permitted License would constitute a Lien;</w:t>
      </w:r>
    </w:p>
    <w:p>
      <w:pPr>
        <w:spacing w:after="0" w:line="24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Lien otherwise permitted under any of the foregoing Section 9.02 (excluding Section 9.02(a)) shall apply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Intellectual Property.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24" w:name="page125"/>
    <w:bookmarkEnd w:id="124"/>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9.03.</w:t>
      </w:r>
      <w:r>
        <w:rPr>
          <w:sz w:val="20"/>
          <w:szCs w:val="20"/>
          <w:color w:val="auto"/>
        </w:rPr>
        <w:tab/>
      </w:r>
      <w:r>
        <w:rPr>
          <w:rFonts w:ascii="Times New Roman" w:cs="Times New Roman" w:eastAsia="Times New Roman" w:hAnsi="Times New Roman"/>
          <w:sz w:val="21"/>
          <w:szCs w:val="21"/>
          <w:i w:val="1"/>
          <w:iCs w:val="1"/>
          <w:color w:val="auto"/>
        </w:rPr>
        <w:t xml:space="preserve">Fundamental Changes and Acquisitions. </w:t>
      </w:r>
      <w:r>
        <w:rPr>
          <w:rFonts w:ascii="Times New Roman" w:cs="Times New Roman" w:eastAsia="Times New Roman" w:hAnsi="Times New Roman"/>
          <w:sz w:val="21"/>
          <w:szCs w:val="21"/>
          <w:color w:val="auto"/>
        </w:rPr>
        <w:t>It will not, and will not permit any of its Subsidiaries to:</w:t>
      </w:r>
    </w:p>
    <w:p>
      <w:pPr>
        <w:spacing w:after="0" w:line="237" w:lineRule="exact"/>
        <w:rPr>
          <w:sz w:val="20"/>
          <w:szCs w:val="20"/>
          <w:color w:val="auto"/>
        </w:rPr>
      </w:pPr>
    </w:p>
    <w:p>
      <w:pPr>
        <w:ind w:left="760" w:firstLine="745"/>
        <w:spacing w:after="0" w:line="285" w:lineRule="exact"/>
        <w:tabs>
          <w:tab w:leader="none" w:pos="193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or consummate any transaction of merger, amalgamation, plan of arrangement or consolidation, including without limitation, a reverse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triangular merger, or other similar transaction or series of related transactions;</w:t>
      </w:r>
    </w:p>
    <w:p>
      <w:pPr>
        <w:spacing w:after="0" w:line="186"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200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liquidate, wind up or dissolve itself (or suffer any liquidation, wind up or dissolution) (including in connection with any division or plan of division under Delaware law or any comparable event under a different jurisdiction’s laws); or</w:t>
      </w:r>
    </w:p>
    <w:p>
      <w:pPr>
        <w:spacing w:after="0" w:line="213"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consummate any Acquisition or sell or issue any Disqualified Equity Interests, except, in each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case:</w:t>
      </w:r>
    </w:p>
    <w:p>
      <w:pPr>
        <w:spacing w:after="0" w:line="209" w:lineRule="exact"/>
        <w:rPr>
          <w:rFonts w:ascii="Times New Roman" w:cs="Times New Roman" w:eastAsia="Times New Roman" w:hAnsi="Times New Roman"/>
          <w:sz w:val="22"/>
          <w:szCs w:val="22"/>
          <w:color w:val="auto"/>
        </w:rPr>
      </w:pPr>
    </w:p>
    <w:p>
      <w:pPr>
        <w:ind w:left="2660" w:hanging="406"/>
        <w:spacing w:after="0"/>
        <w:tabs>
          <w:tab w:leader="none" w:pos="26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9.05;</w:t>
      </w:r>
    </w:p>
    <w:p>
      <w:pPr>
        <w:spacing w:after="0" w:line="246"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7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 for (i) aggregate cash consideration not to exceed $1,000,000 and (ii) total consideration not to exceed $2,000,000, in each case, for the term of this Agreement;</w:t>
      </w:r>
    </w:p>
    <w:p>
      <w:pPr>
        <w:spacing w:after="0" w:line="194" w:lineRule="exact"/>
        <w:rPr>
          <w:rFonts w:ascii="Times New Roman" w:cs="Times New Roman" w:eastAsia="Times New Roman" w:hAnsi="Times New Roman"/>
          <w:sz w:val="22"/>
          <w:szCs w:val="22"/>
          <w:color w:val="auto"/>
        </w:rPr>
      </w:pPr>
    </w:p>
    <w:p>
      <w:pPr>
        <w:jc w:val="both"/>
        <w:ind w:left="1500" w:firstLine="754"/>
        <w:spacing w:after="0" w:line="246" w:lineRule="auto"/>
        <w:tabs>
          <w:tab w:leader="none" w:pos="2662"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merger, amalgamation or consolidation of any Obligor with or into any other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Borrower is a party to such merger, amalgamation or consolidation, the Borrower shall be the surviving entity; and</w:t>
      </w:r>
    </w:p>
    <w:p>
      <w:pPr>
        <w:spacing w:after="0" w:line="198" w:lineRule="exact"/>
        <w:rPr>
          <w:rFonts w:ascii="Times New Roman" w:cs="Times New Roman" w:eastAsia="Times New Roman" w:hAnsi="Times New Roman"/>
          <w:sz w:val="22"/>
          <w:szCs w:val="22"/>
          <w:color w:val="auto"/>
        </w:rPr>
      </w:pPr>
    </w:p>
    <w:p>
      <w:pPr>
        <w:ind w:left="2620" w:hanging="366"/>
        <w:spacing w:after="0"/>
        <w:tabs>
          <w:tab w:leader="none" w:pos="262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Sales permitted under Section 9.09.</w:t>
      </w:r>
    </w:p>
    <w:p>
      <w:pPr>
        <w:spacing w:after="0" w:line="243"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9.04.</w:t>
      </w:r>
      <w:r>
        <w:rPr>
          <w:sz w:val="20"/>
          <w:szCs w:val="20"/>
          <w:color w:val="auto"/>
        </w:rPr>
        <w:tab/>
      </w:r>
      <w:r>
        <w:rPr>
          <w:rFonts w:ascii="Times New Roman" w:cs="Times New Roman" w:eastAsia="Times New Roman" w:hAnsi="Times New Roman"/>
          <w:sz w:val="21"/>
          <w:szCs w:val="21"/>
          <w:i w:val="1"/>
          <w:iCs w:val="1"/>
          <w:color w:val="auto"/>
        </w:rPr>
        <w:t>Lines of Business.</w:t>
      </w:r>
    </w:p>
    <w:p>
      <w:pPr>
        <w:spacing w:after="0" w:line="170" w:lineRule="exact"/>
        <w:rPr>
          <w:sz w:val="20"/>
          <w:szCs w:val="20"/>
          <w:color w:val="auto"/>
        </w:rPr>
      </w:pPr>
    </w:p>
    <w:p>
      <w:pPr>
        <w:jc w:val="both"/>
        <w:ind w:left="380" w:firstLine="601"/>
        <w:spacing w:after="0" w:line="244" w:lineRule="auto"/>
        <w:tabs>
          <w:tab w:leader="none" w:pos="133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not, and will not permit any of its Subsidiaries to, engage to any material extent in any business other than the business engaged in on the date hereof by such Person, or a business reasonably related, incidental or complementary thereto or reasonable extensions thereof.</w:t>
      </w:r>
    </w:p>
    <w:p>
      <w:pPr>
        <w:spacing w:after="0" w:line="146" w:lineRule="exact"/>
        <w:rPr>
          <w:rFonts w:ascii="Times New Roman" w:cs="Times New Roman" w:eastAsia="Times New Roman" w:hAnsi="Times New Roman"/>
          <w:sz w:val="22"/>
          <w:szCs w:val="22"/>
          <w:color w:val="auto"/>
        </w:rPr>
      </w:pPr>
    </w:p>
    <w:p>
      <w:pPr>
        <w:jc w:val="both"/>
        <w:ind w:left="380" w:firstLine="601"/>
        <w:spacing w:after="0" w:line="249" w:lineRule="auto"/>
        <w:tabs>
          <w:tab w:leader="none" w:pos="1339"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not have any material liabilities (other than liabilities to other Obligors and liabilities arising under the Loan Documents), own any material assets (other than Investments in its Subsidiaries) or engage in any material operations or business (other than the ownership of its Subsidiaries, exercising its rights and performing its obligations under</w:t>
      </w:r>
    </w:p>
    <w:p>
      <w:pPr>
        <w:spacing w:after="0" w:line="1" w:lineRule="exact"/>
        <w:rPr>
          <w:rFonts w:ascii="Times New Roman" w:cs="Times New Roman" w:eastAsia="Times New Roman" w:hAnsi="Times New Roman"/>
          <w:sz w:val="21"/>
          <w:szCs w:val="21"/>
          <w:color w:val="auto"/>
        </w:rPr>
      </w:pPr>
    </w:p>
    <w:p>
      <w:pPr>
        <w:ind w:left="380" w:firstLine="2"/>
        <w:spacing w:after="0" w:line="237" w:lineRule="auto"/>
        <w:tabs>
          <w:tab w:leader="none" w:pos="68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Documents, (ii) its obligations to the other Obligors and (iii) Investments in Subsidiaries and activities reasonably incident to (i), (ii) and (iii)).</w:t>
      </w:r>
    </w:p>
    <w:p>
      <w:pPr>
        <w:spacing w:after="0" w:line="134" w:lineRule="exact"/>
        <w:rPr>
          <w:sz w:val="20"/>
          <w:szCs w:val="20"/>
          <w:color w:val="auto"/>
        </w:rPr>
      </w:pPr>
    </w:p>
    <w:p>
      <w:pPr>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9.05. Investments. </w:t>
      </w:r>
      <w:r>
        <w:rPr>
          <w:rFonts w:ascii="Times New Roman" w:cs="Times New Roman" w:eastAsia="Times New Roman" w:hAnsi="Times New Roman"/>
          <w:sz w:val="22"/>
          <w:szCs w:val="22"/>
          <w:color w:val="auto"/>
        </w:rPr>
        <w:t>It will not, and will not permit any of its Subsidiaries to, make, directly or indirectly, or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remain outstanding any Investments except:</w:t>
      </w:r>
    </w:p>
    <w:p>
      <w:pPr>
        <w:spacing w:after="0" w:line="113" w:lineRule="exact"/>
        <w:rPr>
          <w:sz w:val="20"/>
          <w:szCs w:val="20"/>
          <w:color w:val="auto"/>
        </w:rPr>
      </w:pPr>
    </w:p>
    <w:p>
      <w:pPr>
        <w:ind w:left="760" w:right="20" w:firstLine="745"/>
        <w:spacing w:after="0" w:line="258" w:lineRule="auto"/>
        <w:tabs>
          <w:tab w:leader="none" w:pos="193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outstanding on the date hereof and identified in Schedule 9.05 and any modification, replacement, renewal or extension thereof to the extent not involving new or additional Investments;</w:t>
      </w:r>
    </w:p>
    <w:p>
      <w:pPr>
        <w:spacing w:after="0" w:line="131"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Deposit Accounts with banks;</w:t>
      </w:r>
    </w:p>
    <w:p>
      <w:pPr>
        <w:spacing w:after="0" w:line="165" w:lineRule="exact"/>
        <w:rPr>
          <w:rFonts w:ascii="Times New Roman" w:cs="Times New Roman" w:eastAsia="Times New Roman" w:hAnsi="Times New Roman"/>
          <w:sz w:val="22"/>
          <w:szCs w:val="22"/>
          <w:color w:val="auto"/>
        </w:rPr>
      </w:pPr>
    </w:p>
    <w:p>
      <w:pPr>
        <w:ind w:left="760" w:firstLine="745"/>
        <w:spacing w:after="0" w:line="258" w:lineRule="auto"/>
        <w:tabs>
          <w:tab w:leader="none" w:pos="186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credit in the nature of accounts receivable or notes receivable arising from the sales of goods or services in the Ordinary Course of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125" w:name="page126"/>
    <w:bookmarkEnd w:id="125"/>
    <w:p>
      <w:pPr>
        <w:ind w:left="1860" w:hanging="355"/>
        <w:spacing w:after="0"/>
        <w:tabs>
          <w:tab w:leader="none" w:pos="18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Cash Equivalent Investments;</w:t>
      </w:r>
    </w:p>
    <w:p>
      <w:pPr>
        <w:spacing w:after="0" w:line="179"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0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consisting of 100% of the ownership of the Equity Interests of its Subsidiaries, (ii) intercompany Investments by any Obligor in any other Obligor or (iii) Investments by an Obligor and its Subsidiaries or any Subsidiary acquired in connection with a Permitted Acquisition;</w:t>
      </w:r>
    </w:p>
    <w:p>
      <w:pPr>
        <w:spacing w:after="0" w:line="13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8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spacing w:after="0" w:line="132" w:lineRule="exact"/>
        <w:rPr>
          <w:rFonts w:ascii="Times New Roman" w:cs="Times New Roman" w:eastAsia="Times New Roman" w:hAnsi="Times New Roman"/>
          <w:sz w:val="22"/>
          <w:szCs w:val="22"/>
          <w:color w:val="auto"/>
        </w:rPr>
      </w:pPr>
    </w:p>
    <w:p>
      <w:pPr>
        <w:ind w:left="760" w:firstLine="745"/>
        <w:spacing w:after="0" w:line="282" w:lineRule="auto"/>
        <w:tabs>
          <w:tab w:leader="none" w:pos="192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107" w:lineRule="exact"/>
        <w:rPr>
          <w:rFonts w:ascii="Times New Roman" w:cs="Times New Roman" w:eastAsia="Times New Roman" w:hAnsi="Times New Roman"/>
          <w:sz w:val="21"/>
          <w:szCs w:val="21"/>
          <w:color w:val="auto"/>
        </w:rPr>
      </w:pPr>
    </w:p>
    <w:p>
      <w:pPr>
        <w:ind w:left="1920" w:hanging="415"/>
        <w:spacing w:after="0"/>
        <w:tabs>
          <w:tab w:leader="none" w:pos="19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9.01(e) and Section 9.03;</w:t>
      </w:r>
    </w:p>
    <w:p>
      <w:pPr>
        <w:spacing w:after="0" w:line="165" w:lineRule="exact"/>
        <w:rPr>
          <w:rFonts w:ascii="Times New Roman" w:cs="Times New Roman" w:eastAsia="Times New Roman" w:hAnsi="Times New Roman"/>
          <w:sz w:val="22"/>
          <w:szCs w:val="22"/>
          <w:color w:val="auto"/>
        </w:rPr>
      </w:pPr>
    </w:p>
    <w:p>
      <w:pPr>
        <w:ind w:left="760" w:firstLine="745"/>
        <w:spacing w:after="0" w:line="258" w:lineRule="auto"/>
        <w:tabs>
          <w:tab w:leader="none" w:pos="192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notes receivable of, or prepaid royalties and other credit extensions, to customers and suppliers who are not Affiliates, in the Ordinary Course of Business;</w:t>
      </w:r>
    </w:p>
    <w:p>
      <w:pPr>
        <w:spacing w:after="0" w:line="117"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3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$250,000 for subclauses (i) and (ii) in any fiscal year; and</w:t>
      </w:r>
    </w:p>
    <w:p>
      <w:pPr>
        <w:spacing w:after="0" w:line="149" w:lineRule="exact"/>
        <w:rPr>
          <w:rFonts w:ascii="Times New Roman" w:cs="Times New Roman" w:eastAsia="Times New Roman" w:hAnsi="Times New Roman"/>
          <w:sz w:val="22"/>
          <w:szCs w:val="22"/>
          <w:color w:val="auto"/>
        </w:rPr>
      </w:pPr>
    </w:p>
    <w:p>
      <w:pPr>
        <w:ind w:left="760" w:firstLine="745"/>
        <w:spacing w:after="0" w:line="258" w:lineRule="auto"/>
        <w:tabs>
          <w:tab w:leader="none" w:pos="190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shall have occurred and is continuing at the time of such Investment, or after giving effect thereto, other Investments in an amount not to exceed $100,000 in any fiscal year.</w:t>
      </w:r>
    </w:p>
    <w:p>
      <w:pPr>
        <w:spacing w:after="0" w:line="114" w:lineRule="exact"/>
        <w:rPr>
          <w:sz w:val="20"/>
          <w:szCs w:val="20"/>
          <w:color w:val="auto"/>
        </w:rPr>
      </w:pPr>
    </w:p>
    <w:p>
      <w:pPr>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9.06. Restricted Payments. </w:t>
      </w:r>
      <w:r>
        <w:rPr>
          <w:rFonts w:ascii="Times New Roman" w:cs="Times New Roman" w:eastAsia="Times New Roman" w:hAnsi="Times New Roman"/>
          <w:sz w:val="22"/>
          <w:szCs w:val="22"/>
          <w:color w:val="auto"/>
        </w:rPr>
        <w:t>It will not, and will not permit any of its Subsidiaries to, declare or make, or agree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or make, directly or indirectly, any Restricted Payment, other than:</w:t>
      </w:r>
    </w:p>
    <w:p>
      <w:pPr>
        <w:spacing w:after="0" w:line="113" w:lineRule="exact"/>
        <w:rPr>
          <w:sz w:val="20"/>
          <w:szCs w:val="20"/>
          <w:color w:val="auto"/>
        </w:rPr>
      </w:pPr>
    </w:p>
    <w:p>
      <w:pPr>
        <w:ind w:left="760" w:firstLine="745"/>
        <w:spacing w:after="0" w:line="258" w:lineRule="auto"/>
        <w:tabs>
          <w:tab w:leader="none" w:pos="195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stock splits or distributions with respect to any Equity Interests of the Borrower or any of its Subsidiaries payable solely in additional shares of its Qualified Equity Interests;</w:t>
      </w:r>
    </w:p>
    <w:p>
      <w:pPr>
        <w:spacing w:after="0" w:line="131"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by an Obligor or a Subsidiary of an Obligor to an Obligor;</w:t>
      </w:r>
    </w:p>
    <w:p>
      <w:pPr>
        <w:spacing w:after="0" w:line="165"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8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spacing w:after="0" w:line="132"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cashless exercises of options and warrants;</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2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pursuant to the terms of employee stock purchase plans, employee restricted stock agreements, stockholder rights plans, director or consultant stock option plans, or similar plans in an aggregate amount not to exceed $100,000 in any fiscal year;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6" w:name="page127"/>
    <w:bookmarkEnd w:id="126"/>
    <w:p>
      <w:pPr>
        <w:jc w:val="both"/>
        <w:ind w:left="760" w:firstLine="745"/>
        <w:spacing w:after="0" w:line="244" w:lineRule="auto"/>
        <w:tabs>
          <w:tab w:leader="none" w:pos="192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cash payments in lieu of the issuance of fractional shares upon the conversion of convertible securities (or in connection with the exercise of warrants or similar securities) not to exceed $25,000 in any fiscal year; and</w:t>
      </w:r>
    </w:p>
    <w:p>
      <w:pPr>
        <w:spacing w:after="0" w:line="146" w:lineRule="exact"/>
        <w:rPr>
          <w:rFonts w:ascii="Times New Roman" w:cs="Times New Roman" w:eastAsia="Times New Roman" w:hAnsi="Times New Roman"/>
          <w:sz w:val="22"/>
          <w:szCs w:val="22"/>
          <w:color w:val="auto"/>
        </w:rPr>
      </w:pPr>
    </w:p>
    <w:p>
      <w:pPr>
        <w:ind w:left="1980" w:hanging="475"/>
        <w:spacing w:after="0"/>
        <w:tabs>
          <w:tab w:leader="none" w:pos="19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the Warrant Certificate.</w:t>
      </w:r>
    </w:p>
    <w:p>
      <w:pPr>
        <w:spacing w:after="0" w:line="16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9.07. Payments of Indebtedness. </w:t>
      </w:r>
      <w:r>
        <w:rPr>
          <w:rFonts w:ascii="Times New Roman" w:cs="Times New Roman" w:eastAsia="Times New Roman" w:hAnsi="Times New Roman"/>
          <w:sz w:val="22"/>
          <w:szCs w:val="22"/>
          <w:color w:val="auto"/>
        </w:rPr>
        <w:t>It will not, and will not permit any of its Subsidiaries to, make any payments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any Material Indebtedness other than (a) payments of the Obligations and (b) so long as no Default has occurred and is continuing, or would result therefrom, scheduled payments of other Permitted Indebtedness and repayment of intercompany Indebtedness permitted in reliance upon Section 9.01(e) (subject in each case to any subordination agreement entered into in connection therewith).</w:t>
      </w:r>
    </w:p>
    <w:p>
      <w:pPr>
        <w:spacing w:after="0" w:line="136"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Section 9.08. Change in Fiscal Year. </w:t>
      </w:r>
      <w:r>
        <w:rPr>
          <w:rFonts w:ascii="Times New Roman" w:cs="Times New Roman" w:eastAsia="Times New Roman" w:hAnsi="Times New Roman"/>
          <w:sz w:val="21"/>
          <w:szCs w:val="21"/>
          <w:color w:val="auto"/>
        </w:rPr>
        <w:t>It will not, and will not permit any of its Subsidiaries to, change the last day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fiscal year from that in effect on the date hereof, without prior written notice to the Administrative Agent, except to change the fiscal year of a Subsidiary acquired in connection with a Permitted Acquisition to conform its fiscal year to that of the Borrower.</w:t>
      </w:r>
    </w:p>
    <w:p>
      <w:pPr>
        <w:spacing w:after="0" w:line="12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Section 9.09. Sales of Assets, Etc. </w:t>
      </w:r>
      <w:r>
        <w:rPr>
          <w:rFonts w:ascii="Times New Roman" w:cs="Times New Roman" w:eastAsia="Times New Roman" w:hAnsi="Times New Roman"/>
          <w:sz w:val="21"/>
          <w:szCs w:val="21"/>
          <w:color w:val="auto"/>
        </w:rPr>
        <w:t>It will not, and will not permit any of its Subsidiaries to, sell, lease, exclusively license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rFonts w:ascii="Times New Roman" w:cs="Times New Roman" w:eastAsia="Times New Roman" w:hAnsi="Times New Roman"/>
          <w:sz w:val="21"/>
          <w:szCs w:val="21"/>
          <w:i w:val="1"/>
          <w:iCs w:val="1"/>
          <w:color w:val="auto"/>
        </w:rPr>
        <w:t>“Asset Sale”</w:t>
      </w:r>
      <w:r>
        <w:rPr>
          <w:rFonts w:ascii="Times New Roman" w:cs="Times New Roman" w:eastAsia="Times New Roman" w:hAnsi="Times New Roman"/>
          <w:sz w:val="21"/>
          <w:szCs w:val="21"/>
          <w:color w:val="auto"/>
        </w:rPr>
        <w:t>), except:</w:t>
      </w:r>
    </w:p>
    <w:p>
      <w:pPr>
        <w:spacing w:after="0" w:line="127" w:lineRule="exact"/>
        <w:rPr>
          <w:sz w:val="20"/>
          <w:szCs w:val="20"/>
          <w:color w:val="auto"/>
        </w:rPr>
      </w:pPr>
    </w:p>
    <w:p>
      <w:pPr>
        <w:ind w:left="1860" w:hanging="355"/>
        <w:spacing w:after="0"/>
        <w:tabs>
          <w:tab w:leader="none" w:pos="18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cash in the Ordinary Course of Business for equivalent value;</w:t>
      </w:r>
    </w:p>
    <w:p>
      <w:pPr>
        <w:spacing w:after="0" w:line="165"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leases of products and services in the Ordinary Course of Business on ordinary business terms;</w:t>
      </w:r>
    </w:p>
    <w:p>
      <w:pPr>
        <w:spacing w:after="0" w:line="179" w:lineRule="exact"/>
        <w:rPr>
          <w:rFonts w:ascii="Times New Roman" w:cs="Times New Roman" w:eastAsia="Times New Roman" w:hAnsi="Times New Roman"/>
          <w:sz w:val="22"/>
          <w:szCs w:val="22"/>
          <w:color w:val="auto"/>
        </w:rPr>
      </w:pPr>
    </w:p>
    <w:p>
      <w:pPr>
        <w:ind w:left="1900" w:hanging="395"/>
        <w:spacing w:after="0"/>
        <w:tabs>
          <w:tab w:leader="none" w:pos="19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forgiveness, release or compromise of any amount owed to any Obligor in the Ordinary Course of</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41" w:lineRule="exact"/>
        <w:rPr>
          <w:rFonts w:ascii="Times New Roman" w:cs="Times New Roman" w:eastAsia="Times New Roman" w:hAnsi="Times New Roman"/>
          <w:sz w:val="22"/>
          <w:szCs w:val="22"/>
          <w:color w:val="auto"/>
        </w:rPr>
      </w:pPr>
    </w:p>
    <w:p>
      <w:pPr>
        <w:ind w:left="1900" w:hanging="395"/>
        <w:spacing w:after="0"/>
        <w:tabs>
          <w:tab w:leader="none" w:pos="19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or becoming bound, by a Permitted License to the extent not otherwise prohibited by this</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41"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0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research, development and other collaborative arrangements where such arrangements provide for the license or disclosure of Patents, Trademarks, Copyrights or other Intellectual Property rights of any Obligor in the Ordinary Course of Business and consistent with general market practices;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licenses must be true licenses that do not result in a legal transfer of title of the licensed Property or otherwise constitute sales transactions in substance, and (ii) the aggregate amount of such periodic payments to the Obligors in any fiscal year shall not exceed $250,000;</w:t>
      </w:r>
    </w:p>
    <w:p>
      <w:pPr>
        <w:spacing w:after="0" w:line="154"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w:t>
      </w:r>
    </w:p>
    <w:p>
      <w:pPr>
        <w:spacing w:after="0" w:line="132"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Casualty Events;</w:t>
      </w:r>
    </w:p>
    <w:p>
      <w:pPr>
        <w:spacing w:after="0" w:line="165"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9.02, 9.03, 9.05 and 9.20; and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7" w:name="page128"/>
    <w:bookmarkEnd w:id="127"/>
    <w:p>
      <w:pPr>
        <w:ind w:left="760" w:firstLine="745"/>
        <w:spacing w:after="0" w:line="282" w:lineRule="auto"/>
        <w:tabs>
          <w:tab w:leader="none" w:pos="188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shall have occurred and is continuing at the time of such Asset Sale, or after giving effect thereto, Asset Sales of other property not to exceed $100,000 in the aggregate per fiscal year.</w:t>
      </w:r>
    </w:p>
    <w:p>
      <w:pPr>
        <w:spacing w:after="0" w:line="10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9.10. Transactions with Affiliates. </w:t>
      </w:r>
      <w:r>
        <w:rPr>
          <w:rFonts w:ascii="Times New Roman" w:cs="Times New Roman" w:eastAsia="Times New Roman" w:hAnsi="Times New Roman"/>
          <w:sz w:val="22"/>
          <w:szCs w:val="22"/>
          <w:color w:val="auto"/>
        </w:rPr>
        <w:t>It will not, and will not permit any of its Subsidiaries to, sell, lease, license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transfer any assets to, or purchase, lease, license or otherwise acquire any assets from, or otherwise engage in any other transactions with, any of its Affiliates, except:</w:t>
      </w:r>
    </w:p>
    <w:p>
      <w:pPr>
        <w:spacing w:after="0" w:line="131" w:lineRule="exact"/>
        <w:rPr>
          <w:sz w:val="20"/>
          <w:szCs w:val="20"/>
          <w:color w:val="auto"/>
        </w:rPr>
      </w:pPr>
    </w:p>
    <w:p>
      <w:pPr>
        <w:ind w:left="1860" w:hanging="355"/>
        <w:spacing w:after="0"/>
        <w:tabs>
          <w:tab w:leader="none" w:pos="18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Obligors;</w:t>
      </w:r>
    </w:p>
    <w:p>
      <w:pPr>
        <w:spacing w:after="0" w:line="165"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9.01, 9.05, 9.06 or 9.09;</w:t>
      </w:r>
    </w:p>
    <w:p>
      <w:pPr>
        <w:spacing w:after="0" w:line="179" w:lineRule="exact"/>
        <w:rPr>
          <w:rFonts w:ascii="Times New Roman" w:cs="Times New Roman" w:eastAsia="Times New Roman" w:hAnsi="Times New Roman"/>
          <w:sz w:val="22"/>
          <w:szCs w:val="22"/>
          <w:color w:val="auto"/>
        </w:rPr>
      </w:pPr>
    </w:p>
    <w:p>
      <w:pPr>
        <w:ind w:left="760" w:firstLine="745"/>
        <w:spacing w:after="0" w:line="258" w:lineRule="auto"/>
        <w:tabs>
          <w:tab w:leader="none" w:pos="200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compensation and indemnification of, and other employment arrangements with, directors, officers and employees of any Obligor in the Ordinary Course of Business;</w:t>
      </w:r>
    </w:p>
    <w:p>
      <w:pPr>
        <w:spacing w:after="0" w:line="117" w:lineRule="exact"/>
        <w:rPr>
          <w:rFonts w:ascii="Times New Roman" w:cs="Times New Roman" w:eastAsia="Times New Roman" w:hAnsi="Times New Roman"/>
          <w:sz w:val="22"/>
          <w:szCs w:val="22"/>
          <w:color w:val="auto"/>
        </w:rPr>
      </w:pPr>
    </w:p>
    <w:p>
      <w:pPr>
        <w:ind w:left="760" w:right="20" w:firstLine="745"/>
        <w:spacing w:after="0" w:line="285" w:lineRule="exact"/>
        <w:tabs>
          <w:tab w:leader="none" w:pos="200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upon fair and reasonable terms that are no less favorable to any Obligor than would be obtained in a comparable 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transaction with a Person not an Affiliate; and</w:t>
      </w:r>
    </w:p>
    <w:p>
      <w:pPr>
        <w:spacing w:after="0" w:line="105"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set forth on Schedule 9.10.</w:t>
      </w:r>
    </w:p>
    <w:p>
      <w:pPr>
        <w:spacing w:after="0" w:line="175"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9.11. Restrictive Agreements. </w:t>
      </w:r>
      <w:r>
        <w:rPr>
          <w:rFonts w:ascii="Times New Roman" w:cs="Times New Roman" w:eastAsia="Times New Roman" w:hAnsi="Times New Roman"/>
          <w:sz w:val="22"/>
          <w:szCs w:val="22"/>
          <w:color w:val="auto"/>
        </w:rPr>
        <w:t>It will not, and will not permit any of its Subsidiaries to, directly or indirectly, enter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or (d) limitations associated with Permitted Liens or with any transaction permitted under Sections 9.01, 9.03, 9.05, 9.06 or 9.09.</w:t>
      </w:r>
    </w:p>
    <w:p>
      <w:pPr>
        <w:spacing w:after="0" w:line="136"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9.12.</w:t>
      </w:r>
      <w:r>
        <w:rPr>
          <w:sz w:val="20"/>
          <w:szCs w:val="20"/>
          <w:color w:val="auto"/>
        </w:rPr>
        <w:tab/>
      </w:r>
      <w:r>
        <w:rPr>
          <w:rFonts w:ascii="Times New Roman" w:cs="Times New Roman" w:eastAsia="Times New Roman" w:hAnsi="Times New Roman"/>
          <w:sz w:val="21"/>
          <w:szCs w:val="21"/>
          <w:i w:val="1"/>
          <w:iCs w:val="1"/>
          <w:color w:val="auto"/>
        </w:rPr>
        <w:t>Organizational Documents, Material Agreements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left="760" w:firstLine="745"/>
        <w:spacing w:after="0" w:line="239" w:lineRule="auto"/>
        <w:tabs>
          <w:tab w:leader="none" w:pos="195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enter into any amendment to or modification of any Organizational Document, without the prior written consent of the Administrative Agent, except for such amendments or modifications (i) that are required by any Requirement of Law or (ii) which are not individually or in the aggregate materially adverse to the interests of Administrative Agent or any Lender, in their capacities as such.</w:t>
      </w:r>
    </w:p>
    <w:p>
      <w:pPr>
        <w:spacing w:after="0" w:line="15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1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(i) enter into any waiver, amendment or modification of any Material Agreement (including, but not limited to, any amendments to provisions relating to pricing and term) that would be reasonably expected to individually or in the aggregate, be materially adverse to the interests of Administrative Agent or any Lender, in their capacities as such or give rise to a Material Adverse Effect or (ii) take or omit to take any action that results in the termination of, or permits any other Person to terminate, any Material Agreement or Material Intellectual Property that would be reasonably expected to individually or in the aggregate, be materially adverse to the interests of Administrative Agent or any Lender, in their capacities as such, without, in each case, the prior written consent of the Administrative Agent.</w:t>
      </w:r>
    </w:p>
    <w:p>
      <w:pPr>
        <w:spacing w:after="0" w:line="134"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9.13.</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166" w:lineRule="exact"/>
        <w:rPr>
          <w:sz w:val="20"/>
          <w:szCs w:val="20"/>
          <w:color w:val="auto"/>
        </w:rPr>
      </w:pPr>
    </w:p>
    <w:p>
      <w:pPr>
        <w:jc w:val="both"/>
        <w:ind w:firstLine="373"/>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9.14. Sales and Leasebacks. </w:t>
      </w:r>
      <w:r>
        <w:rPr>
          <w:rFonts w:ascii="Times New Roman" w:cs="Times New Roman" w:eastAsia="Times New Roman" w:hAnsi="Times New Roman"/>
          <w:sz w:val="22"/>
          <w:szCs w:val="22"/>
          <w:color w:val="auto"/>
        </w:rPr>
        <w:t>Except as permitted by Section 9.01(g), it will not, and will not permit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to, become liable, directly or indirectly, with respect to any lease, whether an operating lease or a Capital Lease Obligation, of any Property (whether real, personal, 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8" w:name="page129"/>
    <w:bookmarkEnd w:id="128"/>
    <w:p>
      <w:pPr>
        <w:jc w:val="both"/>
        <w:spacing w:after="0" w:line="244" w:lineRule="auto"/>
        <w:rPr>
          <w:sz w:val="20"/>
          <w:szCs w:val="20"/>
          <w:color w:val="auto"/>
        </w:rPr>
      </w:pPr>
      <w:r>
        <w:rPr>
          <w:rFonts w:ascii="Times New Roman" w:cs="Times New Roman" w:eastAsia="Times New Roman" w:hAnsi="Times New Roman"/>
          <w:sz w:val="22"/>
          <w:szCs w:val="22"/>
          <w:color w:val="auto"/>
        </w:rPr>
        <w:t>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spacing w:after="0" w:line="14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9.15. Hazardous Material. </w:t>
      </w:r>
      <w:r>
        <w:rPr>
          <w:rFonts w:ascii="Times New Roman" w:cs="Times New Roman" w:eastAsia="Times New Roman" w:hAnsi="Times New Roman"/>
          <w:sz w:val="22"/>
          <w:szCs w:val="22"/>
          <w:color w:val="auto"/>
        </w:rPr>
        <w:t>It will not, and will not permit any of its Subsidiaries to, use, generate, manufacture,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 treat, release, store or dispose of any Hazardous Material, except in compliance with all applicable Environmental Laws or where the failure to comply would not reasonably be expected to result in a Material Adverse Change.</w:t>
      </w:r>
    </w:p>
    <w:p>
      <w:pPr>
        <w:spacing w:after="0" w:line="127"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9.16. Accounting Changes. </w:t>
      </w:r>
      <w:r>
        <w:rPr>
          <w:rFonts w:ascii="Times New Roman" w:cs="Times New Roman" w:eastAsia="Times New Roman" w:hAnsi="Times New Roman"/>
          <w:sz w:val="22"/>
          <w:szCs w:val="22"/>
          <w:color w:val="auto"/>
        </w:rPr>
        <w:t>It will not, and will not permit any of its Subsidiaries to, make any significant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accounting treatment, except as required or permitted by GAAP.</w:t>
      </w:r>
    </w:p>
    <w:p>
      <w:pPr>
        <w:spacing w:after="0" w:line="109" w:lineRule="exact"/>
        <w:rPr>
          <w:sz w:val="20"/>
          <w:szCs w:val="20"/>
          <w:color w:val="auto"/>
        </w:rPr>
      </w:pPr>
    </w:p>
    <w:p>
      <w:pPr>
        <w:jc w:val="both"/>
        <w:ind w:firstLine="373"/>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9.17. Compliance with ERISA. </w:t>
      </w:r>
      <w:r>
        <w:rPr>
          <w:rFonts w:ascii="Times New Roman" w:cs="Times New Roman" w:eastAsia="Times New Roman" w:hAnsi="Times New Roman"/>
          <w:sz w:val="22"/>
          <w:szCs w:val="22"/>
          <w:color w:val="auto"/>
        </w:rPr>
        <w:t>No Obligor or ERISA Affiliate shall cause or suffer to exist (a) any event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would result in the imposition of a Lien with respect to any Title IV Plan or Multiemployer Plan or (b) any other ERISA Event, in the case of (a) and (b), that would, in the aggregate, have a Material Adverse Effect.</w:t>
      </w:r>
    </w:p>
    <w:p>
      <w:pPr>
        <w:spacing w:after="0" w:line="14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9.18. Deposit Accounts. </w:t>
      </w:r>
      <w:r>
        <w:rPr>
          <w:rFonts w:ascii="Times New Roman" w:cs="Times New Roman" w:eastAsia="Times New Roman" w:hAnsi="Times New Roman"/>
          <w:sz w:val="22"/>
          <w:szCs w:val="22"/>
          <w:color w:val="auto"/>
        </w:rPr>
        <w:t>It will not, and will not permit any of its Subsidiaries to, establish or maintain any bank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that is not a Controlled Account (other than an Excluded Account) and will not, and will not permit any of its Subsidiaries to, deposit proceeds in any account that is not a Controlled Account (other than an Excluded Account).</w:t>
      </w:r>
    </w:p>
    <w:p>
      <w:pPr>
        <w:spacing w:after="0" w:line="127"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9.19. Outbound Licenses. </w:t>
      </w:r>
      <w:r>
        <w:rPr>
          <w:rFonts w:ascii="Times New Roman" w:cs="Times New Roman" w:eastAsia="Times New Roman" w:hAnsi="Times New Roman"/>
          <w:sz w:val="22"/>
          <w:szCs w:val="22"/>
          <w:color w:val="auto"/>
        </w:rPr>
        <w:t>It will not, and will not permit any of its Subsidiaries to, enter into or become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outbound license or agreement unless such outbound license or agreement is a Permitted License.</w:t>
      </w:r>
    </w:p>
    <w:p>
      <w:pPr>
        <w:spacing w:after="0" w:line="109"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9.20. Inbound Licenses. </w:t>
      </w:r>
      <w:r>
        <w:rPr>
          <w:rFonts w:ascii="Times New Roman" w:cs="Times New Roman" w:eastAsia="Times New Roman" w:hAnsi="Times New Roman"/>
          <w:sz w:val="22"/>
          <w:szCs w:val="22"/>
          <w:color w:val="auto"/>
        </w:rPr>
        <w:t>It will not, and will not permit any of its Subsidiaries to, enter into or become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inbound license or agreement (other than Permitted Licenses) unless (a) no Default has occurred and is continuing, (b) the Obligors have provided written notice to the Administrative Agent of the material terms of such license or agreement with a description of its anticipated and projected impact on such Obligor’s business or financial condition, and (c) in the case of an Obligor,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allowing the Administrative Agent to fully exercise its rights under any of the Loan Documents in the event of a disposition or liquidation of the rights, assets or property that is the subject of such license or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amounts to be paid under all such inbound licenses pursuant to this Section 9.20 shall not exceed an amount equal to $1,000,000 per fiscal year.</w:t>
      </w:r>
    </w:p>
    <w:p>
      <w:pPr>
        <w:spacing w:after="0" w:line="152"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9.21. Reimbursement from Third-Party Payor Program. </w:t>
      </w:r>
      <w:r>
        <w:rPr>
          <w:rFonts w:ascii="Times New Roman" w:cs="Times New Roman" w:eastAsia="Times New Roman" w:hAnsi="Times New Roman"/>
          <w:sz w:val="22"/>
          <w:szCs w:val="22"/>
          <w:color w:val="auto"/>
        </w:rPr>
        <w:t>It will not, and will not permit any of its Subsidiaries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participate in, or otherwise receive reimbursement from, any Third-Party Payor Program.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9" w:name="page130"/>
    <w:bookmarkEnd w:id="129"/>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10</w:t>
      </w:r>
    </w:p>
    <w:p>
      <w:pPr>
        <w:spacing w:after="0" w:line="23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efault</w:t>
      </w:r>
    </w:p>
    <w:p>
      <w:pPr>
        <w:spacing w:after="0" w:line="17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10.01.</w:t>
      </w:r>
      <w:r>
        <w:rPr>
          <w:sz w:val="20"/>
          <w:szCs w:val="20"/>
          <w:color w:val="auto"/>
        </w:rPr>
        <w:tab/>
      </w:r>
      <w:r>
        <w:rPr>
          <w:rFonts w:ascii="Times New Roman" w:cs="Times New Roman" w:eastAsia="Times New Roman" w:hAnsi="Times New Roman"/>
          <w:sz w:val="21"/>
          <w:szCs w:val="21"/>
          <w:i w:val="1"/>
          <w:iCs w:val="1"/>
          <w:color w:val="auto"/>
        </w:rPr>
        <w:t xml:space="preserve">Events of Default. </w:t>
      </w:r>
      <w:r>
        <w:rPr>
          <w:rFonts w:ascii="Times New Roman" w:cs="Times New Roman" w:eastAsia="Times New Roman" w:hAnsi="Times New Roman"/>
          <w:sz w:val="21"/>
          <w:szCs w:val="21"/>
          <w:color w:val="auto"/>
        </w:rPr>
        <w:t>Each of the following events shall constitute an</w:t>
      </w:r>
      <w:r>
        <w:rPr>
          <w:rFonts w:ascii="Times New Roman" w:cs="Times New Roman" w:eastAsia="Times New Roman" w:hAnsi="Times New Roman"/>
          <w:sz w:val="21"/>
          <w:szCs w:val="21"/>
          <w:i w:val="1"/>
          <w:iCs w:val="1"/>
          <w:color w:val="auto"/>
        </w:rPr>
        <w:t xml:space="preserve"> “Event of Default”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400" w:firstLine="745"/>
        <w:spacing w:after="0" w:line="258" w:lineRule="auto"/>
        <w:tabs>
          <w:tab w:leader="none" w:pos="159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on the Term Loans when and as the same shall become due and payable, whether at the due date thereof or at a date fixed for prepayment thereof or otherwise; or</w:t>
      </w:r>
    </w:p>
    <w:p>
      <w:pPr>
        <w:spacing w:after="0" w:line="117" w:lineRule="exact"/>
        <w:rPr>
          <w:rFonts w:ascii="Times New Roman" w:cs="Times New Roman" w:eastAsia="Times New Roman" w:hAnsi="Times New Roman"/>
          <w:sz w:val="22"/>
          <w:szCs w:val="22"/>
          <w:color w:val="auto"/>
        </w:rPr>
      </w:pPr>
    </w:p>
    <w:p>
      <w:pPr>
        <w:jc w:val="both"/>
        <w:ind w:left="400" w:firstLine="745"/>
        <w:spacing w:after="0" w:line="244" w:lineRule="auto"/>
        <w:tabs>
          <w:tab w:leader="none" w:pos="159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pay any Obligation (other than an amount referred to in Section 10.01(a)) when and as the same shall become due and payable, and such failure shall continue unremedied for a period of three (3) Business Days; or</w:t>
      </w:r>
    </w:p>
    <w:p>
      <w:pPr>
        <w:spacing w:after="0" w:line="146" w:lineRule="exact"/>
        <w:rPr>
          <w:rFonts w:ascii="Times New Roman" w:cs="Times New Roman" w:eastAsia="Times New Roman" w:hAnsi="Times New Roman"/>
          <w:sz w:val="22"/>
          <w:szCs w:val="22"/>
          <w:color w:val="auto"/>
        </w:rPr>
      </w:pPr>
    </w:p>
    <w:p>
      <w:pPr>
        <w:jc w:val="both"/>
        <w:ind w:left="400" w:firstLine="745"/>
        <w:spacing w:after="0" w:line="235" w:lineRule="auto"/>
        <w:tabs>
          <w:tab w:leader="none" w:pos="162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spacing w:after="0" w:line="137" w:lineRule="exact"/>
        <w:rPr>
          <w:rFonts w:ascii="Times New Roman" w:cs="Times New Roman" w:eastAsia="Times New Roman" w:hAnsi="Times New Roman"/>
          <w:sz w:val="22"/>
          <w:szCs w:val="22"/>
          <w:color w:val="auto"/>
        </w:rPr>
      </w:pPr>
    </w:p>
    <w:p>
      <w:pPr>
        <w:jc w:val="both"/>
        <w:ind w:left="400" w:firstLine="745"/>
        <w:spacing w:after="0" w:line="282" w:lineRule="auto"/>
        <w:tabs>
          <w:tab w:leader="none" w:pos="159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Obligor shall fail to observe or perform any covenant, condition or agreement contained in Sections 8.01, 8.02, 8.03(a) (with respect to such Obligor’s existence), 8.10, 8.11, 8.13, 8.15, 8.16, 8.17, 8.18, 8.19 or Article 9; or</w:t>
      </w:r>
    </w:p>
    <w:p>
      <w:pPr>
        <w:spacing w:after="0" w:line="94" w:lineRule="exact"/>
        <w:rPr>
          <w:rFonts w:ascii="Times New Roman" w:cs="Times New Roman" w:eastAsia="Times New Roman" w:hAnsi="Times New Roman"/>
          <w:sz w:val="21"/>
          <w:szCs w:val="21"/>
          <w:color w:val="auto"/>
        </w:rPr>
      </w:pPr>
    </w:p>
    <w:p>
      <w:pPr>
        <w:jc w:val="both"/>
        <w:ind w:left="400" w:firstLine="745"/>
        <w:spacing w:after="0" w:line="244" w:lineRule="auto"/>
        <w:tabs>
          <w:tab w:leader="none" w:pos="164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observe or perform any covenant, condition or agreement contained in this Agreement (other than those specified in Section 10.01(a), (b) or (d)) or any other Loan Document, and, in the case of any failure that is capable of cure, such failure shall continue unremedied for a period of thirty (30) or more days; or</w:t>
      </w:r>
    </w:p>
    <w:p>
      <w:pPr>
        <w:spacing w:after="0" w:line="146" w:lineRule="exact"/>
        <w:rPr>
          <w:rFonts w:ascii="Times New Roman" w:cs="Times New Roman" w:eastAsia="Times New Roman" w:hAnsi="Times New Roman"/>
          <w:sz w:val="22"/>
          <w:szCs w:val="22"/>
          <w:color w:val="auto"/>
        </w:rPr>
      </w:pPr>
    </w:p>
    <w:p>
      <w:pPr>
        <w:jc w:val="both"/>
        <w:ind w:left="400" w:firstLine="745"/>
        <w:spacing w:after="0" w:line="244" w:lineRule="auto"/>
        <w:tabs>
          <w:tab w:leader="none" w:pos="157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or</w:t>
      </w:r>
    </w:p>
    <w:p>
      <w:pPr>
        <w:spacing w:after="0" w:line="132" w:lineRule="exact"/>
        <w:rPr>
          <w:rFonts w:ascii="Times New Roman" w:cs="Times New Roman" w:eastAsia="Times New Roman" w:hAnsi="Times New Roman"/>
          <w:sz w:val="22"/>
          <w:szCs w:val="22"/>
          <w:color w:val="auto"/>
        </w:rPr>
      </w:pPr>
    </w:p>
    <w:p>
      <w:pPr>
        <w:jc w:val="both"/>
        <w:ind w:left="400" w:firstLine="745"/>
        <w:spacing w:after="0" w:line="234" w:lineRule="auto"/>
        <w:tabs>
          <w:tab w:leader="none" w:pos="156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10.01(g) shall not apply to secured Indebtedness that becomes due as a result of the voluntary sale or transfer of the Property securing such Material Indebtedness; or</w:t>
      </w:r>
    </w:p>
    <w:p>
      <w:pPr>
        <w:spacing w:after="0" w:line="142" w:lineRule="exact"/>
        <w:rPr>
          <w:rFonts w:ascii="Times New Roman" w:cs="Times New Roman" w:eastAsia="Times New Roman" w:hAnsi="Times New Roman"/>
          <w:sz w:val="22"/>
          <w:szCs w:val="22"/>
          <w:color w:val="auto"/>
        </w:rPr>
      </w:pPr>
    </w:p>
    <w:p>
      <w:pPr>
        <w:ind w:left="1560" w:hanging="415"/>
        <w:spacing w:after="0"/>
        <w:tabs>
          <w:tab w:leader="none" w:pos="15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or any of its Subsidiaries:</w:t>
      </w:r>
    </w:p>
    <w:p>
      <w:pPr>
        <w:spacing w:after="0" w:line="2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148" w:right="339" w:bottom="1440" w:gutter="0" w:footer="0" w:header="0"/>
        </w:sectPr>
      </w:pPr>
    </w:p>
    <w:bookmarkStart w:id="130" w:name="page131"/>
    <w:bookmarkEnd w:id="130"/>
    <w:p>
      <w:pPr>
        <w:jc w:val="both"/>
        <w:ind w:left="380" w:firstLine="754"/>
        <w:spacing w:after="0" w:line="239" w:lineRule="auto"/>
        <w:tabs>
          <w:tab w:leader="none" w:pos="154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spacing w:after="0" w:line="153" w:lineRule="exact"/>
        <w:rPr>
          <w:rFonts w:ascii="Times New Roman" w:cs="Times New Roman" w:eastAsia="Times New Roman" w:hAnsi="Times New Roman"/>
          <w:sz w:val="22"/>
          <w:szCs w:val="22"/>
          <w:color w:val="auto"/>
        </w:rPr>
      </w:pPr>
    </w:p>
    <w:p>
      <w:pPr>
        <w:jc w:val="both"/>
        <w:ind w:left="380" w:firstLine="754"/>
        <w:spacing w:after="0" w:line="235" w:lineRule="auto"/>
        <w:tabs>
          <w:tab w:leader="none" w:pos="169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10.01(i),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spacing w:after="0" w:line="137"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9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spacing w:after="0" w:line="142"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80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$500,000 (excluding any amounts covered by insurance as to which the applicable carrier has accepted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spacing w:after="0" w:line="149" w:lineRule="exact"/>
        <w:rPr>
          <w:rFonts w:ascii="Times New Roman" w:cs="Times New Roman" w:eastAsia="Times New Roman" w:hAnsi="Times New Roman"/>
          <w:sz w:val="22"/>
          <w:szCs w:val="22"/>
          <w:color w:val="auto"/>
        </w:rPr>
      </w:pPr>
    </w:p>
    <w:p>
      <w:pPr>
        <w:ind w:left="-360" w:firstLine="745"/>
        <w:spacing w:after="0" w:line="258" w:lineRule="auto"/>
        <w:tabs>
          <w:tab w:leader="none" w:pos="114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Lenders, when taken together with all other ERISA Events that have occurred, would reasonably be expected to have a Material Adverse Effect; or</w:t>
      </w:r>
    </w:p>
    <w:p>
      <w:pPr>
        <w:spacing w:after="0" w:line="117" w:lineRule="exact"/>
        <w:rPr>
          <w:rFonts w:ascii="Times New Roman" w:cs="Times New Roman" w:eastAsia="Times New Roman" w:hAnsi="Times New Roman"/>
          <w:sz w:val="22"/>
          <w:szCs w:val="22"/>
          <w:color w:val="auto"/>
        </w:rPr>
      </w:pPr>
    </w:p>
    <w:p>
      <w:pPr>
        <w:ind w:left="800" w:hanging="415"/>
        <w:spacing w:after="0"/>
        <w:tabs>
          <w:tab w:leader="none" w:pos="8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shall have occurred; or</w:t>
      </w:r>
    </w:p>
    <w:p>
      <w:pPr>
        <w:spacing w:after="0" w:line="165" w:lineRule="exact"/>
        <w:rPr>
          <w:rFonts w:ascii="Times New Roman" w:cs="Times New Roman" w:eastAsia="Times New Roman" w:hAnsi="Times New Roman"/>
          <w:sz w:val="22"/>
          <w:szCs w:val="22"/>
          <w:color w:val="auto"/>
        </w:rPr>
      </w:pPr>
    </w:p>
    <w:p>
      <w:pPr>
        <w:ind w:left="800" w:hanging="415"/>
        <w:spacing w:after="0"/>
        <w:tabs>
          <w:tab w:leader="none" w:pos="8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shall have occurred; or</w:t>
      </w:r>
    </w:p>
    <w:p>
      <w:pPr>
        <w:spacing w:after="0" w:line="179"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0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 Agent or any Lender(s), (ii) the Security Documents or any Guarantee of any of the Obligations shall for whatever reason cease to be in full force and effect, or (iii) any of the Security Documents or any Guarantee of any of the Obligations, or the enforceability thereof, shall be repudiated or contested in writing by any Obligor; or</w:t>
      </w:r>
    </w:p>
    <w:p>
      <w:pPr>
        <w:spacing w:after="0" w:line="2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52" w:right="339" w:bottom="1440" w:gutter="0" w:footer="0" w:header="0"/>
        </w:sectPr>
      </w:pPr>
    </w:p>
    <w:bookmarkStart w:id="131" w:name="page132"/>
    <w:bookmarkEnd w:id="131"/>
    <w:p>
      <w:pPr>
        <w:jc w:val="both"/>
        <w:ind w:left="760" w:firstLine="745"/>
        <w:spacing w:after="0" w:line="244" w:lineRule="auto"/>
        <w:tabs>
          <w:tab w:leader="none" w:pos="188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injunction, whether temporary or permanent, shall be rendered against any Obligor that prevents the Obligors from selling or manufacturing any Product and which results in a loss of revenue equal to at least $1,000,000; or</w:t>
      </w:r>
    </w:p>
    <w:p>
      <w:pPr>
        <w:spacing w:after="0" w:line="14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FDA or any other Governmental Authority (A) issues a letter or other communication asserting that any Product lacks a required Product Authorization, including in respect of CE marks, Premarket Approvals, or 510(k)s or (B) initiates 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Permit (including all Product Authorizations), or any of the Obligors’ material rights or interests thereunder, is terminated, adversely amended or otherwise determined to be ineffective in any manner materially adverse to any of the Obligors, in each case, for more than ninety (90) days, (iii) there is a recall of any Product in any territory that would reasonably be expected to result in a loss of revenue equal to at least $500,000 over the twelve (12) month period following such event or (iv) any Obligor is required to pay a fine, penalty, settlement amount or other payment to any Governmental Authority which individually or in the aggregate is in excess of $500,000 (excluding any amounts covered by insurance as to which the applicable carrier has accepted coverage) for any violation or alleged violation of any Health Care Law.</w:t>
      </w:r>
    </w:p>
    <w:p>
      <w:pPr>
        <w:spacing w:after="0" w:line="13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10.02.</w:t>
      </w:r>
      <w:r>
        <w:rPr>
          <w:sz w:val="20"/>
          <w:szCs w:val="20"/>
          <w:color w:val="auto"/>
        </w:rPr>
        <w:tab/>
      </w:r>
      <w:r>
        <w:rPr>
          <w:rFonts w:ascii="Times New Roman" w:cs="Times New Roman" w:eastAsia="Times New Roman" w:hAnsi="Times New Roman"/>
          <w:sz w:val="21"/>
          <w:szCs w:val="21"/>
          <w:i w:val="1"/>
          <w:iCs w:val="1"/>
          <w:color w:val="auto"/>
        </w:rPr>
        <w:t>Remedies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left="760" w:firstLine="745"/>
        <w:spacing w:after="0" w:line="234" w:lineRule="auto"/>
        <w:tabs>
          <w:tab w:leader="none" w:pos="192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of Default, then, and in every such event (other than an Event of Default described in Section 10.01(h) or (i)),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(including the Exit Fee and fees payable pursuant to the Fee Letter) and other Obligations, shall become due and payable immediately (in the case of the Term Loans, at the Redemption Price therefor), without presentment, demand, protest or other notice of any kind, all of which are hereby waived by each Obligor.</w:t>
      </w:r>
    </w:p>
    <w:p>
      <w:pPr>
        <w:spacing w:after="0" w:line="152"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3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of Default described in Section 10.01(h) or (i), the Commitments shall automatically terminate and the principal amount of the Term Loans then outstanding, together with accrued interest thereon and all fees (including the Exit Fee and fees payable pursuant to the Fee Letter) and other Obligations, shall automatically become due and payable immediately (in the case of the Term Loan, at the Redemption Price therefor), without presentment, demand, protest or other notice of any kind, all of which are hereby waived by each Obligor.</w:t>
      </w:r>
    </w:p>
    <w:p>
      <w:pPr>
        <w:spacing w:after="0" w:line="136" w:lineRule="exact"/>
        <w:rPr>
          <w:rFonts w:ascii="Times New Roman" w:cs="Times New Roman" w:eastAsia="Times New Roman" w:hAnsi="Times New Roman"/>
          <w:sz w:val="22"/>
          <w:szCs w:val="22"/>
          <w:color w:val="auto"/>
        </w:rPr>
      </w:pPr>
    </w:p>
    <w:p>
      <w:pPr>
        <w:ind w:left="760" w:firstLine="745"/>
        <w:spacing w:after="0" w:line="258" w:lineRule="auto"/>
        <w:tabs>
          <w:tab w:leader="none" w:pos="193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collects any money or property pursuant to this Article 10, they shall pay out the money or property in the order set forth in Section 4.01(c).</w:t>
      </w:r>
    </w:p>
    <w:p>
      <w:pPr>
        <w:spacing w:after="0" w:line="195" w:lineRule="exact"/>
        <w:rPr>
          <w:sz w:val="20"/>
          <w:szCs w:val="20"/>
          <w:color w:val="auto"/>
        </w:rPr>
      </w:pPr>
    </w:p>
    <w:p>
      <w:pPr>
        <w:jc w:val="both"/>
        <w:ind w:firstLine="373"/>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10.03. Exit Fee; Prepayment Premium and Redemption Price. </w:t>
      </w:r>
      <w:r>
        <w:rPr>
          <w:rFonts w:ascii="Times New Roman" w:cs="Times New Roman" w:eastAsia="Times New Roman" w:hAnsi="Times New Roman"/>
          <w:sz w:val="22"/>
          <w:szCs w:val="22"/>
          <w:color w:val="auto"/>
        </w:rPr>
        <w:t>For the avoidance of doubt, the Exit Fee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Prepayment Premium (as a component of the Redemption Price) shall be due and payable at any time the Term Loans become due and payable prior to the Stated Maturity Date for any reason, whether due to acceleration pursuant to the terms of this Agreement (in which case it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32" w:name="page133"/>
    <w:bookmarkEnd w:id="132"/>
    <w:p>
      <w:pPr>
        <w:jc w:val="both"/>
        <w:spacing w:after="0" w:line="244" w:lineRule="auto"/>
        <w:rPr>
          <w:sz w:val="20"/>
          <w:szCs w:val="20"/>
          <w:color w:val="auto"/>
        </w:rPr>
      </w:pPr>
      <w:r>
        <w:rPr>
          <w:rFonts w:ascii="Times New Roman" w:cs="Times New Roman" w:eastAsia="Times New Roman" w:hAnsi="Times New Roman"/>
          <w:sz w:val="21"/>
          <w:szCs w:val="21"/>
          <w:color w:val="auto"/>
        </w:rPr>
        <w:t>shall be due immediately, upon the giving of notice to the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the Exit Fee and any Prepayment Premium shall be due and payable upon such date. Each Obligor hereby waives any defense to payment, whether such defense may be based in public policy, ambiguity, or otherwise. The Obligors and the Lenders acknowledge and agree that neither the Exit Fee nor any Prepayment Premium due and payable in accordance with this Agreement shall constitute unmatured interest, whether under Section 502(b)</w:t>
      </w:r>
    </w:p>
    <w:p>
      <w:pPr>
        <w:spacing w:after="0" w:line="4" w:lineRule="exact"/>
        <w:rPr>
          <w:sz w:val="20"/>
          <w:szCs w:val="20"/>
          <w:color w:val="auto"/>
        </w:rPr>
      </w:pPr>
    </w:p>
    <w:p>
      <w:pPr>
        <w:ind w:firstLine="8"/>
        <w:spacing w:after="0" w:line="237" w:lineRule="auto"/>
        <w:tabs>
          <w:tab w:leader="none" w:pos="3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Bankruptcy Code or otherwise. Each Obligor further acknowledges and agrees, and waives any argument to the contrary, that payment of such amount does not constitute a penalty or an otherwise unenforceable or invalid obligation.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uarantee</w:t>
      </w:r>
    </w:p>
    <w:p>
      <w:pPr>
        <w:spacing w:after="0" w:line="233" w:lineRule="exact"/>
        <w:rPr>
          <w:sz w:val="20"/>
          <w:szCs w:val="20"/>
          <w:color w:val="auto"/>
        </w:rPr>
      </w:pPr>
    </w:p>
    <w:p>
      <w:pPr>
        <w:jc w:val="both"/>
        <w:ind w:firstLine="373"/>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Section 11.01. The Guarantee. </w:t>
      </w:r>
      <w:r>
        <w:rPr>
          <w:rFonts w:ascii="Times New Roman" w:cs="Times New Roman" w:eastAsia="Times New Roman" w:hAnsi="Times New Roman"/>
          <w:sz w:val="21"/>
          <w:szCs w:val="21"/>
          <w:color w:val="auto"/>
        </w:rPr>
        <w:t>The Guarantors hereby jointly and severally guarantee to the Administrative Agent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each Lender, and its successors and permitted assigns, the prompt payment in full when due (whether at stated maturity, by acceleration or otherwise) of the principal of and interest on the Term Loans, all fees and other amounts and all other Obligations from time to time owing to the Administrative Agent and any Lender by the Borrower and any other Obligor under this Agreement or under any other Loan Document, in each case strictly in accordance with the terms thereof (such obligations being herein collectively called the </w:t>
      </w:r>
      <w:r>
        <w:rPr>
          <w:rFonts w:ascii="Times New Roman" w:cs="Times New Roman" w:eastAsia="Times New Roman" w:hAnsi="Times New Roman"/>
          <w:sz w:val="21"/>
          <w:szCs w:val="21"/>
          <w:i w:val="1"/>
          <w:iCs w:val="1"/>
          <w:color w:val="auto"/>
        </w:rPr>
        <w:t>“Guaranteed Obligations”</w:t>
      </w:r>
      <w:r>
        <w:rPr>
          <w:rFonts w:ascii="Times New Roman" w:cs="Times New Roman" w:eastAsia="Times New Roman" w:hAnsi="Times New Roman"/>
          <w:sz w:val="21"/>
          <w:szCs w:val="21"/>
          <w:color w:val="auto"/>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11" w:lineRule="exact"/>
        <w:rPr>
          <w:sz w:val="20"/>
          <w:szCs w:val="20"/>
          <w:color w:val="auto"/>
        </w:rPr>
      </w:pPr>
    </w:p>
    <w:p>
      <w:pPr>
        <w:jc w:val="both"/>
        <w:ind w:firstLine="400"/>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Section 11.02. Obligations Unconditional. </w:t>
      </w:r>
      <w:r>
        <w:rPr>
          <w:rFonts w:ascii="Times New Roman" w:cs="Times New Roman" w:eastAsia="Times New Roman" w:hAnsi="Times New Roman"/>
          <w:sz w:val="22"/>
          <w:szCs w:val="22"/>
          <w:color w:val="auto"/>
        </w:rPr>
        <w:t>The Obligations of the Guarantors under Section 11.01 are irrevocable,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Guaranteed Obligations of the Guarantors hereunder shall be absolute and unconditional, joint and several, under any and all circumstances. Without limiting the generality of the foregoing, to the fullest extent permitted by law, it is agreed that the occurrence of any one or more of the following shall not alter or impair the liability of the Guarantors hereunder, which shall remain absolute and unconditional as described above:</w:t>
      </w:r>
    </w:p>
    <w:p>
      <w:pPr>
        <w:spacing w:after="0" w:line="224" w:lineRule="exact"/>
        <w:rPr>
          <w:sz w:val="20"/>
          <w:szCs w:val="20"/>
          <w:color w:val="auto"/>
        </w:rPr>
      </w:pPr>
    </w:p>
    <w:p>
      <w:pPr>
        <w:jc w:val="both"/>
        <w:ind w:left="760" w:firstLine="745"/>
        <w:spacing w:after="0" w:line="244" w:lineRule="auto"/>
        <w:tabs>
          <w:tab w:leader="none" w:pos="196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33" w:name="page134"/>
    <w:bookmarkEnd w:id="133"/>
    <w:p>
      <w:pPr>
        <w:ind w:left="-360" w:firstLine="745"/>
        <w:spacing w:after="0" w:line="258" w:lineRule="auto"/>
        <w:tabs>
          <w:tab w:leader="none" w:pos="80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acts mentioned in any of the provisions of this Agreement or any other agreement or instrument referred to herein shall be done or omitted;</w:t>
      </w:r>
    </w:p>
    <w:p>
      <w:pPr>
        <w:spacing w:after="0" w:line="185"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91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21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76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or security interest granted to, or in favor of, any Lender as security for any of the Guaranteed Obligations shall fail to be perfected or otherwise be taken, exchanged, substituted, varied, released, impaired, or subordinated;</w:t>
      </w:r>
    </w:p>
    <w:p>
      <w:pPr>
        <w:spacing w:after="0" w:line="213"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78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the Guaranteed Obligations shall be taken, released, impaired, amended, waived or otherwise modified;</w:t>
      </w:r>
    </w:p>
    <w:p>
      <w:pPr>
        <w:spacing w:after="0" w:line="185" w:lineRule="exact"/>
        <w:rPr>
          <w:rFonts w:ascii="Times New Roman" w:cs="Times New Roman" w:eastAsia="Times New Roman" w:hAnsi="Times New Roman"/>
          <w:sz w:val="22"/>
          <w:szCs w:val="22"/>
          <w:color w:val="auto"/>
        </w:rPr>
      </w:pPr>
    </w:p>
    <w:p>
      <w:pPr>
        <w:ind w:left="-360" w:firstLine="745"/>
        <w:spacing w:after="0" w:line="258" w:lineRule="auto"/>
        <w:tabs>
          <w:tab w:leader="none" w:pos="76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Guaranteed Obligations, any Loan Document, or any related agreement, security, or instrument shall be illegal, invalid or unenforceable for any reason whatsoever;</w:t>
      </w:r>
    </w:p>
    <w:p>
      <w:pPr>
        <w:spacing w:after="0" w:line="198" w:lineRule="exact"/>
        <w:rPr>
          <w:rFonts w:ascii="Times New Roman" w:cs="Times New Roman" w:eastAsia="Times New Roman" w:hAnsi="Times New Roman"/>
          <w:sz w:val="22"/>
          <w:szCs w:val="22"/>
          <w:color w:val="auto"/>
        </w:rPr>
      </w:pPr>
    </w:p>
    <w:p>
      <w:pPr>
        <w:ind w:left="-360" w:firstLine="745"/>
        <w:spacing w:after="0" w:line="258" w:lineRule="auto"/>
        <w:tabs>
          <w:tab w:leader="none" w:pos="77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Collateral or other assets shall be sold or disposed, and/or the proceeds of such sale or disposition applied, to satisfy all or part of the Guaranteed Obligations;</w:t>
      </w:r>
    </w:p>
    <w:p>
      <w:pPr>
        <w:spacing w:after="0" w:line="198"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6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security or Collateral held for the Guaranteed Obligations shall lose or diminish in value, whether such loss or diminution arises from any act or omission of the Administrative Agent or any Lender;</w:t>
      </w:r>
    </w:p>
    <w:p>
      <w:pPr>
        <w:spacing w:after="0" w:line="185" w:lineRule="exact"/>
        <w:rPr>
          <w:rFonts w:ascii="Times New Roman" w:cs="Times New Roman" w:eastAsia="Times New Roman" w:hAnsi="Times New Roman"/>
          <w:sz w:val="22"/>
          <w:szCs w:val="22"/>
          <w:color w:val="auto"/>
        </w:rPr>
      </w:pPr>
    </w:p>
    <w:p>
      <w:pPr>
        <w:ind w:left="-360" w:firstLine="745"/>
        <w:spacing w:after="0" w:line="258" w:lineRule="auto"/>
        <w:tabs>
          <w:tab w:leader="none" w:pos="80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Default, failure, or delay, willful or otherwise, in the payment and/or performance of the Guaranteed Obligations;</w:t>
      </w:r>
    </w:p>
    <w:p>
      <w:pPr>
        <w:spacing w:after="0" w:line="198"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0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spacing w:after="0" w:line="220" w:lineRule="exact"/>
        <w:rPr>
          <w:rFonts w:ascii="Times New Roman" w:cs="Times New Roman" w:eastAsia="Times New Roman" w:hAnsi="Times New Roman"/>
          <w:sz w:val="22"/>
          <w:szCs w:val="22"/>
          <w:color w:val="auto"/>
        </w:rPr>
      </w:pPr>
    </w:p>
    <w:p>
      <w:pPr>
        <w:jc w:val="both"/>
        <w:ind w:left="-360" w:firstLine="745"/>
        <w:spacing w:after="0" w:line="261" w:lineRule="auto"/>
        <w:tabs>
          <w:tab w:leader="none" w:pos="81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spacing w:after="0" w:line="184" w:lineRule="exact"/>
        <w:rPr>
          <w:rFonts w:ascii="Times New Roman" w:cs="Times New Roman" w:eastAsia="Times New Roman" w:hAnsi="Times New Roman"/>
          <w:sz w:val="21"/>
          <w:szCs w:val="21"/>
          <w:color w:val="auto"/>
        </w:rPr>
      </w:pPr>
    </w:p>
    <w:p>
      <w:pPr>
        <w:jc w:val="both"/>
        <w:ind w:left="-360" w:firstLine="745"/>
        <w:spacing w:after="0" w:line="244" w:lineRule="auto"/>
        <w:tabs>
          <w:tab w:leader="none" w:pos="83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shall fail to execute or deliver this Agreement (including the Guarantee in this Article 11) or any other Guarantee or agreement or the release or reduction of liability of any Obligor or surety with respect to the Guaranteed Obligations;</w:t>
      </w: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32" w:right="339" w:bottom="1440" w:gutter="0" w:footer="0" w:header="0"/>
        </w:sectPr>
      </w:pPr>
    </w:p>
    <w:bookmarkStart w:id="134" w:name="page135"/>
    <w:bookmarkEnd w:id="134"/>
    <w:p>
      <w:pPr>
        <w:ind w:left="760" w:firstLine="745"/>
        <w:spacing w:after="0" w:line="258" w:lineRule="auto"/>
        <w:tabs>
          <w:tab w:leader="none" w:pos="195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Administrative Agent or any Lender shall fail to assert any claim or demand or to exercise or enforce any right or remedy under the provisions of any Loan Document or otherwise;</w:t>
      </w:r>
    </w:p>
    <w:p>
      <w:pPr>
        <w:spacing w:after="0" w:line="185"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3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assert any defense, set-off or counterclaim (other than a defense of payment or performance) that may at any time be available to, or be asserted by, such against any of the Administrative Agent or any Lender; or</w:t>
      </w:r>
    </w:p>
    <w:p>
      <w:pPr>
        <w:spacing w:after="0" w:line="21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spacing w:after="0" w:line="22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spacing w:after="0" w:line="203" w:lineRule="exact"/>
        <w:rPr>
          <w:sz w:val="20"/>
          <w:szCs w:val="20"/>
          <w:color w:val="auto"/>
        </w:rPr>
      </w:pPr>
    </w:p>
    <w:p>
      <w:pPr>
        <w:jc w:val="both"/>
        <w:ind w:firstLine="373"/>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11.03. Reinstatement. </w:t>
      </w:r>
      <w:r>
        <w:rPr>
          <w:rFonts w:ascii="Times New Roman" w:cs="Times New Roman" w:eastAsia="Times New Roman" w:hAnsi="Times New Roman"/>
          <w:sz w:val="22"/>
          <w:szCs w:val="22"/>
          <w:color w:val="auto"/>
        </w:rPr>
        <w:t>The obligations of the Guarantors under this Article 11 shall be automatically reinstated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(subject to Section 13.03(b))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219" w:lineRule="exact"/>
        <w:rPr>
          <w:sz w:val="20"/>
          <w:szCs w:val="20"/>
          <w:color w:val="auto"/>
        </w:rPr>
      </w:pPr>
    </w:p>
    <w:p>
      <w:pPr>
        <w:jc w:val="both"/>
        <w:ind w:firstLine="373"/>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11.04. Subrogation. </w:t>
      </w:r>
      <w:r>
        <w:rPr>
          <w:rFonts w:ascii="Times New Roman" w:cs="Times New Roman" w:eastAsia="Times New Roman" w:hAnsi="Times New Roman"/>
          <w:sz w:val="22"/>
          <w:szCs w:val="22"/>
          <w:color w:val="auto"/>
        </w:rPr>
        <w:t>The Guarantors hereby jointly and severally agree that, until the payment and satisfaction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 of all Guaranteed Obligations (other than the Warrant Obligations) and the expiration and termination of the Commitments,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spacing w:after="0" w:line="217"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11.05. Remedies. </w:t>
      </w:r>
      <w:r>
        <w:rPr>
          <w:rFonts w:ascii="Times New Roman" w:cs="Times New Roman" w:eastAsia="Times New Roman" w:hAnsi="Times New Roman"/>
          <w:sz w:val="22"/>
          <w:szCs w:val="22"/>
          <w:color w:val="auto"/>
        </w:rPr>
        <w:t>The Guarantors jointly and severally agree that, as between the Guarantors, on one hand,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35" w:name="page136"/>
    <w:bookmarkEnd w:id="135"/>
    <w:p>
      <w:pPr>
        <w:jc w:val="both"/>
        <w:ind w:firstLine="387"/>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Section 11.06. Instrument for the Payment of Money. </w:t>
      </w:r>
      <w:r>
        <w:rPr>
          <w:rFonts w:ascii="Times New Roman" w:cs="Times New Roman" w:eastAsia="Times New Roman" w:hAnsi="Times New Roman"/>
          <w:sz w:val="22"/>
          <w:szCs w:val="22"/>
          <w:color w:val="auto"/>
        </w:rPr>
        <w:t>Each Guarantor hereby acknowledges that the Guarantee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spacing w:after="0" w:line="199" w:lineRule="exact"/>
        <w:rPr>
          <w:sz w:val="20"/>
          <w:szCs w:val="20"/>
          <w:color w:val="auto"/>
        </w:rPr>
      </w:pPr>
    </w:p>
    <w:p>
      <w:pPr>
        <w:jc w:val="both"/>
        <w:ind w:firstLine="373"/>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Section 11.07. Continuing Guarantee. </w:t>
      </w:r>
      <w:r>
        <w:rPr>
          <w:rFonts w:ascii="Times New Roman" w:cs="Times New Roman" w:eastAsia="Times New Roman" w:hAnsi="Times New Roman"/>
          <w:sz w:val="21"/>
          <w:szCs w:val="21"/>
          <w:color w:val="auto"/>
        </w:rPr>
        <w:t>The Guarantee in this Article 11 is a continuing guarantee, and shall apply to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Guaranteed Obligations whenever arising. Without limiting the generality of the foregoing, the Guarantors hereby unconditionally and irrevocably waive any right to revoke this Guarantee in this Article 11 and acknowledge that, subject to Section 13.18 hereof, the Guarantee in this Article 11 is continuing in nature, shall guarantee any ultimate balance owing to any of the Administrative Agent or any Lender, and applies to all presently existing and future Guaranteed Obligations, until the</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complete payment and satisfaction in full of the Guaranteed Obligations. 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spacing w:after="0" w:line="192" w:lineRule="exact"/>
        <w:rPr>
          <w:sz w:val="20"/>
          <w:szCs w:val="20"/>
          <w:color w:val="auto"/>
        </w:rPr>
      </w:pPr>
    </w:p>
    <w:p>
      <w:pPr>
        <w:jc w:val="both"/>
        <w:ind w:firstLine="373"/>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Section 11.08. Rights of Contribution. </w:t>
      </w:r>
      <w:r>
        <w:rPr>
          <w:rFonts w:ascii="Times New Roman" w:cs="Times New Roman" w:eastAsia="Times New Roman" w:hAnsi="Times New Roman"/>
          <w:sz w:val="22"/>
          <w:szCs w:val="22"/>
          <w:color w:val="auto"/>
        </w:rPr>
        <w:t>The Guarantors hereby agree, as between themselves, that if any Guarantor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spacing w:after="0" w:line="21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For purposes of this Section 11.08, (a) </w:t>
      </w:r>
      <w:r>
        <w:rPr>
          <w:rFonts w:ascii="Times New Roman" w:cs="Times New Roman" w:eastAsia="Times New Roman" w:hAnsi="Times New Roman"/>
          <w:sz w:val="22"/>
          <w:szCs w:val="22"/>
          <w:i w:val="1"/>
          <w:iCs w:val="1"/>
          <w:color w:val="auto"/>
        </w:rPr>
        <w:t>“Excess Funding Guarantor”</w:t>
      </w:r>
      <w:r>
        <w:rPr>
          <w:rFonts w:ascii="Times New Roman" w:cs="Times New Roman" w:eastAsia="Times New Roman" w:hAnsi="Times New Roman"/>
          <w:sz w:val="22"/>
          <w:szCs w:val="22"/>
          <w:color w:val="auto"/>
        </w:rPr>
        <w:t xml:space="preserve"> means, in respect of any Guaranteed Obligations, a Guarantor that has paid an amount in excess of its Pro Rata Share of such Guaranteed Obligations, (b) </w:t>
      </w:r>
      <w:r>
        <w:rPr>
          <w:rFonts w:ascii="Times New Roman" w:cs="Times New Roman" w:eastAsia="Times New Roman" w:hAnsi="Times New Roman"/>
          <w:sz w:val="22"/>
          <w:szCs w:val="22"/>
          <w:i w:val="1"/>
          <w:iCs w:val="1"/>
          <w:color w:val="auto"/>
        </w:rPr>
        <w:t>“Excess Payment”</w:t>
      </w:r>
      <w:r>
        <w:rPr>
          <w:rFonts w:ascii="Times New Roman" w:cs="Times New Roman" w:eastAsia="Times New Roman" w:hAnsi="Times New Roman"/>
          <w:sz w:val="22"/>
          <w:szCs w:val="22"/>
          <w:color w:val="auto"/>
        </w:rPr>
        <w:t xml:space="preserve"> means, in respect of any Guaranteed Obligations, the amount paid by an Excess Funding Guarantor in excess of its Pro Rata Share of such Guaranteed Obligations and (c) </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color w:val="auto"/>
        </w:rPr>
        <w:t xml:space="preserve"> 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spacing w:after="0" w:line="209" w:lineRule="exact"/>
        <w:rPr>
          <w:sz w:val="20"/>
          <w:szCs w:val="20"/>
          <w:color w:val="auto"/>
        </w:rPr>
      </w:pPr>
    </w:p>
    <w:p>
      <w:pPr>
        <w:jc w:val="both"/>
        <w:ind w:firstLine="40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11.09. General Limitation on Guarantee Obligations. </w:t>
      </w:r>
      <w:r>
        <w:rPr>
          <w:rFonts w:ascii="Times New Roman" w:cs="Times New Roman" w:eastAsia="Times New Roman" w:hAnsi="Times New Roman"/>
          <w:sz w:val="22"/>
          <w:szCs w:val="22"/>
          <w:color w:val="auto"/>
        </w:rPr>
        <w:t>In any action or proceeding involving any provincial,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territorial or state corporate Law, or any state, federal, provincial, territorial or foreign bankruptcy, insolvency, reorganization or other Law affecting the rights of creditors generally,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6" w:name="page137"/>
    <w:bookmarkEnd w:id="136"/>
    <w:p>
      <w:pPr>
        <w:jc w:val="both"/>
        <w:spacing w:after="0" w:line="236" w:lineRule="auto"/>
        <w:rPr>
          <w:sz w:val="20"/>
          <w:szCs w:val="20"/>
          <w:color w:val="auto"/>
        </w:rPr>
      </w:pPr>
      <w:r>
        <w:rPr>
          <w:rFonts w:ascii="Times New Roman" w:cs="Times New Roman" w:eastAsia="Times New Roman" w:hAnsi="Times New Roman"/>
          <w:sz w:val="22"/>
          <w:szCs w:val="22"/>
          <w:color w:val="auto"/>
        </w:rPr>
        <w:t>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33" w:lineRule="exact"/>
        <w:rPr>
          <w:sz w:val="20"/>
          <w:szCs w:val="20"/>
          <w:color w:val="auto"/>
        </w:rPr>
      </w:pPr>
    </w:p>
    <w:p>
      <w:pPr>
        <w:jc w:val="both"/>
        <w:ind w:firstLine="400"/>
        <w:spacing w:after="0" w:line="248" w:lineRule="exact"/>
        <w:rPr>
          <w:sz w:val="20"/>
          <w:szCs w:val="20"/>
          <w:color w:val="auto"/>
        </w:rPr>
      </w:pPr>
      <w:r>
        <w:rPr>
          <w:rFonts w:ascii="Times New Roman" w:cs="Times New Roman" w:eastAsia="Times New Roman" w:hAnsi="Times New Roman"/>
          <w:sz w:val="22"/>
          <w:szCs w:val="22"/>
          <w:i w:val="1"/>
          <w:iCs w:val="1"/>
          <w:color w:val="auto"/>
        </w:rPr>
        <w:t>Section 12.01. Appointment</w:t>
      </w:r>
      <w:r>
        <w:rPr>
          <w:rFonts w:ascii="Times New Roman" w:cs="Times New Roman" w:eastAsia="Times New Roman" w:hAnsi="Times New Roman"/>
          <w:sz w:val="22"/>
          <w:szCs w:val="22"/>
          <w:color w:val="auto"/>
        </w:rPr>
        <w:t>. Each of the Lenders hereby irrevocably appoints Perceptive to act on its behalf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are solely for the benefit of the Administrative Agent and the Lenders, and neither the Borrower nor any other Obligor will have rights as a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23" w:lineRule="exact"/>
        <w:rPr>
          <w:sz w:val="20"/>
          <w:szCs w:val="20"/>
          <w:color w:val="auto"/>
        </w:rPr>
      </w:pPr>
    </w:p>
    <w:p>
      <w:pPr>
        <w:jc w:val="both"/>
        <w:ind w:firstLine="373"/>
        <w:spacing w:after="0" w:line="235" w:lineRule="auto"/>
        <w:rPr>
          <w:sz w:val="20"/>
          <w:szCs w:val="20"/>
          <w:color w:val="auto"/>
        </w:rPr>
      </w:pPr>
      <w:r>
        <w:rPr>
          <w:rFonts w:ascii="Times New Roman" w:cs="Times New Roman" w:eastAsia="Times New Roman" w:hAnsi="Times New Roman"/>
          <w:sz w:val="22"/>
          <w:szCs w:val="22"/>
          <w:i w:val="1"/>
          <w:iCs w:val="1"/>
          <w:color w:val="auto"/>
        </w:rPr>
        <w:t>Section 12.02. Rights as a Lender</w:t>
      </w:r>
      <w:r>
        <w:rPr>
          <w:rFonts w:ascii="Times New Roman" w:cs="Times New Roman" w:eastAsia="Times New Roman" w:hAnsi="Times New Roman"/>
          <w:sz w:val="22"/>
          <w:szCs w:val="22"/>
          <w:color w:val="auto"/>
        </w:rPr>
        <w:t>. The Person serving as the Administrative Agent hereunder will have the same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p>
    <w:p>
      <w:pPr>
        <w:spacing w:after="0" w:line="21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12.03.</w:t>
      </w:r>
      <w:r>
        <w:rPr>
          <w:sz w:val="20"/>
          <w:szCs w:val="20"/>
          <w:color w:val="auto"/>
        </w:rPr>
        <w:tab/>
      </w:r>
      <w:r>
        <w:rPr>
          <w:rFonts w:ascii="Times New Roman" w:cs="Times New Roman" w:eastAsia="Times New Roman" w:hAnsi="Times New Roman"/>
          <w:sz w:val="21"/>
          <w:szCs w:val="21"/>
          <w:i w:val="1"/>
          <w:iCs w:val="1"/>
          <w:color w:val="auto"/>
        </w:rPr>
        <w:t>Exculpatory Provisions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760" w:firstLine="745"/>
        <w:spacing w:after="0" w:line="244" w:lineRule="auto"/>
        <w:tabs>
          <w:tab w:leader="none" w:pos="195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spacing w:after="0" w:line="213" w:lineRule="exact"/>
        <w:rPr>
          <w:rFonts w:ascii="Times New Roman" w:cs="Times New Roman" w:eastAsia="Times New Roman" w:hAnsi="Times New Roman"/>
          <w:sz w:val="22"/>
          <w:szCs w:val="22"/>
          <w:color w:val="auto"/>
        </w:rPr>
      </w:pPr>
    </w:p>
    <w:p>
      <w:pPr>
        <w:ind w:left="1500" w:firstLine="754"/>
        <w:spacing w:after="0" w:line="258" w:lineRule="auto"/>
        <w:tabs>
          <w:tab w:leader="none" w:pos="2622"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be subject to any fiduciary or other implied duties, regardless of whether a Default has occurred and is continuing;</w:t>
      </w:r>
    </w:p>
    <w:p>
      <w:pPr>
        <w:spacing w:after="0" w:line="19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727"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have any duty to take any discretionary action or exercise any discretionary powers, except discretionary rights and powers expressly contemplated hereby or by the other Loan Documents that the Administrative Agent is required to</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37" w:name="page138"/>
    <w:bookmarkEnd w:id="137"/>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 xml:space="preserve">exercise as directed in writing by the Majority Lenders (or such other number or percentage of the Lenders as will be expressly provided for herein or in the other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spacing w:after="0" w:line="204" w:lineRule="exact"/>
        <w:rPr>
          <w:sz w:val="20"/>
          <w:szCs w:val="20"/>
          <w:color w:val="auto"/>
        </w:rPr>
      </w:pPr>
    </w:p>
    <w:p>
      <w:pPr>
        <w:jc w:val="both"/>
        <w:ind w:left="1500" w:firstLine="754"/>
        <w:spacing w:after="0" w:line="239" w:lineRule="auto"/>
        <w:tabs>
          <w:tab w:leader="none" w:pos="269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spacing w:after="0" w:line="220" w:lineRule="exact"/>
        <w:rPr>
          <w:rFonts w:ascii="Times New Roman" w:cs="Times New Roman" w:eastAsia="Times New Roman" w:hAnsi="Times New Roman"/>
          <w:sz w:val="22"/>
          <w:szCs w:val="22"/>
          <w:color w:val="auto"/>
        </w:rPr>
      </w:pPr>
    </w:p>
    <w:p>
      <w:pPr>
        <w:jc w:val="both"/>
        <w:ind w:left="760" w:firstLine="745"/>
        <w:spacing w:after="0" w:line="251" w:lineRule="exact"/>
        <w:tabs>
          <w:tab w:leader="none" w:pos="192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The Administrative Agent will be deemed not to have knowledge of any Default unless and until notice describing such Default is given to the Administrative Agent in writing by the Borrower or a Lender.</w:t>
      </w:r>
    </w:p>
    <w:p>
      <w:pPr>
        <w:spacing w:after="0" w:line="222"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spacing w:after="0" w:line="201"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2"/>
          <w:szCs w:val="22"/>
          <w:i w:val="1"/>
          <w:iCs w:val="1"/>
          <w:color w:val="auto"/>
        </w:rPr>
        <w:t>Section 12.04. Reliance by Administrative Agent</w:t>
      </w:r>
      <w:r>
        <w:rPr>
          <w:rFonts w:ascii="Times New Roman" w:cs="Times New Roman" w:eastAsia="Times New Roman" w:hAnsi="Times New Roman"/>
          <w:sz w:val="22"/>
          <w:szCs w:val="22"/>
          <w:color w:val="auto"/>
        </w:rPr>
        <w:t>. The Administrative Agent will be entitled to rely upon, and will not incur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38" w:name="page139"/>
    <w:bookmarkEnd w:id="138"/>
    <w:p>
      <w:pPr>
        <w:jc w:val="both"/>
        <w:ind w:firstLine="360"/>
        <w:spacing w:after="0" w:line="261" w:lineRule="exact"/>
        <w:rPr>
          <w:sz w:val="20"/>
          <w:szCs w:val="20"/>
          <w:color w:val="auto"/>
        </w:rPr>
      </w:pPr>
      <w:r>
        <w:rPr>
          <w:rFonts w:ascii="Times New Roman" w:cs="Times New Roman" w:eastAsia="Times New Roman" w:hAnsi="Times New Roman"/>
          <w:sz w:val="22"/>
          <w:szCs w:val="22"/>
          <w:i w:val="1"/>
          <w:iCs w:val="1"/>
          <w:color w:val="auto"/>
        </w:rPr>
        <w:t>Section 12.05. Delegation of Duties</w:t>
      </w:r>
      <w:r>
        <w:rPr>
          <w:rFonts w:ascii="Times New Roman" w:cs="Times New Roman" w:eastAsia="Times New Roman" w:hAnsi="Times New Roman"/>
          <w:sz w:val="22"/>
          <w:szCs w:val="22"/>
          <w:color w:val="auto"/>
        </w:rPr>
        <w:t>. The Administrative Agent may perform any and all of its duties and exercise its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powers hereunder or under any other Loan Document by or through any one or more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appointed by the Administrative Agent. The Administrative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may perform any and all of its duties and exercise its rights and powers by or through their respective Affiliates. The exculpatory provisions of this Article 12 will apply to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to the Affiliates of the Administrative Agent and any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and will apply to their respective activities in connection with the syndication of the facility as well as activities as Administrative Agent. The Administrative Agent will not be responsible for the negligence or misconduct of any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except to the extent that a court of competent jurisdiction determines in a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that the Administrative Agent acted with gross negligence or willful misconduct in the selection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w:t>
      </w:r>
    </w:p>
    <w:p>
      <w:pPr>
        <w:spacing w:after="0" w:line="168"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12.06.</w:t>
      </w:r>
      <w:r>
        <w:rPr>
          <w:sz w:val="20"/>
          <w:szCs w:val="20"/>
          <w:color w:val="auto"/>
        </w:rPr>
        <w:tab/>
      </w:r>
      <w:r>
        <w:rPr>
          <w:rFonts w:ascii="Times New Roman" w:cs="Times New Roman" w:eastAsia="Times New Roman" w:hAnsi="Times New Roman"/>
          <w:sz w:val="21"/>
          <w:szCs w:val="21"/>
          <w:i w:val="1"/>
          <w:iCs w:val="1"/>
          <w:color w:val="auto"/>
        </w:rPr>
        <w:t>Resignation of Agent.</w:t>
      </w:r>
    </w:p>
    <w:p>
      <w:pPr>
        <w:spacing w:after="0" w:line="251" w:lineRule="exact"/>
        <w:rPr>
          <w:sz w:val="20"/>
          <w:szCs w:val="20"/>
          <w:color w:val="auto"/>
        </w:rPr>
      </w:pPr>
    </w:p>
    <w:p>
      <w:pPr>
        <w:jc w:val="both"/>
        <w:ind w:left="760" w:firstLine="745"/>
        <w:spacing w:after="0" w:line="250" w:lineRule="exact"/>
        <w:tabs>
          <w:tab w:leader="none" w:pos="193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at any time give notice of its resignation to the Lenders and the Borrower, which notice shall set forth the effective date of such resignation (the </w:t>
      </w:r>
      <w:r>
        <w:rPr>
          <w:rFonts w:ascii="Times New Roman" w:cs="Times New Roman" w:eastAsia="Times New Roman" w:hAnsi="Times New Roman"/>
          <w:sz w:val="22"/>
          <w:szCs w:val="22"/>
          <w:i w:val="1"/>
          <w:iCs w:val="1"/>
          <w:color w:val="auto"/>
        </w:rPr>
        <w:t>“Resignation Effective Date”</w:t>
      </w:r>
      <w:r>
        <w:rPr>
          <w:rFonts w:ascii="Times New Roman" w:cs="Times New Roman" w:eastAsia="Times New Roman" w:hAnsi="Times New Roman"/>
          <w:sz w:val="22"/>
          <w:szCs w:val="22"/>
          <w:color w:val="auto"/>
        </w:rPr>
        <w:t>), such date not to be earlier than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w:t>
      </w:r>
    </w:p>
    <w:p>
      <w:pPr>
        <w:spacing w:after="0" w:line="222" w:lineRule="exact"/>
        <w:rPr>
          <w:rFonts w:ascii="Times New Roman" w:cs="Times New Roman" w:eastAsia="Times New Roman" w:hAnsi="Times New Roman"/>
          <w:sz w:val="22"/>
          <w:szCs w:val="22"/>
          <w:color w:val="auto"/>
        </w:rPr>
      </w:pPr>
    </w:p>
    <w:p>
      <w:pPr>
        <w:jc w:val="both"/>
        <w:ind w:left="760" w:firstLine="745"/>
        <w:spacing w:after="0" w:line="246" w:lineRule="exact"/>
        <w:tabs>
          <w:tab w:leader="none" w:pos="195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and their respective Affiliates in respect of any actions taken or omitted to be taken by any of them while the retiring Administrative Agent was acting as Administrative Agent.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9" w:name="page140"/>
    <w:bookmarkEnd w:id="139"/>
    <w:p>
      <w:pPr>
        <w:jc w:val="both"/>
        <w:ind w:firstLine="414"/>
        <w:spacing w:after="0" w:line="256" w:lineRule="exact"/>
        <w:rPr>
          <w:sz w:val="20"/>
          <w:szCs w:val="20"/>
          <w:color w:val="auto"/>
        </w:rPr>
      </w:pPr>
      <w:r>
        <w:rPr>
          <w:rFonts w:ascii="Times New Roman" w:cs="Times New Roman" w:eastAsia="Times New Roman" w:hAnsi="Times New Roman"/>
          <w:sz w:val="22"/>
          <w:szCs w:val="22"/>
          <w:i w:val="1"/>
          <w:iCs w:val="1"/>
          <w:color w:val="auto"/>
        </w:rPr>
        <w:t>Section 12.07. Non</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Reliance on Administrative Agent and Other Lenders</w:t>
      </w:r>
      <w:r>
        <w:rPr>
          <w:rFonts w:ascii="Times New Roman" w:cs="Times New Roman" w:eastAsia="Times New Roman" w:hAnsi="Times New Roman"/>
          <w:sz w:val="22"/>
          <w:szCs w:val="22"/>
          <w:color w:val="auto"/>
        </w:rPr>
        <w:t>. Each Lender acknowledges that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spacing w:after="0" w:line="20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2"/>
          <w:szCs w:val="22"/>
          <w:i w:val="1"/>
          <w:iCs w:val="1"/>
          <w:color w:val="auto"/>
        </w:rPr>
        <w:t>Section 12.08. Administrative Agent May File Proofs of Claim</w:t>
      </w:r>
      <w:r>
        <w:rPr>
          <w:rFonts w:ascii="Times New Roman" w:cs="Times New Roman" w:eastAsia="Times New Roman" w:hAnsi="Times New Roman"/>
          <w:sz w:val="22"/>
          <w:szCs w:val="22"/>
          <w:color w:val="auto"/>
        </w:rPr>
        <w:t>. In case of the pendency of any Insolvency Proceeding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judicial proceeding relative to an Obligor, the Administrative Agent (irrespective of whether the principal of the Term Loans will then be due and payable as herein expressed or by declaration or otherwise and irrespective of whether the Administrative Agent has made any demand on an Obligor) will be entitled and empowered (but not obligated), by intervention in such proceeding or otherwise:</w:t>
      </w:r>
    </w:p>
    <w:p>
      <w:pPr>
        <w:spacing w:after="0" w:line="221" w:lineRule="exact"/>
        <w:rPr>
          <w:sz w:val="20"/>
          <w:szCs w:val="20"/>
          <w:color w:val="auto"/>
        </w:rPr>
      </w:pPr>
    </w:p>
    <w:p>
      <w:pPr>
        <w:jc w:val="both"/>
        <w:ind w:left="760" w:firstLine="745"/>
        <w:spacing w:after="0" w:line="235" w:lineRule="auto"/>
        <w:tabs>
          <w:tab w:leader="none" w:pos="192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spacing w:after="0" w:line="22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8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spacing w:after="0" w:line="218"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12.09.</w:t>
      </w:r>
      <w:r>
        <w:rPr>
          <w:sz w:val="20"/>
          <w:szCs w:val="20"/>
          <w:color w:val="auto"/>
        </w:rPr>
        <w:tab/>
      </w:r>
      <w:r>
        <w:rPr>
          <w:rFonts w:ascii="Times New Roman" w:cs="Times New Roman" w:eastAsia="Times New Roman" w:hAnsi="Times New Roman"/>
          <w:sz w:val="21"/>
          <w:szCs w:val="21"/>
          <w:i w:val="1"/>
          <w:iCs w:val="1"/>
          <w:color w:val="auto"/>
        </w:rPr>
        <w:t>Collateral and Guaranty Matters; Appointment of Collateral Agent</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ind w:left="1920" w:hanging="415"/>
        <w:spacing w:after="0"/>
        <w:tabs>
          <w:tab w:leader="none" w:pos="19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12.08, the Lenders irrevocably agree as follows:</w:t>
      </w:r>
    </w:p>
    <w:p>
      <w:pPr>
        <w:spacing w:after="0" w:line="23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08"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40" w:name="page141"/>
    <w:bookmarkEnd w:id="140"/>
    <w:p>
      <w:pPr>
        <w:ind w:left="1500"/>
        <w:spacing w:after="0" w:line="258" w:lineRule="auto"/>
        <w:rPr>
          <w:sz w:val="20"/>
          <w:szCs w:val="20"/>
          <w:color w:val="auto"/>
        </w:rPr>
      </w:pPr>
      <w:r>
        <w:rPr>
          <w:rFonts w:ascii="Times New Roman" w:cs="Times New Roman" w:eastAsia="Times New Roman" w:hAnsi="Times New Roman"/>
          <w:sz w:val="22"/>
          <w:szCs w:val="22"/>
          <w:color w:val="auto"/>
        </w:rPr>
        <w:t>the Loan Documents, or (C) subject to Sections 13.01 and 13.04, if approved, authorized or ratified in writing by the Majority Lenders; and</w:t>
      </w:r>
    </w:p>
    <w:p>
      <w:pPr>
        <w:spacing w:after="0" w:line="185" w:lineRule="exact"/>
        <w:rPr>
          <w:sz w:val="20"/>
          <w:szCs w:val="20"/>
          <w:color w:val="auto"/>
        </w:rPr>
      </w:pPr>
    </w:p>
    <w:p>
      <w:pPr>
        <w:jc w:val="both"/>
        <w:ind w:left="1500" w:firstLine="754"/>
        <w:spacing w:after="0" w:line="244" w:lineRule="auto"/>
        <w:tabs>
          <w:tab w:leader="none" w:pos="260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discretion, to release any Guarantor from its obligations hereunder if such Person ceases to be a Subsidiary as a result of a transaction permitted under the Loan Documents.</w:t>
      </w:r>
    </w:p>
    <w:p>
      <w:pPr>
        <w:spacing w:after="0" w:line="21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spacing w:after="0" w:line="214" w:lineRule="exact"/>
        <w:rPr>
          <w:sz w:val="20"/>
          <w:szCs w:val="20"/>
          <w:color w:val="auto"/>
        </w:rPr>
      </w:pPr>
    </w:p>
    <w:p>
      <w:pPr>
        <w:jc w:val="both"/>
        <w:ind w:left="760" w:firstLine="745"/>
        <w:spacing w:after="0" w:line="238" w:lineRule="auto"/>
        <w:tabs>
          <w:tab w:leader="none" w:pos="190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spacing w:after="0" w:line="203" w:lineRule="exact"/>
        <w:rPr>
          <w:rFonts w:ascii="Times New Roman" w:cs="Times New Roman" w:eastAsia="Times New Roman" w:hAnsi="Times New Roman"/>
          <w:sz w:val="22"/>
          <w:szCs w:val="22"/>
          <w:color w:val="auto"/>
        </w:rPr>
      </w:pPr>
    </w:p>
    <w:p>
      <w:pPr>
        <w:jc w:val="both"/>
        <w:ind w:left="760" w:firstLine="745"/>
        <w:spacing w:after="0" w:line="247" w:lineRule="exact"/>
        <w:tabs>
          <w:tab w:leader="none" w:pos="188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(iv) enter into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22"/>
          <w:szCs w:val="22"/>
          <w:b w:val="1"/>
          <w:bCs w:val="1"/>
          <w:color w:val="auto"/>
        </w:rPr>
        <w:t xml:space="preserve"> 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p>
    <w:p>
      <w:pPr>
        <w:spacing w:after="0" w:line="247" w:lineRule="exact"/>
        <w:rPr>
          <w:sz w:val="20"/>
          <w:szCs w:val="20"/>
          <w:color w:val="auto"/>
        </w:rPr>
      </w:pPr>
    </w:p>
    <w:p>
      <w:pPr>
        <w:jc w:val="both"/>
        <w:ind w:firstLine="373"/>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13.01. No Waiver. </w:t>
      </w:r>
      <w:r>
        <w:rPr>
          <w:rFonts w:ascii="Times New Roman" w:cs="Times New Roman" w:eastAsia="Times New Roman" w:hAnsi="Times New Roman"/>
          <w:sz w:val="22"/>
          <w:szCs w:val="22"/>
          <w:color w:val="auto"/>
        </w:rPr>
        <w:t>No failure on the part of the Administrative Agent or the Lenders to exercise and no delay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41" w:name="page142"/>
    <w:bookmarkEnd w:id="141"/>
    <w:p>
      <w:pPr>
        <w:jc w:val="both"/>
        <w:ind w:firstLine="400"/>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13.02. Notices. </w:t>
      </w:r>
      <w:r>
        <w:rPr>
          <w:rFonts w:ascii="Times New Roman" w:cs="Times New Roman" w:eastAsia="Times New Roman" w:hAnsi="Times New Roman"/>
          <w:sz w:val="22"/>
          <w:szCs w:val="22"/>
          <w:color w:val="auto"/>
        </w:rPr>
        <w:t>All notices, requests, instructions, directions and other communications provided for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w:t>
      </w:r>
    </w:p>
    <w:p>
      <w:pPr>
        <w:spacing w:after="0" w:line="203"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13.03.</w:t>
      </w:r>
      <w:r>
        <w:rPr>
          <w:sz w:val="20"/>
          <w:szCs w:val="20"/>
          <w:color w:val="auto"/>
        </w:rPr>
        <w:tab/>
      </w:r>
      <w:r>
        <w:rPr>
          <w:rFonts w:ascii="Times New Roman" w:cs="Times New Roman" w:eastAsia="Times New Roman" w:hAnsi="Times New Roman"/>
          <w:sz w:val="21"/>
          <w:szCs w:val="21"/>
          <w:i w:val="1"/>
          <w:iCs w:val="1"/>
          <w:color w:val="auto"/>
        </w:rPr>
        <w:t>Expenses, Indemnification, Etc</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50" w:lineRule="exact"/>
        <w:tabs>
          <w:tab w:leader="none" w:pos="192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Each Obligor agrees to pay or reimburse (i) the Administrative Agent and the Lenders for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reasonable and documented out of pocket costs and expenses (including the fees and expenses of Chapman and Cutler LLP, counsel to the Administrative Agent) in connection with (A) the negotiation, preparation, execution and delivery of this Agreement and the other Loan Documents and the making of the Term Loans (exclusive of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closing costs);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Borrowing of the Tranche A Term Loan is made, such fees shall be credited against the Expense Deposit, (B)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fees and expenses of legal counsel) in connection with any enforcement or collection proceedings resulting from the occurrence of an Event of Default.</w:t>
      </w:r>
    </w:p>
    <w:p>
      <w:pPr>
        <w:spacing w:after="0" w:line="215" w:lineRule="exact"/>
        <w:rPr>
          <w:rFonts w:ascii="Times New Roman" w:cs="Times New Roman" w:eastAsia="Times New Roman" w:hAnsi="Times New Roman"/>
          <w:sz w:val="22"/>
          <w:szCs w:val="22"/>
          <w:color w:val="auto"/>
        </w:rPr>
      </w:pPr>
    </w:p>
    <w:p>
      <w:pPr>
        <w:jc w:val="both"/>
        <w:ind w:left="760" w:firstLine="745"/>
        <w:spacing w:after="0" w:line="248" w:lineRule="exact"/>
        <w:tabs>
          <w:tab w:leader="none" w:pos="1927"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w:t>
      </w:r>
      <w:r>
        <w:rPr>
          <w:rFonts w:ascii="Times New Roman" w:cs="Times New Roman" w:eastAsia="Times New Roman" w:hAnsi="Times New Roman"/>
          <w:sz w:val="21"/>
          <w:szCs w:val="21"/>
          <w:color w:val="auto"/>
        </w:rPr>
        <w:t>Each Obligor hereby indemnifies the Administrative Agent, the Lenders, their respective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Affiliates, and their respective directors, officers, employees, attorneys, agents and advisors (each, an </w:t>
      </w:r>
      <w:r>
        <w:rPr>
          <w:rFonts w:ascii="Times New Roman" w:cs="Times New Roman" w:eastAsia="Times New Roman" w:hAnsi="Times New Roman"/>
          <w:sz w:val="21"/>
          <w:szCs w:val="21"/>
          <w:i w:val="1"/>
          <w:iCs w:val="1"/>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Party”</w:t>
      </w:r>
      <w:r>
        <w:rPr>
          <w:rFonts w:ascii="Times New Roman" w:cs="Times New Roman" w:eastAsia="Times New Roman" w:hAnsi="Times New Roman"/>
          <w:sz w:val="21"/>
          <w:szCs w:val="21"/>
          <w:color w:val="auto"/>
        </w:rPr>
        <w:t>) from and against, and agrees to hold them harmless against, any and all Claims and Losses of any kind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case of legal fees and disbursements, limited to reasonable fees and disbursements of one counsel to Indemnified Parties, taken as a whole and to the extent reasonably necessary, one local counsel in each relevant material jurisdiction and, in the event of an actual conflict of interest, one additional counsel for the affected similarly situated Indemnified Party),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is found in a final,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appealable judgment by a court of competent jurisdiction to have resulted from any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Tax Claim or Loss governed by this Section 13.03(b).</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2" w:name="page143"/>
    <w:bookmarkEnd w:id="142"/>
    <w:p>
      <w:pPr>
        <w:jc w:val="both"/>
        <w:ind w:firstLine="400"/>
        <w:spacing w:after="0" w:line="241" w:lineRule="auto"/>
        <w:rPr>
          <w:sz w:val="20"/>
          <w:szCs w:val="20"/>
          <w:color w:val="auto"/>
        </w:rPr>
      </w:pPr>
      <w:r>
        <w:rPr>
          <w:rFonts w:ascii="Times New Roman" w:cs="Times New Roman" w:eastAsia="Times New Roman" w:hAnsi="Times New Roman"/>
          <w:sz w:val="22"/>
          <w:szCs w:val="22"/>
          <w:i w:val="1"/>
          <w:iCs w:val="1"/>
          <w:color w:val="auto"/>
        </w:rPr>
        <w:t>Section 13.04. Amendments, Etc</w:t>
      </w:r>
      <w:r>
        <w:rPr>
          <w:rFonts w:ascii="Times New Roman" w:cs="Times New Roman" w:eastAsia="Times New Roman" w:hAnsi="Times New Roman"/>
          <w:sz w:val="22"/>
          <w:szCs w:val="22"/>
          <w:color w:val="auto"/>
        </w:rPr>
        <w:t>. Except as otherwise expressly provided in this Agreement, any provision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or any other Loan Document (except for the Warrant Certificate, which may be amended, modified, waived or supplemented in accordance with the terms thereof) may be amended, modified, waived or supplemented only by an instrument in writing signed by Obligors, the Administrative Agent and the Majority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03" w:lineRule="exact"/>
        <w:rPr>
          <w:sz w:val="20"/>
          <w:szCs w:val="20"/>
          <w:color w:val="auto"/>
        </w:rPr>
      </w:pPr>
    </w:p>
    <w:p>
      <w:pPr>
        <w:ind w:left="760" w:firstLine="745"/>
        <w:spacing w:after="0" w:line="258" w:lineRule="auto"/>
        <w:tabs>
          <w:tab w:leader="none" w:pos="19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all of the Lenders, do any of the following at any time:</w:t>
      </w:r>
    </w:p>
    <w:p>
      <w:pPr>
        <w:spacing w:after="0" w:line="19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35"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rFonts w:ascii="Times New Roman" w:cs="Times New Roman" w:eastAsia="Times New Roman" w:hAnsi="Times New Roman"/>
          <w:sz w:val="22"/>
          <w:szCs w:val="22"/>
          <w:i w:val="1"/>
          <w:iCs w:val="1"/>
          <w:color w:val="auto"/>
        </w:rPr>
        <w:t>“Majority Lenders”</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22"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spacing w:after="0" w:line="20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49"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or subordinate the Lenders’ Liens in, all or substantially all of the Collateral in any transaction or series of related transactions (other than in connection with any sale of Collateral permitted herein); or</w:t>
      </w:r>
    </w:p>
    <w:p>
      <w:pPr>
        <w:spacing w:after="0" w:line="213" w:lineRule="exact"/>
        <w:rPr>
          <w:rFonts w:ascii="Times New Roman" w:cs="Times New Roman" w:eastAsia="Times New Roman" w:hAnsi="Times New Roman"/>
          <w:sz w:val="22"/>
          <w:szCs w:val="22"/>
          <w:color w:val="auto"/>
        </w:rPr>
      </w:pPr>
    </w:p>
    <w:p>
      <w:pPr>
        <w:ind w:left="2620" w:hanging="366"/>
        <w:spacing w:after="0"/>
        <w:tabs>
          <w:tab w:leader="none" w:pos="262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of this Section 13.04.</w:t>
      </w:r>
    </w:p>
    <w:p>
      <w:pPr>
        <w:spacing w:after="0" w:line="246" w:lineRule="exact"/>
        <w:rPr>
          <w:rFonts w:ascii="Times New Roman" w:cs="Times New Roman" w:eastAsia="Times New Roman" w:hAnsi="Times New Roman"/>
          <w:sz w:val="22"/>
          <w:szCs w:val="22"/>
          <w:color w:val="auto"/>
        </w:rPr>
      </w:pPr>
    </w:p>
    <w:p>
      <w:pPr>
        <w:ind w:left="760" w:firstLine="745"/>
        <w:spacing w:after="0" w:line="258" w:lineRule="auto"/>
        <w:tabs>
          <w:tab w:leader="none" w:pos="195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each Lender specified below for such amendment, waiver or consent:</w:t>
      </w:r>
    </w:p>
    <w:p>
      <w:pPr>
        <w:spacing w:after="0" w:line="185" w:lineRule="exact"/>
        <w:rPr>
          <w:rFonts w:ascii="Times New Roman" w:cs="Times New Roman" w:eastAsia="Times New Roman" w:hAnsi="Times New Roman"/>
          <w:sz w:val="22"/>
          <w:szCs w:val="22"/>
          <w:color w:val="auto"/>
        </w:rPr>
      </w:pPr>
    </w:p>
    <w:p>
      <w:pPr>
        <w:ind w:left="2660" w:hanging="406"/>
        <w:spacing w:after="0"/>
        <w:tabs>
          <w:tab w:leader="none" w:pos="266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Commitments of a Lender without the consent of such Lender;</w:t>
      </w:r>
    </w:p>
    <w:p>
      <w:pPr>
        <w:spacing w:after="0" w:line="24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9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spacing w:after="0" w:line="213"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7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spacing w:after="0" w:line="207"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72"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order of application of prepayment of the Term Loans from the application thereof set forth in the applicable provisions of Sections 4.01(b) and (c)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3" w:name="page144"/>
    <w:bookmarkEnd w:id="143"/>
    <w:p>
      <w:pPr>
        <w:ind w:left="1900"/>
        <w:spacing w:after="0"/>
        <w:rPr>
          <w:sz w:val="20"/>
          <w:szCs w:val="20"/>
          <w:color w:val="auto"/>
        </w:rPr>
      </w:pPr>
      <w:r>
        <w:rPr>
          <w:rFonts w:ascii="Times New Roman" w:cs="Times New Roman" w:eastAsia="Times New Roman" w:hAnsi="Times New Roman"/>
          <w:sz w:val="22"/>
          <w:szCs w:val="22"/>
          <w:color w:val="auto"/>
        </w:rPr>
        <w:t>(v)  modify Section 2.02 without the consent of each Lender directly and adversely affected thereby.</w:t>
      </w:r>
    </w:p>
    <w:p>
      <w:pPr>
        <w:spacing w:after="0" w:line="22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i w:val="1"/>
          <w:iCs w:val="1"/>
          <w:color w:val="auto"/>
        </w:rPr>
        <w:t>Section 13.05.</w:t>
      </w:r>
      <w:r>
        <w:rPr>
          <w:sz w:val="20"/>
          <w:szCs w:val="20"/>
          <w:color w:val="auto"/>
        </w:rPr>
        <w:tab/>
      </w:r>
      <w:r>
        <w:rPr>
          <w:rFonts w:ascii="Times New Roman" w:cs="Times New Roman" w:eastAsia="Times New Roman" w:hAnsi="Times New Roman"/>
          <w:sz w:val="21"/>
          <w:szCs w:val="21"/>
          <w:i w:val="1"/>
          <w:iCs w:val="1"/>
          <w:color w:val="auto"/>
        </w:rPr>
        <w:t>Successors and Assigns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400" w:firstLine="745"/>
        <w:spacing w:after="0" w:line="245" w:lineRule="auto"/>
        <w:tabs>
          <w:tab w:leader="none" w:pos="1589"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The provisions of this Agreement shall be binding upon and inure to the benefit of the parties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w:t>
      </w:r>
    </w:p>
    <w:p>
      <w:pPr>
        <w:spacing w:after="0" w:line="3" w:lineRule="exact"/>
        <w:rPr>
          <w:rFonts w:ascii="Times New Roman" w:cs="Times New Roman" w:eastAsia="Times New Roman" w:hAnsi="Times New Roman"/>
          <w:sz w:val="21"/>
          <w:szCs w:val="21"/>
          <w:color w:val="auto"/>
        </w:rPr>
      </w:pPr>
    </w:p>
    <w:p>
      <w:pPr>
        <w:ind w:left="400" w:hanging="3"/>
        <w:spacing w:after="0" w:line="237" w:lineRule="auto"/>
        <w:tabs>
          <w:tab w:leader="none" w:pos="70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13.05) and, to the extent expressly contemplated hereby, the Indemnified Parties of the Lenders) any legal or equitable right, remedy or Claim under or by reason of this Agreement.</w:t>
      </w:r>
    </w:p>
    <w:p>
      <w:pPr>
        <w:spacing w:after="0" w:line="214" w:lineRule="exact"/>
        <w:rPr>
          <w:rFonts w:ascii="Times New Roman" w:cs="Times New Roman" w:eastAsia="Times New Roman" w:hAnsi="Times New Roman"/>
          <w:sz w:val="22"/>
          <w:szCs w:val="22"/>
          <w:color w:val="auto"/>
        </w:rPr>
      </w:pPr>
    </w:p>
    <w:p>
      <w:pPr>
        <w:jc w:val="both"/>
        <w:ind w:left="400" w:firstLine="745"/>
        <w:spacing w:after="0" w:line="238" w:lineRule="auto"/>
        <w:tabs>
          <w:tab w:leader="none" w:pos="165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to Loan Documents. </w:t>
      </w:r>
      <w:r>
        <w:rPr>
          <w:rFonts w:ascii="Times New Roman" w:cs="Times New Roman" w:eastAsia="Times New Roman" w:hAnsi="Times New Roman"/>
          <w:sz w:val="22"/>
          <w:szCs w:val="22"/>
          <w:color w:val="auto"/>
        </w:rPr>
        <w:t>Each of the Lenders and the Obligors agrees to enter into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spacing w:after="0" w:line="203" w:lineRule="exact"/>
        <w:rPr>
          <w:rFonts w:ascii="Times New Roman" w:cs="Times New Roman" w:eastAsia="Times New Roman" w:hAnsi="Times New Roman"/>
          <w:sz w:val="22"/>
          <w:szCs w:val="22"/>
          <w:color w:val="auto"/>
        </w:rPr>
      </w:pPr>
    </w:p>
    <w:p>
      <w:pPr>
        <w:ind w:left="1560" w:hanging="415"/>
        <w:spacing w:after="0"/>
        <w:tabs>
          <w:tab w:leader="none" w:pos="15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1140" w:firstLine="754"/>
        <w:spacing w:after="0" w:line="236" w:lineRule="auto"/>
        <w:tabs>
          <w:tab w:leader="none" w:pos="2341"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spacing w:after="0" w:line="221" w:lineRule="exact"/>
        <w:rPr>
          <w:rFonts w:ascii="Times New Roman" w:cs="Times New Roman" w:eastAsia="Times New Roman" w:hAnsi="Times New Roman"/>
          <w:sz w:val="22"/>
          <w:szCs w:val="22"/>
          <w:color w:val="auto"/>
        </w:rPr>
      </w:pPr>
    </w:p>
    <w:p>
      <w:pPr>
        <w:ind w:left="2300" w:hanging="406"/>
        <w:spacing w:after="0"/>
        <w:tabs>
          <w:tab w:leader="none" w:pos="2300"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73" w:lineRule="exact"/>
        <w:rPr>
          <w:rFonts w:ascii="Times New Roman" w:cs="Times New Roman" w:eastAsia="Times New Roman" w:hAnsi="Times New Roman"/>
          <w:sz w:val="22"/>
          <w:szCs w:val="22"/>
          <w:color w:val="auto"/>
        </w:rPr>
      </w:pPr>
    </w:p>
    <w:p>
      <w:pPr>
        <w:jc w:val="both"/>
        <w:ind w:left="1900" w:firstLine="743"/>
        <w:spacing w:after="0" w:line="236" w:lineRule="auto"/>
        <w:tabs>
          <w:tab w:leader="none" w:pos="3062" w:val="left"/>
        </w:tabs>
        <w:numPr>
          <w:ilvl w:val="3"/>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$500,000, unless the Administrative Agent otherwise consents;</w:t>
      </w:r>
    </w:p>
    <w:p>
      <w:pPr>
        <w:spacing w:after="0" w:line="248" w:lineRule="exact"/>
        <w:rPr>
          <w:rFonts w:ascii="Times New Roman" w:cs="Times New Roman" w:eastAsia="Times New Roman" w:hAnsi="Times New Roman"/>
          <w:sz w:val="22"/>
          <w:szCs w:val="22"/>
          <w:color w:val="auto"/>
        </w:rPr>
      </w:pPr>
    </w:p>
    <w:p>
      <w:pPr>
        <w:ind w:left="1900" w:firstLine="743"/>
        <w:spacing w:after="0" w:line="258" w:lineRule="auto"/>
        <w:tabs>
          <w:tab w:leader="none" w:pos="3022" w:val="left"/>
        </w:tabs>
        <w:numPr>
          <w:ilvl w:val="3"/>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and the other Loan Documents; and</w:t>
      </w:r>
    </w:p>
    <w:p>
      <w:pPr>
        <w:spacing w:after="0" w:line="200" w:lineRule="exact"/>
        <w:rPr>
          <w:sz w:val="20"/>
          <w:szCs w:val="20"/>
          <w:color w:val="auto"/>
        </w:rPr>
      </w:pPr>
    </w:p>
    <w:p>
      <w:pPr>
        <w:spacing w:after="0" w:line="2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493395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32" w:right="339" w:bottom="1440" w:gutter="0" w:footer="0" w:header="0"/>
        </w:sectPr>
      </w:pPr>
    </w:p>
    <w:bookmarkStart w:id="144" w:name="page145"/>
    <w:bookmarkEnd w:id="144"/>
    <w:p>
      <w:pPr>
        <w:ind w:left="1140" w:right="20" w:firstLine="743"/>
        <w:spacing w:after="0" w:line="258" w:lineRule="auto"/>
        <w:tabs>
          <w:tab w:leader="none" w:pos="2262"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Agreement in form and substance reasonably satisfactory to the Administrative Agent.</w:t>
      </w:r>
    </w:p>
    <w:p>
      <w:pPr>
        <w:spacing w:after="0" w:line="198"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553"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spacing w:after="0" w:line="185" w:lineRule="exact"/>
        <w:rPr>
          <w:rFonts w:ascii="Times New Roman" w:cs="Times New Roman" w:eastAsia="Times New Roman" w:hAnsi="Times New Roman"/>
          <w:sz w:val="22"/>
          <w:szCs w:val="22"/>
          <w:color w:val="auto"/>
        </w:rPr>
      </w:pPr>
    </w:p>
    <w:p>
      <w:pPr>
        <w:jc w:val="both"/>
        <w:ind w:left="-360" w:firstLine="745"/>
        <w:spacing w:after="0" w:line="252" w:lineRule="exact"/>
        <w:tabs>
          <w:tab w:leader="none" w:pos="803"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Register. </w:t>
      </w:r>
      <w:r>
        <w:rPr>
          <w:rFonts w:ascii="Times New Roman" w:cs="Times New Roman" w:eastAsia="Times New Roman" w:hAnsi="Times New Roman"/>
          <w:sz w:val="21"/>
          <w:szCs w:val="21"/>
          <w:color w:val="auto"/>
        </w:rPr>
        <w:t>The Administrative Agent, acting for this purpose as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fiduciary agent of the Borrower,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(c) of this Section 13.05 has been obtained.</w:t>
      </w:r>
    </w:p>
    <w:p>
      <w:pPr>
        <w:spacing w:after="0" w:line="201" w:lineRule="exact"/>
        <w:rPr>
          <w:rFonts w:ascii="Times New Roman" w:cs="Times New Roman" w:eastAsia="Times New Roman" w:hAnsi="Times New Roman"/>
          <w:sz w:val="21"/>
          <w:szCs w:val="21"/>
          <w:color w:val="auto"/>
        </w:rPr>
      </w:pPr>
    </w:p>
    <w:p>
      <w:pPr>
        <w:jc w:val="both"/>
        <w:ind w:left="-360" w:firstLine="745"/>
        <w:spacing w:after="0" w:line="237" w:lineRule="auto"/>
        <w:tabs>
          <w:tab w:leader="none" w:pos="85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Participations. </w:t>
      </w:r>
      <w:r>
        <w:rPr>
          <w:rFonts w:ascii="Times New Roman" w:cs="Times New Roman" w:eastAsia="Times New Roman" w:hAnsi="Times New Roman"/>
          <w:sz w:val="22"/>
          <w:szCs w:val="22"/>
          <w:color w:val="auto"/>
        </w:rPr>
        <w:t>Any Lender may at any time, without the consent of, or notice to, the Borrower, sell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participations to any Person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other than an Ineligible Assignee, in all or a portion of such Lender’s rights and obligations under the Loan Documents (including all or a portion of its Commitment and the Term Loans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spacing w:after="0" w:line="219" w:lineRule="exact"/>
        <w:rPr>
          <w:rFonts w:ascii="Times New Roman" w:cs="Times New Roman" w:eastAsia="Times New Roman" w:hAnsi="Times New Roman"/>
          <w:sz w:val="22"/>
          <w:szCs w:val="22"/>
          <w:color w:val="auto"/>
        </w:rPr>
      </w:pPr>
    </w:p>
    <w:p>
      <w:pPr>
        <w:jc w:val="both"/>
        <w:ind w:left="-360" w:firstLine="745"/>
        <w:spacing w:after="0" w:line="248" w:lineRule="auto"/>
        <w:tabs>
          <w:tab w:leader="none" w:pos="803"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59" w:right="339" w:bottom="1440" w:gutter="0" w:footer="0" w:header="0"/>
        </w:sectPr>
      </w:pPr>
    </w:p>
    <w:bookmarkStart w:id="145" w:name="page146"/>
    <w:bookmarkEnd w:id="145"/>
    <w:p>
      <w:pPr>
        <w:jc w:val="both"/>
        <w:ind w:left="760"/>
        <w:spacing w:after="0" w:line="246" w:lineRule="exact"/>
        <w:rPr>
          <w:sz w:val="20"/>
          <w:szCs w:val="20"/>
          <w:color w:val="auto"/>
        </w:rPr>
      </w:pPr>
      <w:r>
        <w:rPr>
          <w:rFonts w:ascii="Times New Roman" w:cs="Times New Roman" w:eastAsia="Times New Roman" w:hAnsi="Times New Roman"/>
          <w:sz w:val="21"/>
          <w:szCs w:val="21"/>
          <w:color w:val="auto"/>
        </w:rPr>
        <w:t xml:space="preserve">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Lender shall have any obligation to disclose all or any portion of the Participant Register (including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18" w:lineRule="exact"/>
        <w:rPr>
          <w:sz w:val="20"/>
          <w:szCs w:val="20"/>
          <w:color w:val="auto"/>
        </w:rPr>
      </w:pPr>
    </w:p>
    <w:p>
      <w:pPr>
        <w:jc w:val="both"/>
        <w:ind w:left="760" w:firstLine="745"/>
        <w:spacing w:after="0" w:line="238" w:lineRule="auto"/>
        <w:tabs>
          <w:tab w:leader="none" w:pos="192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Pledges. </w:t>
      </w:r>
      <w:r>
        <w:rPr>
          <w:rFonts w:ascii="Times New Roman" w:cs="Times New Roman" w:eastAsia="Times New Roman" w:hAnsi="Times New Roman"/>
          <w:sz w:val="22"/>
          <w:szCs w:val="22"/>
          <w:color w:val="auto"/>
        </w:rPr>
        <w:t>The Lenders may at any time pledge or assign a security interest in all or any portion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 rights under this Agreement and any other Loan Document to secure obligations of the Lenders, including any pledge or assignment to secure obligations to a Federal Reserve Bank or another central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the Lenders from any of their obligations hereunder or substitute any such pledgee or assignee for the Lenders as a party hereto.</w:t>
      </w:r>
    </w:p>
    <w:p>
      <w:pPr>
        <w:spacing w:after="0" w:line="217"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13.06. Survival. </w:t>
      </w:r>
      <w:r>
        <w:rPr>
          <w:rFonts w:ascii="Times New Roman" w:cs="Times New Roman" w:eastAsia="Times New Roman" w:hAnsi="Times New Roman"/>
          <w:sz w:val="22"/>
          <w:szCs w:val="22"/>
          <w:color w:val="auto"/>
        </w:rPr>
        <w:t>The obligations of each Obligor under Sections 5.01, 5.02, 5.03, 13.03, 13.05, 13.09, 13.10, 13.11,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spacing w:after="0" w:line="216"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13.07. Captions. </w:t>
      </w:r>
      <w:r>
        <w:rPr>
          <w:rFonts w:ascii="Times New Roman" w:cs="Times New Roman" w:eastAsia="Times New Roman" w:hAnsi="Times New Roman"/>
          <w:sz w:val="22"/>
          <w:szCs w:val="22"/>
          <w:color w:val="auto"/>
        </w:rPr>
        <w:t>The table of contents and captions and section headings appearing herein are included solely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convenience of reference and are not intended to affect the interpretation of any provision of this Agreement.</w:t>
      </w:r>
    </w:p>
    <w:p>
      <w:pPr>
        <w:spacing w:after="0" w:line="17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13.08. Counterparts. </w:t>
      </w:r>
      <w:r>
        <w:rPr>
          <w:rFonts w:ascii="Times New Roman" w:cs="Times New Roman" w:eastAsia="Times New Roman" w:hAnsi="Times New Roman"/>
          <w:sz w:val="22"/>
          <w:szCs w:val="22"/>
          <w:color w:val="auto"/>
        </w:rPr>
        <w:t>This Agreement may be executed in any number of counterparts, all of which taken together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constitute one and the same instrument and any of the parties hereto may execute this Agreement by signing any such counterpart. Delivery of an executed signature page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46" w:name="page147"/>
    <w:bookmarkEnd w:id="146"/>
    <w:p>
      <w:pPr>
        <w:jc w:val="both"/>
        <w:spacing w:after="0" w:line="235" w:lineRule="auto"/>
        <w:rPr>
          <w:sz w:val="20"/>
          <w:szCs w:val="20"/>
          <w:color w:val="auto"/>
        </w:rPr>
      </w:pPr>
      <w:r>
        <w:rPr>
          <w:rFonts w:ascii="Times New Roman" w:cs="Times New Roman" w:eastAsia="Times New Roman" w:hAnsi="Times New Roman"/>
          <w:sz w:val="22"/>
          <w:szCs w:val="22"/>
          <w:color w:val="auto"/>
        </w:rPr>
        <w:t>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6" w:lineRule="exact"/>
        <w:rPr>
          <w:sz w:val="20"/>
          <w:szCs w:val="20"/>
          <w:color w:val="auto"/>
        </w:rPr>
      </w:pPr>
    </w:p>
    <w:p>
      <w:pPr>
        <w:jc w:val="both"/>
        <w:ind w:firstLine="387"/>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13.09. GOVERNING LAW. </w:t>
      </w:r>
      <w:r>
        <w:rPr>
          <w:rFonts w:ascii="Times New Roman" w:cs="Times New Roman" w:eastAsia="Times New Roman" w:hAnsi="Times New Roman"/>
          <w:sz w:val="22"/>
          <w:szCs w:val="22"/>
          <w:color w:val="auto"/>
        </w:rPr>
        <w:t>THIS AGREEMENT AND THE OTHER LOAN DOCUMENTS, THE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216"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13.10.</w:t>
      </w:r>
      <w:r>
        <w:rPr>
          <w:sz w:val="20"/>
          <w:szCs w:val="20"/>
          <w:color w:val="auto"/>
        </w:rPr>
        <w:tab/>
      </w:r>
      <w:r>
        <w:rPr>
          <w:rFonts w:ascii="Times New Roman" w:cs="Times New Roman" w:eastAsia="Times New Roman" w:hAnsi="Times New Roman"/>
          <w:sz w:val="21"/>
          <w:szCs w:val="21"/>
          <w:i w:val="1"/>
          <w:iCs w:val="1"/>
          <w:color w:val="auto"/>
        </w:rPr>
        <w:t>Jurisdiction, Service of Process and Venue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left="760" w:firstLine="745"/>
        <w:spacing w:after="0" w:line="236" w:lineRule="auto"/>
        <w:tabs>
          <w:tab w:leader="none" w:pos="192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SUBMISSION TO JURISDICTION. </w:t>
      </w:r>
      <w:r>
        <w:rPr>
          <w:rFonts w:ascii="Times New Roman" w:cs="Times New Roman" w:eastAsia="Times New Roman" w:hAnsi="Times New Roman"/>
          <w:sz w:val="22"/>
          <w:szCs w:val="22"/>
          <w:color w:val="auto"/>
        </w:rPr>
        <w:t>EACH OBLIGOR AGREES THAT ANY SUIT, ACTION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spacing w:after="0" w:line="202" w:lineRule="exact"/>
        <w:rPr>
          <w:rFonts w:ascii="Times New Roman" w:cs="Times New Roman" w:eastAsia="Times New Roman" w:hAnsi="Times New Roman"/>
          <w:sz w:val="22"/>
          <w:szCs w:val="22"/>
          <w:color w:val="auto"/>
        </w:rPr>
      </w:pPr>
    </w:p>
    <w:p>
      <w:pPr>
        <w:ind w:left="760" w:firstLine="745"/>
        <w:spacing w:after="0" w:line="262" w:lineRule="auto"/>
        <w:tabs>
          <w:tab w:leader="none" w:pos="192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Alternative Process. </w:t>
      </w:r>
      <w:r>
        <w:rPr>
          <w:rFonts w:ascii="Times New Roman" w:cs="Times New Roman" w:eastAsia="Times New Roman" w:hAnsi="Times New Roman"/>
          <w:sz w:val="22"/>
          <w:szCs w:val="22"/>
          <w:color w:val="auto"/>
        </w:rPr>
        <w:t>Nothing herein shall in any way be deemed to limit the ability of the Lenders to serve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such process or summonses in any other manner permitted by applicable Law.</w:t>
      </w:r>
    </w:p>
    <w:p>
      <w:pPr>
        <w:spacing w:after="0" w:line="190"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186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WAIVER OF VENUE, ETC. </w:t>
      </w:r>
      <w:r>
        <w:rPr>
          <w:rFonts w:ascii="Times New Roman" w:cs="Times New Roman" w:eastAsia="Times New Roman" w:hAnsi="Times New Roman"/>
          <w:sz w:val="21"/>
          <w:szCs w:val="21"/>
          <w:color w:val="auto"/>
        </w:rPr>
        <w:t>EACH OBLIGOR IRREVOCABLY WAIVES TO THE FULLEST EXTENT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47" w:name="page148"/>
    <w:bookmarkEnd w:id="147"/>
    <w:p>
      <w:pPr>
        <w:jc w:val="both"/>
        <w:ind w:firstLine="387"/>
        <w:spacing w:after="0" w:line="241" w:lineRule="auto"/>
        <w:rPr>
          <w:sz w:val="20"/>
          <w:szCs w:val="20"/>
          <w:color w:val="auto"/>
        </w:rPr>
      </w:pPr>
      <w:r>
        <w:rPr>
          <w:rFonts w:ascii="Times New Roman" w:cs="Times New Roman" w:eastAsia="Times New Roman" w:hAnsi="Times New Roman"/>
          <w:sz w:val="22"/>
          <w:szCs w:val="22"/>
          <w:i w:val="1"/>
          <w:iCs w:val="1"/>
          <w:color w:val="auto"/>
        </w:rPr>
        <w:t>Section 13.11. WAIVER OF JURY TRIAL</w:t>
      </w:r>
      <w:r>
        <w:rPr>
          <w:rFonts w:ascii="Times New Roman" w:cs="Times New Roman" w:eastAsia="Times New Roman" w:hAnsi="Times New Roman"/>
          <w:sz w:val="22"/>
          <w:szCs w:val="22"/>
          <w:color w:val="auto"/>
        </w:rPr>
        <w:t>. EACH PARTY HERETO HEREBY IRREVOCABLY WAIVES,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FULLEST EXTENT PERMITTED BY APPLICABLE LAW, ANY AND ALL RIGHT TO TRIAL BY JURY IN ANY SUIT, ACTION OR PROCEEDING ARISING OUT OF OR RELATING TO THIS AGREEMENT, THE OTHER LOAN DOCUMENTS OR THE TRANSACTIONS CONTEMPLATED HEREBY OR THEREBY.</w:t>
      </w:r>
    </w:p>
    <w:p>
      <w:pPr>
        <w:spacing w:after="0" w:line="199" w:lineRule="exact"/>
        <w:rPr>
          <w:sz w:val="20"/>
          <w:szCs w:val="20"/>
          <w:color w:val="auto"/>
        </w:rPr>
      </w:pPr>
    </w:p>
    <w:p>
      <w:pPr>
        <w:jc w:val="both"/>
        <w:ind w:firstLine="414"/>
        <w:spacing w:after="0" w:line="235" w:lineRule="auto"/>
        <w:rPr>
          <w:sz w:val="20"/>
          <w:szCs w:val="20"/>
          <w:color w:val="auto"/>
        </w:rPr>
      </w:pPr>
      <w:r>
        <w:rPr>
          <w:rFonts w:ascii="Times New Roman" w:cs="Times New Roman" w:eastAsia="Times New Roman" w:hAnsi="Times New Roman"/>
          <w:sz w:val="22"/>
          <w:szCs w:val="22"/>
          <w:i w:val="1"/>
          <w:iCs w:val="1"/>
          <w:color w:val="auto"/>
        </w:rPr>
        <w:t>Section 13.12. WAIVER OF IMMUNITY</w:t>
      </w:r>
      <w:r>
        <w:rPr>
          <w:rFonts w:ascii="Times New Roman" w:cs="Times New Roman" w:eastAsia="Times New Roman" w:hAnsi="Times New Roman"/>
          <w:sz w:val="22"/>
          <w:szCs w:val="22"/>
          <w:color w:val="auto"/>
        </w:rPr>
        <w:t>. TO THE EXTENT THAT ANY OBLIGOR MAY BE OR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219" w:lineRule="exact"/>
        <w:rPr>
          <w:sz w:val="20"/>
          <w:szCs w:val="20"/>
          <w:color w:val="auto"/>
        </w:rPr>
      </w:pPr>
    </w:p>
    <w:p>
      <w:pPr>
        <w:jc w:val="both"/>
        <w:ind w:firstLine="373"/>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13.13. Entire Agreement. </w:t>
      </w:r>
      <w:r>
        <w:rPr>
          <w:rFonts w:ascii="Times New Roman" w:cs="Times New Roman" w:eastAsia="Times New Roman" w:hAnsi="Times New Roman"/>
          <w:sz w:val="22"/>
          <w:szCs w:val="22"/>
          <w:color w:val="auto"/>
        </w:rPr>
        <w:t>This Agreement and the other Loan Documents constitute the entire agreement among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spacing w:after="0" w:line="21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Section 13.14. Severability. </w:t>
      </w:r>
      <w:r>
        <w:rPr>
          <w:rFonts w:ascii="Times New Roman" w:cs="Times New Roman" w:eastAsia="Times New Roman" w:hAnsi="Times New Roman"/>
          <w:sz w:val="22"/>
          <w:szCs w:val="22"/>
          <w:color w:val="auto"/>
        </w:rPr>
        <w:t>If any provision hereof is found by a court to be invalid or unenforceable, to the fullest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by applicable Law the parties agree that such invalidity or unenforceability shall not impair the validity or enforceability of any other provision hereof.</w:t>
      </w:r>
    </w:p>
    <w:p>
      <w:pPr>
        <w:spacing w:after="0" w:line="194"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Section 13.15. No Fiduciary Relationship. </w:t>
      </w:r>
      <w:r>
        <w:rPr>
          <w:rFonts w:ascii="Times New Roman" w:cs="Times New Roman" w:eastAsia="Times New Roman" w:hAnsi="Times New Roman"/>
          <w:sz w:val="22"/>
          <w:szCs w:val="22"/>
          <w:color w:val="auto"/>
        </w:rPr>
        <w:t>The Administrative Agent, each Lender and their Affiliates (collectively, solely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 purposes of this paragraph,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may have economic interests that conflict with those of the Obligors, their stockholders or equity holders and/or their Affiliates (collectively, solely for purposes of this paragraph, the </w:t>
      </w:r>
      <w:r>
        <w:rPr>
          <w:rFonts w:ascii="Times New Roman" w:cs="Times New Roman" w:eastAsia="Times New Roman" w:hAnsi="Times New Roman"/>
          <w:sz w:val="22"/>
          <w:szCs w:val="22"/>
          <w:i w:val="1"/>
          <w:iCs w:val="1"/>
          <w:color w:val="auto"/>
        </w:rPr>
        <w:t>“Obligors”</w:t>
      </w:r>
      <w:r>
        <w:rPr>
          <w:rFonts w:ascii="Times New Roman" w:cs="Times New Roman" w:eastAsia="Times New Roman" w:hAnsi="Times New Roman"/>
          <w:sz w:val="22"/>
          <w:szCs w:val="22"/>
          <w:color w:val="auto"/>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spacing w:after="0" w:line="216" w:lineRule="exact"/>
        <w:rPr>
          <w:sz w:val="20"/>
          <w:szCs w:val="20"/>
          <w:color w:val="auto"/>
        </w:rPr>
      </w:pPr>
    </w:p>
    <w:p>
      <w:pPr>
        <w:jc w:val="both"/>
        <w:ind w:firstLine="360"/>
        <w:spacing w:after="0" w:line="252" w:lineRule="exact"/>
        <w:rPr>
          <w:sz w:val="20"/>
          <w:szCs w:val="20"/>
          <w:color w:val="auto"/>
        </w:rPr>
      </w:pPr>
      <w:r>
        <w:rPr>
          <w:rFonts w:ascii="Times New Roman" w:cs="Times New Roman" w:eastAsia="Times New Roman" w:hAnsi="Times New Roman"/>
          <w:sz w:val="22"/>
          <w:szCs w:val="22"/>
          <w:i w:val="1"/>
          <w:iCs w:val="1"/>
          <w:color w:val="auto"/>
        </w:rPr>
        <w:t>Section 13.16. USA Patriot Act</w:t>
      </w:r>
      <w:r>
        <w:rPr>
          <w:rFonts w:ascii="Times New Roman" w:cs="Times New Roman" w:eastAsia="Times New Roman" w:hAnsi="Times New Roman"/>
          <w:sz w:val="22"/>
          <w:szCs w:val="22"/>
          <w:color w:val="auto"/>
        </w:rPr>
        <w:t>. The Administrative Agent and the Lenders hereby notify the Obligors that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of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56 (signed into law October 26, 2001)) (the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and 31 C.F.R. § 1010.230 (the “</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Act and Beneficial Ownership Regulation, including a beneficial ownership certification in form and substance acceptable to the Administrative Agent.</w:t>
      </w:r>
    </w:p>
    <w:p>
      <w:pPr>
        <w:spacing w:after="0" w:line="216"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13.17. Treatment of Certain Information; Confidentiality. </w:t>
      </w:r>
      <w:r>
        <w:rPr>
          <w:rFonts w:ascii="Times New Roman" w:cs="Times New Roman" w:eastAsia="Times New Roman" w:hAnsi="Times New Roman"/>
          <w:sz w:val="22"/>
          <w:szCs w:val="22"/>
          <w:color w:val="auto"/>
        </w:rPr>
        <w:t>The Lenders agree to maintain the confidentiality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(as defined below), except that Information may be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8" w:name="page149"/>
    <w:bookmarkEnd w:id="148"/>
    <w:p>
      <w:pPr>
        <w:jc w:val="both"/>
        <w:spacing w:after="0" w:line="245" w:lineRule="exact"/>
        <w:rPr>
          <w:sz w:val="20"/>
          <w:szCs w:val="20"/>
          <w:color w:val="auto"/>
        </w:rPr>
      </w:pPr>
      <w:r>
        <w:rPr>
          <w:rFonts w:ascii="Times New Roman" w:cs="Times New Roman" w:eastAsia="Times New Roman" w:hAnsi="Times New Roman"/>
          <w:sz w:val="22"/>
          <w:szCs w:val="22"/>
          <w:color w:val="auto"/>
        </w:rPr>
        <w:t xml:space="preserve">disclosed to (a) its Affiliates and to its and its Affiliates’ respective partners, directors, officers, employees, agents, trustees, advisors and representatives (collectively, </w:t>
      </w:r>
      <w:r>
        <w:rPr>
          <w:rFonts w:ascii="Times New Roman" w:cs="Times New Roman" w:eastAsia="Times New Roman" w:hAnsi="Times New Roman"/>
          <w:sz w:val="22"/>
          <w:szCs w:val="22"/>
          <w:i w:val="1"/>
          <w:iCs w:val="1"/>
          <w:color w:val="auto"/>
        </w:rPr>
        <w:t>“Representatives”</w:t>
      </w:r>
      <w:r>
        <w:rPr>
          <w:rFonts w:ascii="Times New Roman" w:cs="Times New Roman" w:eastAsia="Times New Roman" w:hAnsi="Times New Roman"/>
          <w:sz w:val="22"/>
          <w:szCs w:val="22"/>
          <w:color w:val="auto"/>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 (i) any assignee of or Participant in, or any prospective assignee of or Participant in, any of its rights or obligations under this Agreement or (ii) any actual or prospective counterparty (or its advisors) to any swap or derivative transaction relating to the Borrower or any Guarantor and its obligation, (g) with the consent of the Borrower or (h) to the extent such Information (i) becomes publicly available other than as a result of a breach of this Section 13.17 or (ii) becomes available to the Lender, or any of its respective Representatives on a nonconfidential basis from a source other than the Borrower or any other Obligor. For purposes of this Section 13.17, </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xml:space="preserve"> 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or its Representatives, is not subject to a confidentiality obligation to such Obligor, (C) is or becomes publicly available other than as a result of a breach by such Lender or its Representatives, or (D) is developed by a Lender or any of its Representatives independently from the receipt of any Information from any of the Obligors.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jc w:val="both"/>
        <w:spacing w:after="0" w:line="268" w:lineRule="exact"/>
        <w:rPr>
          <w:sz w:val="20"/>
          <w:szCs w:val="20"/>
          <w:color w:val="auto"/>
        </w:rPr>
      </w:pPr>
      <w:r>
        <w:rPr>
          <w:rFonts w:ascii="Times New Roman" w:cs="Times New Roman" w:eastAsia="Times New Roman" w:hAnsi="Times New Roman"/>
          <w:sz w:val="22"/>
          <w:szCs w:val="22"/>
          <w:color w:val="auto"/>
        </w:rPr>
        <w:t>In the case of any Lender that has elected to receive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pursuant to Section 8.02, such Lender acknowledges that (a) the Information may include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concerning an Obligor or its Subsidiary, as the case may be, (b) it has developed compliance procedures regarding the use of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public information and (c) it will handle such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in accordance with applicable Law, including United States federal and state securities Laws.</w:t>
      </w:r>
    </w:p>
    <w:p>
      <w:pPr>
        <w:spacing w:after="0" w:line="217"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22"/>
          <w:szCs w:val="22"/>
          <w:i w:val="1"/>
          <w:iCs w:val="1"/>
          <w:color w:val="auto"/>
        </w:rPr>
        <w:t>Section 13.18.</w:t>
      </w:r>
      <w:r>
        <w:rPr>
          <w:sz w:val="20"/>
          <w:szCs w:val="20"/>
          <w:color w:val="auto"/>
        </w:rPr>
        <w:tab/>
      </w:r>
      <w:r>
        <w:rPr>
          <w:rFonts w:ascii="Times New Roman" w:cs="Times New Roman" w:eastAsia="Times New Roman" w:hAnsi="Times New Roman"/>
          <w:sz w:val="21"/>
          <w:szCs w:val="21"/>
          <w:i w:val="1"/>
          <w:iCs w:val="1"/>
          <w:color w:val="auto"/>
        </w:rPr>
        <w:t>Releases of Guarantees and Liens</w:t>
      </w:r>
      <w:r>
        <w:rPr>
          <w:rFonts w:ascii="Times New Roman" w:cs="Times New Roman" w:eastAsia="Times New Roman" w:hAnsi="Times New Roman"/>
          <w:sz w:val="21"/>
          <w:szCs w:val="21"/>
          <w:color w:val="auto"/>
        </w:rPr>
        <w:t>.</w:t>
      </w:r>
    </w:p>
    <w:p>
      <w:pPr>
        <w:spacing w:after="0" w:line="251" w:lineRule="exact"/>
        <w:rPr>
          <w:sz w:val="20"/>
          <w:szCs w:val="20"/>
          <w:color w:val="auto"/>
        </w:rPr>
      </w:pPr>
    </w:p>
    <w:p>
      <w:pPr>
        <w:jc w:val="both"/>
        <w:ind w:left="760" w:firstLine="745"/>
        <w:spacing w:after="0" w:line="245" w:lineRule="auto"/>
        <w:tabs>
          <w:tab w:leader="none" w:pos="1956"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w:t>
      </w:r>
    </w:p>
    <w:p>
      <w:pPr>
        <w:spacing w:after="0" w:line="2" w:lineRule="exact"/>
        <w:rPr>
          <w:rFonts w:ascii="Times New Roman" w:cs="Times New Roman" w:eastAsia="Times New Roman" w:hAnsi="Times New Roman"/>
          <w:sz w:val="21"/>
          <w:szCs w:val="21"/>
          <w:color w:val="auto"/>
        </w:rPr>
      </w:pPr>
    </w:p>
    <w:p>
      <w:pPr>
        <w:ind w:left="1080" w:hanging="323"/>
        <w:spacing w:after="0"/>
        <w:tabs>
          <w:tab w:leader="none" w:pos="10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circumstances described in paragraph (b) below.</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49" w:name="page150"/>
    <w:bookmarkEnd w:id="149"/>
    <w:p>
      <w:pPr>
        <w:jc w:val="both"/>
        <w:ind w:left="760" w:firstLine="745"/>
        <w:spacing w:after="0" w:line="236" w:lineRule="auto"/>
        <w:tabs>
          <w:tab w:leader="none" w:pos="195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Term Loans and the other Obligations (other than the inchoate indemnity obligations and the Warrant Obligations)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the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parties hereto have caused this Agreement to be duly executed and delivered as of the day and year first above written.</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orrower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color w:val="auto"/>
        </w:rPr>
        <w:t>AVITA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3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uarantor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vita</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edical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mericas</w:t>
      </w:r>
      <w:r>
        <w:rPr>
          <w:rFonts w:ascii="Times New Roman" w:cs="Times New Roman" w:eastAsia="Times New Roman" w:hAnsi="Times New Roman"/>
          <w:sz w:val="22"/>
          <w:szCs w:val="22"/>
          <w:color w:val="auto"/>
        </w:rPr>
        <w:t>, LLC</w:t>
      </w: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50" w:name="page151"/>
    <w:bookmarkEnd w:id="150"/>
    <w:p>
      <w:pPr>
        <w:jc w:val="center"/>
        <w:ind w:right="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22"/>
          <w:szCs w:val="22"/>
          <w:color w:val="auto"/>
        </w:rPr>
        <w:t xml:space="preserve"> V,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 and a Lender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Perceptive Credit Opportunities GP, LLC, its general partner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Sam Cohn</w:t>
      </w: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Sam Chawla</w:t>
      </w:r>
    </w:p>
    <w:p>
      <w:pPr>
        <w:spacing w:after="0"/>
        <w:rPr>
          <w:sz w:val="20"/>
          <w:szCs w:val="20"/>
          <w:color w:val="auto"/>
        </w:rPr>
      </w:pPr>
      <w:r>
        <w:rPr>
          <w:rFonts w:ascii="Times New Roman" w:cs="Times New Roman" w:eastAsia="Times New Roman" w:hAnsi="Times New Roman"/>
          <w:sz w:val="22"/>
          <w:szCs w:val="22"/>
          <w:color w:val="auto"/>
        </w:rPr>
        <w:t>Title: Portfolio Manager</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22"/>
          <w:szCs w:val="22"/>
          <w:b w:val="1"/>
          <w:bCs w:val="1"/>
          <w:color w:val="auto"/>
        </w:rPr>
        <w:t xml:space="preserve"> 1</w:t>
      </w:r>
    </w:p>
    <w:p>
      <w:pPr>
        <w:spacing w:after="0" w:line="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TRANCHE A TERM LOAN COMMITMENTS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620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482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ranche</w:t>
            </w:r>
            <w:r>
              <w:rPr>
                <w:rFonts w:ascii="Times New Roman" w:cs="Times New Roman" w:eastAsia="Times New Roman" w:hAnsi="Times New Roman"/>
                <w:sz w:val="22"/>
                <w:szCs w:val="22"/>
                <w:color w:val="auto"/>
              </w:rPr>
              <w:t xml:space="preserve"> A 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w:t>
            </w:r>
          </w:p>
        </w:tc>
      </w:tr>
      <w:tr>
        <w:trPr>
          <w:trHeight w:val="447"/>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Perceptive Credit Holdings V, LP</w:t>
            </w:r>
          </w:p>
        </w:tc>
        <w:tc>
          <w:tcPr>
            <w:tcW w:w="4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$50,000,000</w:t>
            </w:r>
          </w:p>
        </w:tc>
      </w:tr>
      <w:tr>
        <w:trPr>
          <w:trHeight w:val="282"/>
        </w:trPr>
        <w:tc>
          <w:tcPr>
            <w:tcW w:w="6200" w:type="dxa"/>
            <w:vAlign w:val="bottom"/>
          </w:tcPr>
          <w:p>
            <w:pPr>
              <w:ind w:left="50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4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TRANCHE B TERM LOAN COMMITMENTS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55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14"/>
                <w:szCs w:val="14"/>
                <w:color w:val="auto"/>
              </w:rPr>
              <w:t>ender</w:t>
            </w:r>
          </w:p>
        </w:tc>
        <w:tc>
          <w:tcPr>
            <w:tcW w:w="552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ranche</w:t>
            </w:r>
            <w:r>
              <w:rPr>
                <w:rFonts w:ascii="Times New Roman" w:cs="Times New Roman" w:eastAsia="Times New Roman" w:hAnsi="Times New Roman"/>
                <w:sz w:val="22"/>
                <w:szCs w:val="22"/>
                <w:color w:val="auto"/>
              </w:rPr>
              <w:t xml:space="preserve"> B T</w:t>
            </w:r>
            <w:r>
              <w:rPr>
                <w:rFonts w:ascii="Times New Roman" w:cs="Times New Roman" w:eastAsia="Times New Roman" w:hAnsi="Times New Roman"/>
                <w:sz w:val="14"/>
                <w:szCs w:val="14"/>
                <w:color w:val="auto"/>
              </w:rPr>
              <w:t>erm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ommitment</w:t>
            </w:r>
          </w:p>
        </w:tc>
      </w:tr>
      <w:tr>
        <w:trPr>
          <w:trHeight w:val="379"/>
        </w:trPr>
        <w:tc>
          <w:tcPr>
            <w:tcW w:w="5500" w:type="dxa"/>
            <w:vAlign w:val="bottom"/>
          </w:tcPr>
          <w:p>
            <w:pPr>
              <w:spacing w:after="0"/>
              <w:rPr>
                <w:sz w:val="20"/>
                <w:szCs w:val="20"/>
                <w:color w:val="auto"/>
              </w:rPr>
            </w:pPr>
            <w:r>
              <w:rPr>
                <w:rFonts w:ascii="Times New Roman" w:cs="Times New Roman" w:eastAsia="Times New Roman" w:hAnsi="Times New Roman"/>
                <w:sz w:val="22"/>
                <w:szCs w:val="22"/>
                <w:color w:val="auto"/>
              </w:rPr>
              <w:t>Perceptive Credit Holdings V, LP</w:t>
            </w:r>
          </w:p>
        </w:tc>
        <w:tc>
          <w:tcPr>
            <w:tcW w:w="5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$10,000,000</w:t>
            </w:r>
          </w:p>
        </w:tc>
      </w:tr>
      <w:tr>
        <w:trPr>
          <w:trHeight w:val="282"/>
        </w:trPr>
        <w:tc>
          <w:tcPr>
            <w:tcW w:w="5500" w:type="dxa"/>
            <w:vAlign w:val="bottom"/>
          </w:tcPr>
          <w:p>
            <w:pPr>
              <w:ind w:left="410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otal</w:t>
            </w:r>
          </w:p>
        </w:tc>
        <w:tc>
          <w:tcPr>
            <w:tcW w:w="5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76" w:right="4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936625</wp:posOffset>
            </wp:positionH>
            <wp:positionV relativeFrom="page">
              <wp:posOffset>637540</wp:posOffset>
            </wp:positionV>
            <wp:extent cx="5674995" cy="73380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3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936625</wp:posOffset>
            </wp:positionH>
            <wp:positionV relativeFrom="page">
              <wp:posOffset>637540</wp:posOffset>
            </wp:positionV>
            <wp:extent cx="5674995" cy="73380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3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57720" cy="9288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928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57720" cy="9288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9288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
      <w:numFmt w:val="bullet"/>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abstractNum>
  <w:abstractNum w:abstractNumId="9">
    <w:nsid w:val="7F01579B"/>
    <w:multiLevelType w:val="hybridMultilevel"/>
    <w:lvl w:ilvl="0">
      <w:lvlJc w:val="left"/>
      <w:lvlText w:val="•"/>
      <w:numFmt w:val="bullet"/>
      <w:start w:val="1"/>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1)"/>
      <w:numFmt w:val="decimal"/>
      <w:start w:val="1"/>
    </w:lvl>
  </w:abstractNum>
  <w:abstractNum w:abstractNumId="12">
    <w:nsid w:val="5FB8370B"/>
    <w:multiLevelType w:val="hybridMultilevel"/>
    <w:lvl w:ilvl="0">
      <w:lvlJc w:val="left"/>
      <w:lvlText w:val="(%1)"/>
      <w:numFmt w:val="lowerRoman"/>
      <w:start w:val="7"/>
    </w:lvl>
  </w:abstractNum>
  <w:abstractNum w:abstractNumId="13">
    <w:nsid w:val="50801EE1"/>
    <w:multiLevelType w:val="hybridMultilevel"/>
    <w:lvl w:ilvl="0">
      <w:lvlJc w:val="left"/>
      <w:lvlText w:val="•"/>
      <w:numFmt w:val="bullet"/>
      <w:start w:val="1"/>
    </w:lvl>
  </w:abstractNum>
  <w:abstractNum w:abstractNumId="14">
    <w:nsid w:val="488AC1A"/>
    <w:multiLevelType w:val="hybridMultilevel"/>
    <w:lvl w:ilvl="0">
      <w:lvlJc w:val="left"/>
      <w:lvlText w:val="(%1)"/>
      <w:numFmt w:val="decimal"/>
      <w:start w:val="1"/>
    </w:lvl>
  </w:abstractNum>
  <w:abstractNum w:abstractNumId="15">
    <w:nsid w:val="5FB8011C"/>
    <w:multiLevelType w:val="hybridMultilevel"/>
    <w:lvl w:ilvl="0">
      <w:lvlJc w:val="left"/>
      <w:lvlText w:val="(%1)"/>
      <w:numFmt w:val="decimal"/>
      <w:start w:val="1"/>
    </w:lvl>
  </w:abstractNum>
  <w:abstractNum w:abstractNumId="16">
    <w:nsid w:val="6AA78F7F"/>
    <w:multiLevelType w:val="hybridMultilevel"/>
    <w:lvl w:ilvl="0">
      <w:lvlJc w:val="left"/>
      <w:lvlText w:val="*"/>
      <w:numFmt w:val="bullet"/>
      <w:start w:val="1"/>
    </w:lvl>
    <w:lvl w:ilvl="1">
      <w:lvlJc w:val="left"/>
      <w:lvlText w:val="(%2)"/>
      <w:numFmt w:val="decimal"/>
      <w:start w:val="1"/>
    </w:lvl>
  </w:abstractNum>
  <w:abstractNum w:abstractNumId="17">
    <w:nsid w:val="7672BD23"/>
    <w:multiLevelType w:val="hybridMultilevel"/>
    <w:lvl w:ilvl="0">
      <w:lvlJc w:val="left"/>
      <w:lvlText w:val="•"/>
      <w:numFmt w:val="bullet"/>
      <w:start w:val="1"/>
    </w:lvl>
  </w:abstractNum>
  <w:abstractNum w:abstractNumId="18">
    <w:nsid w:val="6FC75AF8"/>
    <w:multiLevelType w:val="hybridMultilevel"/>
    <w:lvl w:ilvl="0">
      <w:lvlJc w:val="left"/>
      <w:lvlText w:val="(%1)"/>
      <w:numFmt w:val="decimal"/>
      <w:start w:val="1"/>
    </w:lvl>
  </w:abstractNum>
  <w:abstractNum w:abstractNumId="19">
    <w:nsid w:val="6A5F7029"/>
    <w:multiLevelType w:val="hybridMultilevel"/>
    <w:lvl w:ilvl="0">
      <w:lvlJc w:val="left"/>
      <w:lvlText w:val="(%1)"/>
      <w:numFmt w:val="decimal"/>
      <w:start w:val="1"/>
    </w:lvl>
  </w:abstractNum>
  <w:abstractNum w:abstractNumId="20">
    <w:nsid w:val="7D5E18F8"/>
    <w:multiLevelType w:val="hybridMultilevel"/>
    <w:lvl w:ilvl="0">
      <w:lvlJc w:val="left"/>
      <w:lvlText w:val="(%1)"/>
      <w:numFmt w:val="decimal"/>
      <w:start w:val="6"/>
    </w:lvl>
  </w:abstractNum>
  <w:abstractNum w:abstractNumId="21">
    <w:nsid w:val="5F3534A4"/>
    <w:multiLevelType w:val="hybridMultilevel"/>
    <w:lvl w:ilvl="0">
      <w:lvlJc w:val="left"/>
      <w:lvlText w:val="(%1)"/>
      <w:numFmt w:val="decimal"/>
      <w:start w:val="1"/>
    </w:lvl>
  </w:abstractNum>
  <w:abstractNum w:abstractNumId="22">
    <w:nsid w:val="73A1821B"/>
    <w:multiLevelType w:val="hybridMultilevel"/>
    <w:lvl w:ilvl="0">
      <w:lvlJc w:val="left"/>
      <w:lvlText w:val="%1."/>
      <w:numFmt w:val="decimal"/>
      <w:start w:val="1"/>
    </w:lvl>
  </w:abstractNum>
  <w:abstractNum w:abstractNumId="23">
    <w:nsid w:val="7DE67713"/>
    <w:multiLevelType w:val="hybridMultilevel"/>
    <w:lvl w:ilvl="0">
      <w:lvlJc w:val="left"/>
      <w:lvlText w:val="%1."/>
      <w:numFmt w:val="decimal"/>
      <w:start w:val="2"/>
    </w:lvl>
  </w:abstractNum>
  <w:abstractNum w:abstractNumId="24">
    <w:nsid w:val="555C55B5"/>
    <w:multiLevelType w:val="hybridMultilevel"/>
    <w:lvl w:ilvl="0">
      <w:lvlJc w:val="left"/>
      <w:lvlText w:val="•"/>
      <w:numFmt w:val="bullet"/>
      <w:start w:val="1"/>
    </w:lvl>
    <w:lvl w:ilvl="1">
      <w:lvlJc w:val="left"/>
      <w:lvlText w:val="•"/>
      <w:numFmt w:val="bullet"/>
      <w:start w:val="1"/>
    </w:lvl>
  </w:abstractNum>
  <w:abstractNum w:abstractNumId="25">
    <w:nsid w:val="3FA62ACA"/>
    <w:multiLevelType w:val="hybridMultilevel"/>
    <w:lvl w:ilvl="0">
      <w:lvlJc w:val="left"/>
      <w:lvlText w:val="(%1)"/>
      <w:numFmt w:val="decimal"/>
      <w:start w:val="1"/>
    </w:lvl>
  </w:abstractNum>
  <w:abstractNum w:abstractNumId="26">
    <w:nsid w:val="14FCE74E"/>
    <w:multiLevelType w:val="hybridMultilevel"/>
    <w:lvl w:ilvl="0">
      <w:lvlJc w:val="left"/>
      <w:lvlText w:val="(%1)"/>
      <w:numFmt w:val="decimal"/>
      <w:start w:val="1"/>
    </w:lvl>
  </w:abstractNum>
  <w:abstractNum w:abstractNumId="27">
    <w:nsid w:val="6A3DD3E8"/>
    <w:multiLevelType w:val="hybridMultilevel"/>
    <w:lvl w:ilvl="0">
      <w:lvlJc w:val="left"/>
      <w:lvlText w:val="R"/>
      <w:numFmt w:val="bullet"/>
      <w:start w:val="1"/>
    </w:lvl>
  </w:abstractNum>
  <w:abstractNum w:abstractNumId="28">
    <w:nsid w:val="71C91298"/>
    <w:multiLevelType w:val="hybridMultilevel"/>
    <w:lvl w:ilvl="0">
      <w:lvlJc w:val="left"/>
      <w:lvlText w:val="O"/>
      <w:numFmt w:val="bullet"/>
      <w:start w:val="1"/>
    </w:lvl>
  </w:abstractNum>
  <w:abstractNum w:abstractNumId="29">
    <w:nsid w:val="9DAF632"/>
    <w:multiLevelType w:val="hybridMultilevel"/>
    <w:lvl w:ilvl="0">
      <w:lvlJc w:val="left"/>
      <w:lvlText w:val="R"/>
      <w:numFmt w:val="bullet"/>
      <w:start w:val="1"/>
    </w:lvl>
  </w:abstractNum>
  <w:abstractNum w:abstractNumId="30">
    <w:nsid w:val="53299938"/>
    <w:multiLevelType w:val="hybridMultilevel"/>
    <w:lvl w:ilvl="0">
      <w:lvlJc w:val="left"/>
      <w:lvlText w:val="O"/>
      <w:numFmt w:val="bullet"/>
      <w:start w:val="1"/>
    </w:lvl>
  </w:abstractNum>
  <w:abstractNum w:abstractNumId="31">
    <w:nsid w:val="1FBFE8E0"/>
    <w:multiLevelType w:val="hybridMultilevel"/>
    <w:lvl w:ilvl="0">
      <w:lvlJc w:val="left"/>
      <w:lvlText w:val="1"/>
      <w:numFmt w:val="bullet"/>
      <w:start w:val="1"/>
    </w:lvl>
  </w:abstractNum>
  <w:abstractNum w:abstractNumId="32">
    <w:nsid w:val="5092CA79"/>
    <w:multiLevelType w:val="hybridMultilevel"/>
    <w:lvl w:ilvl="0">
      <w:lvlJc w:val="left"/>
      <w:lvlText w:val="%1)"/>
      <w:numFmt w:val="lowerLetter"/>
      <w:start w:val="1"/>
    </w:lvl>
  </w:abstractNum>
  <w:abstractNum w:abstractNumId="33">
    <w:nsid w:val="1D545C4D"/>
    <w:multiLevelType w:val="hybridMultilevel"/>
    <w:lvl w:ilvl="0">
      <w:lvlJc w:val="left"/>
      <w:lvlText w:val="%1)"/>
      <w:numFmt w:val="lowerLetter"/>
      <w:start w:val="8"/>
    </w:lvl>
  </w:abstractNum>
  <w:abstractNum w:abstractNumId="34">
    <w:nsid w:val="59ADEA3D"/>
    <w:multiLevelType w:val="hybridMultilevel"/>
    <w:lvl w:ilvl="0">
      <w:lvlJc w:val="left"/>
      <w:lvlText w:val="%1)"/>
      <w:numFmt w:val="lowerLetter"/>
      <w:start w:val="1"/>
    </w:lvl>
  </w:abstractNum>
  <w:abstractNum w:abstractNumId="35">
    <w:nsid w:val="288F1A34"/>
    <w:multiLevelType w:val="hybridMultilevel"/>
    <w:lvl w:ilvl="0">
      <w:lvlJc w:val="left"/>
      <w:lvlText w:val="%1)"/>
      <w:numFmt w:val="lowerLetter"/>
      <w:start w:val="5"/>
    </w:lvl>
  </w:abstractNum>
  <w:abstractNum w:abstractNumId="36">
    <w:nsid w:val="2A155DBC"/>
    <w:multiLevelType w:val="hybridMultilevel"/>
    <w:lvl w:ilvl="0">
      <w:lvlJc w:val="left"/>
      <w:lvlText w:val="•"/>
      <w:numFmt w:val="bullet"/>
      <w:start w:val="1"/>
    </w:lvl>
  </w:abstractNum>
  <w:abstractNum w:abstractNumId="37">
    <w:nsid w:val="1D9F6E5F"/>
    <w:multiLevelType w:val="hybridMultilevel"/>
    <w:lvl w:ilvl="0">
      <w:lvlJc w:val="left"/>
      <w:lvlText w:val="•"/>
      <w:numFmt w:val="bullet"/>
      <w:start w:val="1"/>
    </w:lvl>
  </w:abstractNum>
  <w:abstractNum w:abstractNumId="38">
    <w:nsid w:val="97E1B4E"/>
    <w:multiLevelType w:val="hybridMultilevel"/>
    <w:lvl w:ilvl="0">
      <w:lvlJc w:val="left"/>
      <w:lvlText w:val="(%1)"/>
      <w:numFmt w:val="decimal"/>
      <w:start w:val="1"/>
    </w:lvl>
  </w:abstractNum>
  <w:abstractNum w:abstractNumId="39">
    <w:nsid w:val="51088277"/>
    <w:multiLevelType w:val="hybridMultilevel"/>
    <w:lvl w:ilvl="0">
      <w:lvlJc w:val="left"/>
      <w:lvlText w:val="•"/>
      <w:numFmt w:val="bullet"/>
      <w:start w:val="1"/>
    </w:lvl>
  </w:abstractNum>
  <w:abstractNum w:abstractNumId="40">
    <w:nsid w:val="1CA0C5FA"/>
    <w:multiLevelType w:val="hybridMultilevel"/>
    <w:lvl w:ilvl="0">
      <w:lvlJc w:val="left"/>
      <w:lvlText w:val="•"/>
      <w:numFmt w:val="bullet"/>
      <w:start w:val="1"/>
    </w:lvl>
    <w:lvl w:ilvl="1">
      <w:lvlJc w:val="left"/>
      <w:lvlText w:val="•"/>
      <w:numFmt w:val="bullet"/>
      <w:start w:val="1"/>
    </w:lvl>
  </w:abstractNum>
  <w:abstractNum w:abstractNumId="41">
    <w:nsid w:val="53584BCB"/>
    <w:multiLevelType w:val="hybridMultilevel"/>
    <w:lvl w:ilvl="0">
      <w:lvlJc w:val="left"/>
      <w:lvlText w:val="•"/>
      <w:numFmt w:val="bullet"/>
      <w:start w:val="1"/>
    </w:lvl>
    <w:lvl w:ilvl="1">
      <w:lvlJc w:val="left"/>
      <w:lvlText w:val="•"/>
      <w:numFmt w:val="bullet"/>
      <w:start w:val="1"/>
    </w:lvl>
  </w:abstractNum>
  <w:abstractNum w:abstractNumId="42">
    <w:nsid w:val="415E286C"/>
    <w:multiLevelType w:val="hybridMultilevel"/>
    <w:lvl w:ilvl="0">
      <w:lvlJc w:val="left"/>
      <w:lvlText w:val="(%1)"/>
      <w:numFmt w:val="decimal"/>
      <w:start w:val="1"/>
    </w:lvl>
  </w:abstractNum>
  <w:abstractNum w:abstractNumId="43">
    <w:nsid w:val="7C58FD05"/>
    <w:multiLevelType w:val="hybridMultilevel"/>
    <w:lvl w:ilvl="0">
      <w:lvlJc w:val="left"/>
      <w:lvlText w:val="A"/>
      <w:numFmt w:val="bullet"/>
      <w:start w:val="1"/>
    </w:lvl>
    <w:lvl w:ilvl="1">
      <w:lvlJc w:val="left"/>
      <w:lvlText w:val="•"/>
      <w:numFmt w:val="bullet"/>
      <w:start w:val="1"/>
    </w:lvl>
    <w:lvl w:ilvl="2">
      <w:lvlJc w:val="left"/>
      <w:lvlText w:val="•"/>
      <w:numFmt w:val="bullet"/>
      <w:start w:val="1"/>
    </w:lvl>
  </w:abstractNum>
  <w:abstractNum w:abstractNumId="44">
    <w:nsid w:val="23D86AAC"/>
    <w:multiLevelType w:val="hybridMultilevel"/>
    <w:lvl w:ilvl="0">
      <w:lvlJc w:val="left"/>
      <w:lvlText w:val="D"/>
      <w:numFmt w:val="bullet"/>
      <w:start w:val="1"/>
    </w:lvl>
  </w:abstractNum>
  <w:abstractNum w:abstractNumId="45">
    <w:nsid w:val="45E6D486"/>
    <w:multiLevelType w:val="hybridMultilevel"/>
    <w:lvl w:ilvl="0">
      <w:lvlJc w:val="left"/>
      <w:lvlText w:val="(%1)"/>
      <w:numFmt w:val="decimal"/>
      <w:start w:val="5"/>
    </w:lvl>
  </w:abstractNum>
  <w:abstractNum w:abstractNumId="46">
    <w:nsid w:val="5C10FE21"/>
    <w:multiLevelType w:val="hybridMultilevel"/>
    <w:lvl w:ilvl="0">
      <w:lvlJc w:val="left"/>
      <w:lvlText w:val="(%1)"/>
      <w:numFmt w:val="decimal"/>
      <w:start w:val="1"/>
    </w:lvl>
    <w:lvl w:ilvl="1">
      <w:lvlJc w:val="left"/>
      <w:lvlText w:val="•"/>
      <w:numFmt w:val="bullet"/>
      <w:start w:val="1"/>
    </w:lvl>
  </w:abstractNum>
  <w:abstractNum w:abstractNumId="47">
    <w:nsid w:val="E7FFA2B"/>
    <w:multiLevelType w:val="hybridMultilevel"/>
    <w:lvl w:ilvl="0">
      <w:lvlJc w:val="left"/>
      <w:lvlText w:val="•"/>
      <w:numFmt w:val="bullet"/>
      <w:start w:val="1"/>
    </w:lvl>
  </w:abstractNum>
  <w:abstractNum w:abstractNumId="48">
    <w:nsid w:val="3C5991AA"/>
    <w:multiLevelType w:val="hybridMultilevel"/>
    <w:lvl w:ilvl="0">
      <w:lvlJc w:val="left"/>
      <w:lvlText w:val="(%1)"/>
      <w:numFmt w:val="decimal"/>
      <w:start w:val="3"/>
    </w:lvl>
    <w:lvl w:ilvl="1">
      <w:lvlJc w:val="left"/>
      <w:lvlText w:val="•"/>
      <w:numFmt w:val="bullet"/>
      <w:start w:val="1"/>
    </w:lvl>
  </w:abstractNum>
  <w:abstractNum w:abstractNumId="49">
    <w:nsid w:val="4BD8591A"/>
    <w:multiLevelType w:val="hybridMultilevel"/>
    <w:lvl w:ilvl="0">
      <w:lvlJc w:val="left"/>
      <w:lvlText w:val="(%1)"/>
      <w:numFmt w:val="decimal"/>
      <w:start w:val="4"/>
    </w:lvl>
    <w:lvl w:ilvl="1">
      <w:lvlJc w:val="left"/>
      <w:lvlText w:val="•"/>
      <w:numFmt w:val="bullet"/>
      <w:start w:val="1"/>
    </w:lvl>
  </w:abstractNum>
  <w:abstractNum w:abstractNumId="50">
    <w:nsid w:val="78DF6A55"/>
    <w:multiLevelType w:val="hybridMultilevel"/>
    <w:lvl w:ilvl="0">
      <w:lvlJc w:val="left"/>
      <w:lvlText w:val="•"/>
      <w:numFmt w:val="bullet"/>
      <w:start w:val="1"/>
    </w:lvl>
  </w:abstractNum>
  <w:abstractNum w:abstractNumId="51">
    <w:nsid w:val="39B7AAA2"/>
    <w:multiLevelType w:val="hybridMultilevel"/>
    <w:lvl w:ilvl="0">
      <w:lvlJc w:val="left"/>
      <w:lvlText w:val="•"/>
      <w:numFmt w:val="bullet"/>
      <w:start w:val="1"/>
    </w:lvl>
  </w:abstractNum>
  <w:abstractNum w:abstractNumId="52">
    <w:nsid w:val="2B0D8DBE"/>
    <w:multiLevelType w:val="hybridMultilevel"/>
    <w:lvl w:ilvl="0">
      <w:lvlJc w:val="left"/>
      <w:lvlText w:val="(%1)"/>
      <w:numFmt w:val="decimal"/>
      <w:start w:val="5"/>
    </w:lvl>
  </w:abstractNum>
  <w:abstractNum w:abstractNumId="53">
    <w:nsid w:val="6C80EC70"/>
    <w:multiLevelType w:val="hybridMultilevel"/>
    <w:lvl w:ilvl="0">
      <w:lvlJc w:val="left"/>
      <w:lvlText w:val="•"/>
      <w:numFmt w:val="bullet"/>
      <w:start w:val="1"/>
    </w:lvl>
  </w:abstractNum>
  <w:abstractNum w:abstractNumId="54">
    <w:nsid w:val="379E21B5"/>
    <w:multiLevelType w:val="hybridMultilevel"/>
    <w:lvl w:ilvl="0">
      <w:lvlJc w:val="left"/>
      <w:lvlText w:val="(%1)"/>
      <w:numFmt w:val="decimal"/>
      <w:start w:val="6"/>
    </w:lvl>
  </w:abstractNum>
  <w:abstractNum w:abstractNumId="55">
    <w:nsid w:val="69E373"/>
    <w:multiLevelType w:val="hybridMultilevel"/>
    <w:lvl w:ilvl="0">
      <w:lvlJc w:val="left"/>
      <w:lvlText w:val="(%1)"/>
      <w:numFmt w:val="decimal"/>
      <w:start w:val="1"/>
    </w:lvl>
  </w:abstractNum>
  <w:abstractNum w:abstractNumId="56">
    <w:nsid w:val="2C27173B"/>
    <w:multiLevelType w:val="hybridMultilevel"/>
    <w:lvl w:ilvl="0">
      <w:lvlJc w:val="left"/>
      <w:lvlText w:val="(%1)"/>
      <w:numFmt w:val="lowerLetter"/>
      <w:start w:val="1"/>
    </w:lvl>
  </w:abstractNum>
  <w:abstractNum w:abstractNumId="57">
    <w:nsid w:val="4C9B0904"/>
    <w:multiLevelType w:val="hybridMultilevel"/>
    <w:lvl w:ilvl="0">
      <w:lvlJc w:val="left"/>
      <w:lvlText w:val="(%1)"/>
      <w:numFmt w:val="lowerLetter"/>
      <w:start w:val="1"/>
    </w:lvl>
  </w:abstractNum>
  <w:abstractNum w:abstractNumId="58">
    <w:nsid w:val="6AA7B75C"/>
    <w:multiLevelType w:val="hybridMultilevel"/>
    <w:lvl w:ilvl="0">
      <w:lvlJc w:val="left"/>
      <w:lvlText w:val="(%1)"/>
      <w:numFmt w:val="lowerLetter"/>
      <w:start w:val="1"/>
    </w:lvl>
  </w:abstractNum>
  <w:abstractNum w:abstractNumId="59">
    <w:nsid w:val="1DF029D3"/>
    <w:multiLevelType w:val="hybridMultilevel"/>
    <w:lvl w:ilvl="0">
      <w:lvlJc w:val="left"/>
      <w:lvlText w:val="(%1)"/>
      <w:numFmt w:val="lowerLetter"/>
      <w:start w:val="3"/>
    </w:lvl>
  </w:abstractNum>
  <w:abstractNum w:abstractNumId="60">
    <w:nsid w:val="5675FF36"/>
    <w:multiLevelType w:val="hybridMultilevel"/>
    <w:lvl w:ilvl="0">
      <w:lvlJc w:val="left"/>
      <w:lvlText w:val="(%1)"/>
      <w:numFmt w:val="lowerLetter"/>
      <w:start w:val="1"/>
    </w:lvl>
  </w:abstractNum>
  <w:abstractNum w:abstractNumId="61">
    <w:nsid w:val="3DD15094"/>
    <w:multiLevelType w:val="hybridMultilevel"/>
    <w:lvl w:ilvl="0">
      <w:lvlJc w:val="left"/>
      <w:lvlText w:val="(%1)"/>
      <w:numFmt w:val="decimal"/>
      <w:start w:val="3"/>
    </w:lvl>
  </w:abstractNum>
  <w:abstractNum w:abstractNumId="62">
    <w:nsid w:val="3DB012B3"/>
    <w:multiLevelType w:val="hybridMultilevel"/>
    <w:lvl w:ilvl="0">
      <w:lvlJc w:val="left"/>
      <w:lvlText w:val="(%1)"/>
      <w:numFmt w:val="lowerLetter"/>
      <w:start w:val="1"/>
    </w:lvl>
  </w:abstractNum>
  <w:abstractNum w:abstractNumId="63">
    <w:nsid w:val="2708C9AF"/>
    <w:multiLevelType w:val="hybridMultilevel"/>
    <w:lvl w:ilvl="0">
      <w:lvlJc w:val="left"/>
      <w:lvlText w:val="(%1)"/>
      <w:numFmt w:val="lowerLetter"/>
      <w:start w:val="3"/>
    </w:lvl>
  </w:abstractNum>
  <w:abstractNum w:abstractNumId="64">
    <w:nsid w:val="5B25ACE2"/>
    <w:multiLevelType w:val="hybridMultilevel"/>
    <w:lvl w:ilvl="0">
      <w:lvlJc w:val="left"/>
      <w:lvlText w:val="(%1)"/>
      <w:numFmt w:val="lowerRoman"/>
      <w:start w:val="2"/>
    </w:lvl>
  </w:abstractNum>
  <w:abstractNum w:abstractNumId="65">
    <w:nsid w:val="175DFCF0"/>
    <w:multiLevelType w:val="hybridMultilevel"/>
    <w:lvl w:ilvl="0">
      <w:lvlJc w:val="left"/>
      <w:lvlText w:val="(%1)"/>
      <w:numFmt w:val="lowerLetter"/>
      <w:start w:val="1"/>
    </w:lvl>
  </w:abstractNum>
  <w:abstractNum w:abstractNumId="66">
    <w:nsid w:val="4F97E3E4"/>
    <w:multiLevelType w:val="hybridMultilevel"/>
    <w:lvl w:ilvl="0">
      <w:lvlJc w:val="left"/>
      <w:lvlText w:val="(%1)"/>
      <w:numFmt w:val="lowerLetter"/>
      <w:start w:val="4"/>
    </w:lvl>
  </w:abstractNum>
  <w:abstractNum w:abstractNumId="67">
    <w:nsid w:val="53B0A9E"/>
    <w:multiLevelType w:val="hybridMultilevel"/>
    <w:lvl w:ilvl="0">
      <w:lvlJc w:val="left"/>
      <w:lvlText w:val="(%1)"/>
      <w:numFmt w:val="lowerLetter"/>
      <w:start w:val="1"/>
    </w:lvl>
  </w:abstractNum>
  <w:abstractNum w:abstractNumId="68">
    <w:nsid w:val="34FD6B4F"/>
    <w:multiLevelType w:val="hybridMultilevel"/>
    <w:lvl w:ilvl="0">
      <w:lvlJc w:val="left"/>
      <w:lvlText w:val="(%1)"/>
      <w:numFmt w:val="lowerRoman"/>
      <w:start w:val="1"/>
    </w:lvl>
  </w:abstractNum>
  <w:abstractNum w:abstractNumId="69">
    <w:nsid w:val="5915FF32"/>
    <w:multiLevelType w:val="hybridMultilevel"/>
    <w:lvl w:ilvl="0">
      <w:lvlJc w:val="left"/>
      <w:lvlText w:val="(%1)"/>
      <w:numFmt w:val="lowerRoman"/>
      <w:start w:val="7"/>
    </w:lvl>
  </w:abstractNum>
  <w:abstractNum w:abstractNumId="70">
    <w:nsid w:val="56438D15"/>
    <w:multiLevelType w:val="hybridMultilevel"/>
    <w:lvl w:ilvl="0">
      <w:lvlJc w:val="left"/>
      <w:lvlText w:val="(%1)"/>
      <w:numFmt w:val="lowerLetter"/>
      <w:start w:val="2"/>
    </w:lvl>
  </w:abstractNum>
  <w:abstractNum w:abstractNumId="71">
    <w:nsid w:val="519E3149"/>
    <w:multiLevelType w:val="hybridMultilevel"/>
    <w:lvl w:ilvl="0">
      <w:lvlJc w:val="left"/>
      <w:lvlText w:val="(%1)"/>
      <w:numFmt w:val="lowerLetter"/>
      <w:start w:val="2"/>
    </w:lvl>
  </w:abstractNum>
  <w:abstractNum w:abstractNumId="72">
    <w:nsid w:val="2C6E4AFD"/>
    <w:multiLevelType w:val="hybridMultilevel"/>
    <w:lvl w:ilvl="0">
      <w:lvlJc w:val="left"/>
      <w:lvlText w:val="(%1)"/>
      <w:numFmt w:val="lowerLetter"/>
      <w:start w:val="1"/>
    </w:lvl>
    <w:lvl w:ilvl="1">
      <w:lvlJc w:val="left"/>
      <w:lvlText w:val="(%2)"/>
      <w:numFmt w:val="lowerLetter"/>
      <w:start w:val="9"/>
    </w:lvl>
  </w:abstractNum>
  <w:abstractNum w:abstractNumId="73">
    <w:nsid w:val="17A1B582"/>
    <w:multiLevelType w:val="hybridMultilevel"/>
    <w:lvl w:ilvl="0">
      <w:lvlJc w:val="left"/>
      <w:lvlText w:val="%1"/>
      <w:numFmt w:val="lowerLetter"/>
      <w:start w:val="1"/>
    </w:lvl>
    <w:lvl w:ilvl="1">
      <w:lvlJc w:val="left"/>
      <w:lvlText w:val="(%2)"/>
      <w:numFmt w:val="lowerRoman"/>
      <w:start w:val="2"/>
    </w:lvl>
  </w:abstractNum>
  <w:abstractNum w:abstractNumId="74">
    <w:nsid w:val="4DF72E4E"/>
    <w:multiLevelType w:val="hybridMultilevel"/>
    <w:lvl w:ilvl="0">
      <w:lvlJc w:val="left"/>
      <w:lvlText w:val="(%1)"/>
      <w:numFmt w:val="lowerLetter"/>
      <w:start w:val="2"/>
    </w:lvl>
    <w:lvl w:ilvl="1">
      <w:lvlJc w:val="left"/>
      <w:lvlText w:val="(%2)"/>
      <w:numFmt w:val="lowerRoman"/>
      <w:start w:val="1"/>
    </w:lvl>
  </w:abstractNum>
  <w:abstractNum w:abstractNumId="75">
    <w:nsid w:val="5046B5A9"/>
    <w:multiLevelType w:val="hybridMultilevel"/>
    <w:lvl w:ilvl="0">
      <w:lvlJc w:val="left"/>
      <w:lvlText w:val="(%1)"/>
      <w:numFmt w:val="lowerLetter"/>
      <w:start w:val="1"/>
    </w:lvl>
  </w:abstractNum>
  <w:abstractNum w:abstractNumId="76">
    <w:nsid w:val="5D888A08"/>
    <w:multiLevelType w:val="hybridMultilevel"/>
    <w:lvl w:ilvl="0">
      <w:lvlJc w:val="left"/>
      <w:lvlText w:val="(%1)"/>
      <w:numFmt w:val="lowerLetter"/>
      <w:start w:val="1"/>
    </w:lvl>
    <w:lvl w:ilvl="1">
      <w:lvlJc w:val="left"/>
      <w:lvlText w:val="(%2)"/>
      <w:numFmt w:val="lowerLetter"/>
      <w:start w:val="9"/>
    </w:lvl>
  </w:abstractNum>
  <w:abstractNum w:abstractNumId="77">
    <w:nsid w:val="2A082C70"/>
    <w:multiLevelType w:val="hybridMultilevel"/>
    <w:lvl w:ilvl="0">
      <w:lvlJc w:val="left"/>
      <w:lvlText w:val="(%1)"/>
      <w:numFmt w:val="lowerRoman"/>
      <w:start w:val="2"/>
    </w:lvl>
  </w:abstractNum>
  <w:abstractNum w:abstractNumId="78">
    <w:nsid w:val="5EC6AFD4"/>
    <w:multiLevelType w:val="hybridMultilevel"/>
    <w:lvl w:ilvl="0">
      <w:lvlJc w:val="left"/>
      <w:lvlText w:val="(%1)"/>
      <w:numFmt w:val="lowerLetter"/>
      <w:start w:val="4"/>
    </w:lvl>
  </w:abstractNum>
  <w:abstractNum w:abstractNumId="79">
    <w:nsid w:val="19E21B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
    <w:nsid w:val="75E0858A"/>
    <w:multiLevelType w:val="hybridMultilevel"/>
    <w:lvl w:ilvl="0">
      <w:lvlJc w:val="left"/>
      <w:lvlText w:val="(%1)"/>
      <w:numFmt w:val="upperLetter"/>
      <w:start w:val="2"/>
    </w:lvl>
  </w:abstractNum>
  <w:abstractNum w:abstractNumId="81">
    <w:nsid w:val="57A61A29"/>
    <w:multiLevelType w:val="hybridMultilevel"/>
    <w:lvl w:ilvl="0">
      <w:lvlJc w:val="left"/>
      <w:lvlText w:val="(%1)"/>
      <w:numFmt w:val="lowerLetter"/>
      <w:start w:val="2"/>
    </w:lvl>
    <w:lvl w:ilvl="1">
      <w:lvlJc w:val="left"/>
      <w:lvlText w:val="(%2)"/>
      <w:numFmt w:val="lowerRoman"/>
      <w:start w:val="1"/>
    </w:lvl>
  </w:abstractNum>
  <w:abstractNum w:abstractNumId="82">
    <w:nsid w:val="5399C654"/>
    <w:multiLevelType w:val="hybridMultilevel"/>
    <w:lvl w:ilvl="0">
      <w:lvlJc w:val="left"/>
      <w:lvlText w:val="(%1)"/>
      <w:numFmt w:val="lowerLetter"/>
      <w:start w:val="3"/>
    </w:lvl>
  </w:abstractNum>
  <w:abstractNum w:abstractNumId="83">
    <w:nsid w:val="20EE1348"/>
    <w:multiLevelType w:val="hybridMultilevel"/>
    <w:lvl w:ilvl="0">
      <w:lvlJc w:val="left"/>
      <w:lvlText w:val="(%1)"/>
      <w:numFmt w:val="lowerLetter"/>
      <w:start w:val="1"/>
    </w:lvl>
  </w:abstractNum>
  <w:abstractNum w:abstractNumId="84">
    <w:nsid w:val="4427069A"/>
    <w:multiLevelType w:val="hybridMultilevel"/>
    <w:lvl w:ilvl="0">
      <w:lvlJc w:val="left"/>
      <w:lvlText w:val="(%1)"/>
      <w:numFmt w:val="lowerLetter"/>
      <w:start w:val="2"/>
    </w:lvl>
  </w:abstractNum>
  <w:abstractNum w:abstractNumId="85">
    <w:nsid w:val="B37E80A"/>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5"/>
    </w:lvl>
  </w:abstractNum>
  <w:abstractNum w:abstractNumId="86">
    <w:nsid w:val="2157F6B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87">
    <w:nsid w:val="704E1DD5"/>
    <w:multiLevelType w:val="hybridMultilevel"/>
    <w:lvl w:ilvl="0">
      <w:lvlJc w:val="left"/>
      <w:lvlText w:val="(%1)"/>
      <w:numFmt w:val="lowerRoman"/>
      <w:start w:val="2"/>
    </w:lvl>
  </w:abstractNum>
  <w:abstractNum w:abstractNumId="88">
    <w:nsid w:val="57D2F10E"/>
    <w:multiLevelType w:val="hybridMultilevel"/>
    <w:lvl w:ilvl="0">
      <w:lvlJc w:val="left"/>
      <w:lvlText w:val="(%1)"/>
      <w:numFmt w:val="lowerLetter"/>
      <w:start w:val="4"/>
    </w:lvl>
  </w:abstractNum>
  <w:abstractNum w:abstractNumId="89">
    <w:nsid w:val="BFFAE18"/>
    <w:multiLevelType w:val="hybridMultilevel"/>
    <w:lvl w:ilvl="0">
      <w:lvlJc w:val="left"/>
      <w:lvlText w:val="(%1)"/>
      <w:numFmt w:val="lowerLetter"/>
      <w:start w:val="1"/>
    </w:lvl>
  </w:abstractNum>
  <w:abstractNum w:abstractNumId="90">
    <w:nsid w:val="E3E47A8"/>
    <w:multiLevelType w:val="hybridMultilevel"/>
    <w:lvl w:ilvl="0">
      <w:lvlJc w:val="left"/>
      <w:lvlText w:val="(%1)"/>
      <w:numFmt w:val="lowerLetter"/>
      <w:start w:val="2"/>
    </w:lvl>
  </w:abstractNum>
  <w:abstractNum w:abstractNumId="91">
    <w:nsid w:val="2E48F044"/>
    <w:multiLevelType w:val="hybridMultilevel"/>
    <w:lvl w:ilvl="0">
      <w:lvlJc w:val="left"/>
      <w:lvlText w:val="(%1)"/>
      <w:numFmt w:val="lowerLetter"/>
      <w:start w:val="1"/>
    </w:lvl>
  </w:abstractNum>
  <w:abstractNum w:abstractNumId="92">
    <w:nsid w:val="49D0FEAC"/>
    <w:multiLevelType w:val="hybridMultilevel"/>
    <w:lvl w:ilvl="0">
      <w:lvlJc w:val="left"/>
      <w:lvlText w:val="(%1)"/>
      <w:numFmt w:val="lowerLetter"/>
      <w:start w:val="3"/>
    </w:lvl>
  </w:abstractNum>
  <w:abstractNum w:abstractNumId="93">
    <w:nsid w:val="4BEE5A5B"/>
    <w:multiLevelType w:val="hybridMultilevel"/>
    <w:lvl w:ilvl="0">
      <w:lvlJc w:val="left"/>
      <w:lvlText w:val="(%1)"/>
      <w:numFmt w:val="lowerLetter"/>
      <w:start w:val="1"/>
    </w:lvl>
  </w:abstractNum>
  <w:abstractNum w:abstractNumId="94">
    <w:nsid w:val="5551B9F3"/>
    <w:multiLevelType w:val="hybridMultilevel"/>
    <w:lvl w:ilvl="0">
      <w:lvlJc w:val="left"/>
      <w:lvlText w:val="(%1)"/>
      <w:numFmt w:val="lowerLetter"/>
      <w:start w:val="2"/>
    </w:lvl>
    <w:lvl w:ilvl="1">
      <w:lvlJc w:val="left"/>
      <w:lvlText w:val="(%2)"/>
      <w:numFmt w:val="lowerLetter"/>
      <w:start w:val="9"/>
    </w:lvl>
  </w:abstractNum>
  <w:abstractNum w:abstractNumId="95">
    <w:nsid w:val="24F6AB8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6">
    <w:nsid w:val="634C574C"/>
    <w:multiLevelType w:val="hybridMultilevel"/>
    <w:lvl w:ilvl="0">
      <w:lvlJc w:val="left"/>
      <w:lvlText w:val="%1"/>
      <w:numFmt w:val="upperLetter"/>
      <w:start w:val="1"/>
    </w:lvl>
    <w:lvl w:ilvl="1">
      <w:lvlJc w:val="left"/>
      <w:lvlText w:val="(%2)"/>
      <w:numFmt w:val="decimal"/>
      <w:start w:val="4"/>
    </w:lvl>
  </w:abstractNum>
  <w:abstractNum w:abstractNumId="97">
    <w:nsid w:val="24E99DD7"/>
    <w:multiLevelType w:val="hybridMultilevel"/>
    <w:lvl w:ilvl="0">
      <w:lvlJc w:val="left"/>
      <w:lvlText w:val="(%1)"/>
      <w:numFmt w:val="upperLetter"/>
      <w:start w:val="3"/>
    </w:lvl>
    <w:lvl w:ilvl="1">
      <w:lvlJc w:val="left"/>
      <w:lvlText w:val="%2"/>
      <w:numFmt w:val="decimal"/>
      <w:start w:val="1"/>
    </w:lvl>
  </w:abstractNum>
  <w:abstractNum w:abstractNumId="98">
    <w:nsid w:val="2A31B62D"/>
    <w:multiLevelType w:val="hybridMultilevel"/>
    <w:lvl w:ilvl="0">
      <w:lvlJc w:val="left"/>
      <w:lvlText w:val="(%1)"/>
      <w:numFmt w:val="lowerLetter"/>
      <w:start w:val="7"/>
    </w:lvl>
  </w:abstractNum>
  <w:abstractNum w:abstractNumId="99">
    <w:nsid w:val="1849C29B"/>
    <w:multiLevelType w:val="hybridMultilevel"/>
    <w:lvl w:ilvl="0">
      <w:lvlJc w:val="left"/>
      <w:lvlText w:val="(%1)"/>
      <w:numFmt w:val="lowerLetter"/>
      <w:start w:val="8"/>
    </w:lvl>
  </w:abstractNum>
  <w:abstractNum w:abstractNumId="100">
    <w:nsid w:val="7DFF9D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1">
    <w:nsid w:val="754342"/>
    <w:multiLevelType w:val="hybridMultilevel"/>
    <w:lvl w:ilvl="0">
      <w:lvlJc w:val="left"/>
      <w:lvlText w:val="(%1)"/>
      <w:numFmt w:val="lowerRoman"/>
      <w:start w:val="3"/>
    </w:lvl>
  </w:abstractNum>
  <w:abstractNum w:abstractNumId="102">
    <w:nsid w:val="69E7F3E5"/>
    <w:multiLevelType w:val="hybridMultilevel"/>
    <w:lvl w:ilvl="0">
      <w:lvlJc w:val="left"/>
      <w:lvlText w:val="%1"/>
      <w:numFmt w:val="lowerLetter"/>
      <w:start w:val="1"/>
    </w:lvl>
    <w:lvl w:ilvl="1">
      <w:lvlJc w:val="left"/>
      <w:lvlText w:val="(%2)"/>
      <w:numFmt w:val="lowerRoman"/>
      <w:start w:val="11"/>
    </w:lvl>
  </w:abstractNum>
  <w:abstractNum w:abstractNumId="103">
    <w:nsid w:val="2A6DE806"/>
    <w:multiLevelType w:val="hybridMultilevel"/>
    <w:lvl w:ilvl="0">
      <w:lvlJc w:val="left"/>
      <w:lvlText w:val="(%1)"/>
      <w:numFmt w:val="lowerLetter"/>
      <w:start w:val="6"/>
    </w:lvl>
    <w:lvl w:ilvl="1">
      <w:lvlJc w:val="left"/>
      <w:lvlText w:val="%2"/>
      <w:numFmt w:val="lowerRoman"/>
      <w:start w:val="1"/>
    </w:lvl>
  </w:abstractNum>
  <w:abstractNum w:abstractNumId="104">
    <w:nsid w:val="1816F8C4"/>
    <w:multiLevelType w:val="hybridMultilevel"/>
    <w:lvl w:ilvl="0">
      <w:lvlJc w:val="left"/>
      <w:lvlText w:val="(%1)"/>
      <w:numFmt w:val="lowerLetter"/>
      <w:start w:val="1"/>
    </w:lvl>
  </w:abstractNum>
  <w:abstractNum w:abstractNumId="105">
    <w:nsid w:val="37DF2233"/>
    <w:multiLevelType w:val="hybridMultilevel"/>
    <w:lvl w:ilvl="0">
      <w:lvlJc w:val="left"/>
      <w:lvlText w:val="(%1)"/>
      <w:numFmt w:val="lowerLetter"/>
      <w:start w:val="3"/>
    </w:lvl>
  </w:abstractNum>
  <w:abstractNum w:abstractNumId="106">
    <w:nsid w:val="7AB49DAF"/>
    <w:multiLevelType w:val="hybridMultilevel"/>
    <w:lvl w:ilvl="0">
      <w:lvlJc w:val="left"/>
      <w:lvlText w:val="(%1)"/>
      <w:numFmt w:val="lowerLetter"/>
      <w:start w:val="1"/>
    </w:lvl>
  </w:abstractNum>
  <w:abstractNum w:abstractNumId="107">
    <w:nsid w:val="759F82CD"/>
    <w:multiLevelType w:val="hybridMultilevel"/>
    <w:lvl w:ilvl="0">
      <w:lvlJc w:val="left"/>
      <w:lvlText w:val="(%1)"/>
      <w:numFmt w:val="lowerLetter"/>
      <w:start w:val="2"/>
    </w:lvl>
  </w:abstractNum>
  <w:abstractNum w:abstractNumId="108">
    <w:nsid w:val="61E74EA3"/>
    <w:multiLevelType w:val="hybridMultilevel"/>
    <w:lvl w:ilvl="0">
      <w:lvlJc w:val="left"/>
      <w:lvlText w:val="(%1)"/>
      <w:numFmt w:val="lowerLetter"/>
      <w:start w:val="1"/>
    </w:lvl>
    <w:lvl w:ilvl="1">
      <w:lvlJc w:val="left"/>
      <w:lvlText w:val="(%2)"/>
      <w:numFmt w:val="lowerRoman"/>
      <w:start w:val="1"/>
    </w:lvl>
  </w:abstractNum>
  <w:abstractNum w:abstractNumId="109">
    <w:nsid w:val="597B4D84"/>
    <w:multiLevelType w:val="hybridMultilevel"/>
    <w:lvl w:ilvl="0">
      <w:lvlJc w:val="left"/>
      <w:lvlText w:val="%1"/>
      <w:numFmt w:val="upperLetter"/>
      <w:start w:val="1"/>
    </w:lvl>
    <w:lvl w:ilvl="1">
      <w:lvlJc w:val="left"/>
      <w:lvlText w:val="(%2)"/>
      <w:numFmt w:val="lowerRoman"/>
      <w:start w:val="6"/>
    </w:lvl>
  </w:abstractNum>
  <w:abstractNum w:abstractNumId="110">
    <w:nsid w:val="F819E7F"/>
    <w:multiLevelType w:val="hybridMultilevel"/>
    <w:lvl w:ilvl="0">
      <w:lvlJc w:val="left"/>
      <w:lvlText w:val="(%1)"/>
      <w:numFmt w:val="upperLetter"/>
      <w:start w:val="2"/>
    </w:lvl>
    <w:lvl w:ilvl="1">
      <w:lvlJc w:val="left"/>
      <w:lvlText w:val="(%2)"/>
      <w:numFmt w:val="lowerRoman"/>
      <w:start w:val="7"/>
    </w:lvl>
  </w:abstractNum>
  <w:abstractNum w:abstractNumId="111">
    <w:nsid w:val="57C7D42D"/>
    <w:multiLevelType w:val="hybridMultilevel"/>
    <w:lvl w:ilvl="0">
      <w:lvlJc w:val="left"/>
      <w:lvlText w:val="(%1)"/>
      <w:numFmt w:val="lowerLetter"/>
      <w:start w:val="1"/>
    </w:lvl>
  </w:abstractNum>
  <w:abstractNum w:abstractNumId="112">
    <w:nsid w:val="312167AD"/>
    <w:multiLevelType w:val="hybridMultilevel"/>
    <w:lvl w:ilvl="0">
      <w:lvlJc w:val="left"/>
      <w:lvlText w:val="(%1)"/>
      <w:numFmt w:val="lowerLetter"/>
      <w:start w:val="1"/>
    </w:lvl>
    <w:lvl w:ilvl="1">
      <w:lvlJc w:val="left"/>
      <w:lvlText w:val="(%2)"/>
      <w:numFmt w:val="lowerRoman"/>
      <w:start w:val="1"/>
    </w:lvl>
  </w:abstractNum>
  <w:abstractNum w:abstractNumId="113">
    <w:nsid w:val="631B64D4"/>
    <w:multiLevelType w:val="hybridMultilevel"/>
    <w:lvl w:ilvl="0">
      <w:lvlJc w:val="left"/>
      <w:lvlText w:val="(%1)"/>
      <w:numFmt w:val="lowerRoman"/>
      <w:start w:val="3"/>
    </w:lvl>
  </w:abstractNum>
  <w:abstractNum w:abstractNumId="114">
    <w:nsid w:val="78B5E776"/>
    <w:multiLevelType w:val="hybridMultilevel"/>
    <w:lvl w:ilvl="0">
      <w:lvlJc w:val="left"/>
      <w:lvlText w:val="(%1)"/>
      <w:numFmt w:val="lowerLetter"/>
      <w:start w:val="1"/>
    </w:lvl>
  </w:abstractNum>
  <w:abstractNum w:abstractNumId="115">
    <w:nsid w:val="75486E47"/>
    <w:multiLevelType w:val="hybridMultilevel"/>
    <w:lvl w:ilvl="0">
      <w:lvlJc w:val="left"/>
      <w:lvlText w:val="(%1)"/>
      <w:numFmt w:val="lowerLetter"/>
      <w:start w:val="1"/>
    </w:lvl>
  </w:abstractNum>
  <w:abstractNum w:abstractNumId="116">
    <w:nsid w:val="6E534CDE"/>
    <w:multiLevelType w:val="hybridMultilevel"/>
    <w:lvl w:ilvl="0">
      <w:lvlJc w:val="left"/>
      <w:lvlText w:val="(%1)"/>
      <w:numFmt w:val="lowerLetter"/>
      <w:start w:val="4"/>
    </w:lvl>
  </w:abstractNum>
  <w:abstractNum w:abstractNumId="117">
    <w:nsid w:val="1A0DDE32"/>
    <w:multiLevelType w:val="hybridMultilevel"/>
    <w:lvl w:ilvl="0">
      <w:lvlJc w:val="left"/>
      <w:lvlText w:val="(%1)"/>
      <w:numFmt w:val="lowerLetter"/>
      <w:start w:val="8"/>
    </w:lvl>
  </w:abstractNum>
  <w:abstractNum w:abstractNumId="118">
    <w:nsid w:val="65968C1C"/>
    <w:multiLevelType w:val="hybridMultilevel"/>
    <w:lvl w:ilvl="0">
      <w:lvlJc w:val="left"/>
      <w:lvlText w:val="(%1)"/>
      <w:numFmt w:val="lowerLetter"/>
      <w:start w:val="1"/>
    </w:lvl>
  </w:abstractNum>
  <w:abstractNum w:abstractNumId="119">
    <w:nsid w:val="46263DEC"/>
    <w:multiLevelType w:val="hybridMultilevel"/>
    <w:lvl w:ilvl="0">
      <w:lvlJc w:val="left"/>
      <w:lvlText w:val="%1"/>
      <w:numFmt w:val="lowerLetter"/>
      <w:start w:val="1"/>
    </w:lvl>
    <w:lvl w:ilvl="1">
      <w:lvlJc w:val="left"/>
      <w:lvlText w:val="(%2)"/>
      <w:numFmt w:val="lowerLetter"/>
      <w:start w:val="3"/>
    </w:lvl>
  </w:abstractNum>
  <w:abstractNum w:abstractNumId="120">
    <w:nsid w:val="260D8C4A"/>
    <w:multiLevelType w:val="hybridMultilevel"/>
    <w:lvl w:ilvl="0">
      <w:lvlJc w:val="left"/>
      <w:lvlText w:val="(%1)"/>
      <w:numFmt w:val="lowerLetter"/>
      <w:start w:val="9"/>
    </w:lvl>
    <w:lvl w:ilvl="1">
      <w:lvlJc w:val="left"/>
      <w:lvlText w:val="(%2)"/>
      <w:numFmt w:val="lowerLetter"/>
      <w:start w:val="5"/>
    </w:lvl>
  </w:abstractNum>
  <w:abstractNum w:abstractNumId="121">
    <w:nsid w:val="73D4D3C4"/>
    <w:multiLevelType w:val="hybridMultilevel"/>
    <w:lvl w:ilvl="0">
      <w:lvlJc w:val="left"/>
      <w:lvlText w:val="(%1)"/>
      <w:numFmt w:val="lowerLetter"/>
      <w:start w:val="7"/>
    </w:lvl>
  </w:abstractNum>
  <w:abstractNum w:abstractNumId="122">
    <w:nsid w:val="746F2E30"/>
    <w:multiLevelType w:val="hybridMultilevel"/>
    <w:lvl w:ilvl="0">
      <w:lvlJc w:val="left"/>
      <w:lvlText w:val="(%1)"/>
      <w:numFmt w:val="lowerLetter"/>
      <w:start w:val="1"/>
    </w:lvl>
  </w:abstractNum>
  <w:abstractNum w:abstractNumId="123">
    <w:nsid w:val="6FDE8AF6"/>
    <w:multiLevelType w:val="hybridMultilevel"/>
    <w:lvl w:ilvl="0">
      <w:lvlJc w:val="left"/>
      <w:lvlText w:val="(%1)"/>
      <w:numFmt w:val="lowerLetter"/>
      <w:start w:val="8"/>
    </w:lvl>
  </w:abstractNum>
  <w:abstractNum w:abstractNumId="124">
    <w:nsid w:val="3FC32E20"/>
    <w:multiLevelType w:val="hybridMultilevel"/>
    <w:lvl w:ilvl="0">
      <w:lvlJc w:val="left"/>
      <w:lvlText w:val="(%1)"/>
      <w:numFmt w:val="lowerLetter"/>
      <w:start w:val="18"/>
    </w:lvl>
  </w:abstractNum>
  <w:abstractNum w:abstractNumId="125">
    <w:nsid w:val="49C0E823"/>
    <w:multiLevelType w:val="hybridMultilevel"/>
    <w:lvl w:ilvl="0">
      <w:lvlJc w:val="left"/>
      <w:lvlText w:val="(%1)"/>
      <w:numFmt w:val="lowerLetter"/>
      <w:start w:val="1"/>
    </w:lvl>
  </w:abstractNum>
  <w:abstractNum w:abstractNumId="126">
    <w:nsid w:val="14D53685"/>
    <w:multiLevelType w:val="hybridMultilevel"/>
    <w:lvl w:ilvl="0">
      <w:lvlJc w:val="left"/>
      <w:lvlText w:val="(%1)"/>
      <w:numFmt w:val="lowerLetter"/>
      <w:start w:val="3"/>
    </w:lvl>
  </w:abstractNum>
  <w:abstractNum w:abstractNumId="127">
    <w:nsid w:val="230F856C"/>
    <w:multiLevelType w:val="hybridMultilevel"/>
    <w:lvl w:ilvl="0">
      <w:lvlJc w:val="left"/>
      <w:lvlText w:val="(%1)"/>
      <w:numFmt w:val="decimal"/>
      <w:start w:val="3"/>
    </w:lvl>
  </w:abstractNum>
  <w:abstractNum w:abstractNumId="128">
    <w:nsid w:val="6EAA85FB"/>
    <w:multiLevelType w:val="hybridMultilevel"/>
    <w:lvl w:ilvl="0">
      <w:lvlJc w:val="left"/>
      <w:lvlText w:val="(%1)"/>
      <w:numFmt w:val="lowerLetter"/>
      <w:start w:val="1"/>
    </w:lvl>
  </w:abstractNum>
  <w:abstractNum w:abstractNumId="129">
    <w:nsid w:val="3F06ECB2"/>
    <w:multiLevelType w:val="hybridMultilevel"/>
    <w:lvl w:ilvl="0">
      <w:lvlJc w:val="left"/>
      <w:lvlText w:val="(%1)"/>
      <w:numFmt w:val="lowerLetter"/>
      <w:start w:val="1"/>
    </w:lvl>
  </w:abstractNum>
  <w:abstractNum w:abstractNumId="130">
    <w:nsid w:val="3B594807"/>
    <w:multiLevelType w:val="hybridMultilevel"/>
    <w:lvl w:ilvl="0">
      <w:lvlJc w:val="left"/>
      <w:lvlText w:val="(%1)"/>
      <w:numFmt w:val="lowerRoman"/>
      <w:start w:val="1"/>
    </w:lvl>
  </w:abstractNum>
  <w:abstractNum w:abstractNumId="131">
    <w:nsid w:val="6CAA2304"/>
    <w:multiLevelType w:val="hybridMultilevel"/>
    <w:lvl w:ilvl="0">
      <w:lvlJc w:val="left"/>
      <w:lvlText w:val="(%1)"/>
      <w:numFmt w:val="lowerLetter"/>
      <w:start w:val="2"/>
    </w:lvl>
  </w:abstractNum>
  <w:abstractNum w:abstractNumId="132">
    <w:nsid w:val="3F7C2FF4"/>
    <w:multiLevelType w:val="hybridMultilevel"/>
    <w:lvl w:ilvl="0">
      <w:lvlJc w:val="left"/>
      <w:lvlText w:val="(%1)"/>
      <w:numFmt w:val="lowerLetter"/>
      <w:start w:val="1"/>
    </w:lvl>
  </w:abstractNum>
  <w:abstractNum w:abstractNumId="133">
    <w:nsid w:val="25413BEC"/>
    <w:multiLevelType w:val="hybridMultilevel"/>
    <w:lvl w:ilvl="0">
      <w:lvlJc w:val="left"/>
      <w:lvlText w:val="(%1)"/>
      <w:numFmt w:val="lowerLetter"/>
      <w:start w:val="1"/>
    </w:lvl>
  </w:abstractNum>
  <w:abstractNum w:abstractNumId="134">
    <w:nsid w:val="17180B0B"/>
    <w:multiLevelType w:val="hybridMultilevel"/>
    <w:lvl w:ilvl="0">
      <w:lvlJc w:val="left"/>
      <w:lvlText w:val="(%1)"/>
      <w:numFmt w:val="lowerLetter"/>
      <w:start w:val="1"/>
    </w:lvl>
  </w:abstractNum>
  <w:abstractNum w:abstractNumId="135">
    <w:nsid w:val="579328B9"/>
    <w:multiLevelType w:val="hybridMultilevel"/>
    <w:lvl w:ilvl="0">
      <w:lvlJc w:val="left"/>
      <w:lvlText w:val="(%1)"/>
      <w:numFmt w:val="lowerLetter"/>
      <w:start w:val="1"/>
    </w:lvl>
  </w:abstractNum>
  <w:abstractNum w:abstractNumId="136">
    <w:nsid w:val="5D205E20"/>
    <w:multiLevelType w:val="hybridMultilevel"/>
    <w:lvl w:ilvl="0">
      <w:lvlJc w:val="left"/>
      <w:lvlText w:val="(%1)"/>
      <w:numFmt w:val="lowerLetter"/>
      <w:start w:val="3"/>
    </w:lvl>
  </w:abstractNum>
  <w:abstractNum w:abstractNumId="137">
    <w:nsid w:val="11CCA8BA"/>
    <w:multiLevelType w:val="hybridMultilevel"/>
    <w:lvl w:ilvl="0">
      <w:lvlJc w:val="left"/>
      <w:lvlText w:val="(%1)"/>
      <w:numFmt w:val="lowerLetter"/>
      <w:start w:val="4"/>
    </w:lvl>
  </w:abstractNum>
  <w:abstractNum w:abstractNumId="138">
    <w:nsid w:val="4D32AB86"/>
    <w:multiLevelType w:val="hybridMultilevel"/>
    <w:lvl w:ilvl="0">
      <w:lvlJc w:val="left"/>
      <w:lvlText w:val="(%1)"/>
      <w:numFmt w:val="lowerLetter"/>
      <w:start w:val="1"/>
    </w:lvl>
  </w:abstractNum>
  <w:abstractNum w:abstractNumId="139">
    <w:nsid w:val="3F07ACC3"/>
    <w:multiLevelType w:val="hybridMultilevel"/>
    <w:lvl w:ilvl="0">
      <w:lvlJc w:val="left"/>
      <w:lvlText w:val="(%1)"/>
      <w:numFmt w:val="lowerLetter"/>
      <w:start w:val="5"/>
    </w:lvl>
  </w:abstractNum>
  <w:abstractNum w:abstractNumId="140">
    <w:nsid w:val="6B47F63E"/>
    <w:multiLevelType w:val="hybridMultilevel"/>
    <w:lvl w:ilvl="0">
      <w:lvlJc w:val="left"/>
      <w:lvlText w:val="(%1)"/>
      <w:numFmt w:val="lowerLetter"/>
      <w:start w:val="1"/>
    </w:lvl>
    <w:lvl w:ilvl="1">
      <w:lvlJc w:val="left"/>
      <w:lvlText w:val="(%2)"/>
      <w:numFmt w:val="lowerRoman"/>
      <w:start w:val="1"/>
    </w:lvl>
  </w:abstractNum>
  <w:abstractNum w:abstractNumId="141">
    <w:nsid w:val="5CB44A05"/>
    <w:multiLevelType w:val="hybridMultilevel"/>
    <w:lvl w:ilvl="0">
      <w:lvlJc w:val="left"/>
      <w:lvlText w:val="%1"/>
      <w:numFmt w:val="lowerLetter"/>
      <w:start w:val="1"/>
    </w:lvl>
    <w:lvl w:ilvl="1">
      <w:lvlJc w:val="left"/>
      <w:lvlText w:val="(%2)"/>
      <w:numFmt w:val="lowerLetter"/>
      <w:start w:val="1"/>
    </w:lvl>
  </w:abstractNum>
  <w:abstractNum w:abstractNumId="142">
    <w:nsid w:val="16CF80F1"/>
    <w:multiLevelType w:val="hybridMultilevel"/>
    <w:lvl w:ilvl="0">
      <w:lvlJc w:val="left"/>
      <w:lvlText w:val="(%1)"/>
      <w:numFmt w:val="lowerLetter"/>
      <w:start w:val="9"/>
    </w:lvl>
    <w:lvl w:ilvl="1">
      <w:lvlJc w:val="left"/>
      <w:lvlText w:val="%2"/>
      <w:numFmt w:val="lowerLetter"/>
      <w:start w:val="1"/>
    </w:lvl>
  </w:abstractNum>
  <w:abstractNum w:abstractNumId="143">
    <w:nsid w:val="1C695DEC"/>
    <w:multiLevelType w:val="hybridMultilevel"/>
    <w:lvl w:ilvl="0">
      <w:lvlJc w:val="left"/>
      <w:lvlText w:val="(%1)"/>
      <w:numFmt w:val="lowerLetter"/>
      <w:start w:val="1"/>
    </w:lvl>
  </w:abstractNum>
  <w:abstractNum w:abstractNumId="144">
    <w:nsid w:val="3FCFAED9"/>
    <w:multiLevelType w:val="hybridMultilevel"/>
    <w:lvl w:ilvl="0">
      <w:lvlJc w:val="left"/>
      <w:lvlText w:val="(%1)"/>
      <w:numFmt w:val="lowerLetter"/>
      <w:start w:val="4"/>
    </w:lvl>
  </w:abstractNum>
  <w:abstractNum w:abstractNumId="145">
    <w:nsid w:val="F856867"/>
    <w:multiLevelType w:val="hybridMultilevel"/>
    <w:lvl w:ilvl="0">
      <w:lvlJc w:val="left"/>
      <w:lvlText w:val="(%1)"/>
      <w:numFmt w:val="lowerLetter"/>
      <w:start w:val="1"/>
    </w:lvl>
  </w:abstractNum>
  <w:abstractNum w:abstractNumId="146">
    <w:nsid w:val="11B1CC33"/>
    <w:multiLevelType w:val="hybridMultilevel"/>
    <w:lvl w:ilvl="0">
      <w:lvlJc w:val="left"/>
      <w:lvlText w:val="(%1)"/>
      <w:numFmt w:val="lowerLetter"/>
      <w:start w:val="6"/>
    </w:lvl>
  </w:abstractNum>
  <w:abstractNum w:abstractNumId="147">
    <w:nsid w:val="2E22FBB7"/>
    <w:multiLevelType w:val="hybridMultilevel"/>
    <w:lvl w:ilvl="0">
      <w:lvlJc w:val="left"/>
      <w:lvlText w:val="(%1)"/>
      <w:numFmt w:val="lowerLetter"/>
      <w:start w:val="1"/>
    </w:lvl>
  </w:abstractNum>
  <w:abstractNum w:abstractNumId="148">
    <w:nsid w:val="29934699"/>
    <w:multiLevelType w:val="hybridMultilevel"/>
    <w:lvl w:ilvl="0">
      <w:lvlJc w:val="left"/>
      <w:lvlText w:val="(%1)"/>
      <w:numFmt w:val="lowerRoman"/>
      <w:start w:val="1"/>
    </w:lvl>
  </w:abstractNum>
  <w:abstractNum w:abstractNumId="149">
    <w:nsid w:val="77485850"/>
    <w:multiLevelType w:val="hybridMultilevel"/>
    <w:lvl w:ilvl="0">
      <w:lvlJc w:val="left"/>
      <w:lvlText w:val="(%1)"/>
      <w:numFmt w:val="lowerLetter"/>
      <w:start w:val="1"/>
    </w:lvl>
  </w:abstractNum>
  <w:abstractNum w:abstractNumId="150">
    <w:nsid w:val="744939A3"/>
    <w:multiLevelType w:val="hybridMultilevel"/>
    <w:lvl w:ilvl="0">
      <w:lvlJc w:val="left"/>
      <w:lvlText w:val="(%1)"/>
      <w:numFmt w:val="lowerLetter"/>
      <w:start w:val="1"/>
    </w:lvl>
  </w:abstractNum>
  <w:abstractNum w:abstractNumId="151">
    <w:nsid w:val="4FA0D2E3"/>
    <w:multiLevelType w:val="hybridMultilevel"/>
    <w:lvl w:ilvl="0">
      <w:lvlJc w:val="left"/>
      <w:lvlText w:val="(%1)"/>
      <w:numFmt w:val="lowerLetter"/>
      <w:start w:val="1"/>
    </w:lvl>
  </w:abstractNum>
  <w:abstractNum w:abstractNumId="152">
    <w:nsid w:val="6B1D2C14"/>
    <w:multiLevelType w:val="hybridMultilevel"/>
    <w:lvl w:ilvl="0">
      <w:lvlJc w:val="left"/>
      <w:lvlText w:val="%1"/>
      <w:numFmt w:val="lowerLetter"/>
      <w:start w:val="1"/>
    </w:lvl>
    <w:lvl w:ilvl="1">
      <w:lvlJc w:val="left"/>
      <w:lvlText w:val="(%2)"/>
      <w:numFmt w:val="lowerRoman"/>
      <w:start w:val="1"/>
    </w:lvl>
  </w:abstractNum>
  <w:abstractNum w:abstractNumId="153">
    <w:nsid w:val="68B867D3"/>
    <w:multiLevelType w:val="hybridMultilevel"/>
    <w:lvl w:ilvl="0">
      <w:lvlJc w:val="left"/>
      <w:lvlText w:val="(%1)"/>
      <w:numFmt w:val="lowerLetter"/>
      <w:start w:val="9"/>
    </w:lvl>
    <w:lvl w:ilvl="1">
      <w:lvlJc w:val="left"/>
      <w:lvlText w:val="%2"/>
      <w:numFmt w:val="lowerRoman"/>
      <w:start w:val="1"/>
    </w:lvl>
  </w:abstractNum>
  <w:abstractNum w:abstractNumId="154">
    <w:nsid w:val="3F7F5DD9"/>
    <w:multiLevelType w:val="hybridMultilevel"/>
    <w:lvl w:ilvl="0">
      <w:lvlJc w:val="left"/>
      <w:lvlText w:val="(%1)"/>
      <w:numFmt w:val="lowerLetter"/>
      <w:start w:val="15"/>
    </w:lvl>
  </w:abstractNum>
  <w:abstractNum w:abstractNumId="155">
    <w:nsid w:val="2AE05A34"/>
    <w:multiLevelType w:val="hybridMultilevel"/>
    <w:lvl w:ilvl="0">
      <w:lvlJc w:val="left"/>
      <w:lvlText w:val="(%1)"/>
      <w:numFmt w:val="lowerLetter"/>
      <w:start w:val="1"/>
    </w:lvl>
  </w:abstractNum>
  <w:abstractNum w:abstractNumId="156">
    <w:nsid w:val="32794FF7"/>
    <w:multiLevelType w:val="hybridMultilevel"/>
    <w:lvl w:ilvl="0">
      <w:lvlJc w:val="left"/>
      <w:lvlText w:val="(%1)"/>
      <w:numFmt w:val="decimal"/>
      <w:start w:val="2"/>
    </w:lvl>
  </w:abstractNum>
  <w:abstractNum w:abstractNumId="157">
    <w:nsid w:val="5454945E"/>
    <w:multiLevelType w:val="hybridMultilevel"/>
    <w:lvl w:ilvl="0">
      <w:lvlJc w:val="left"/>
      <w:lvlText w:val="(%1)"/>
      <w:numFmt w:val="lowerLetter"/>
      <w:start w:val="1"/>
    </w:lvl>
  </w:abstractNum>
  <w:abstractNum w:abstractNumId="158">
    <w:nsid w:val="4DEFDFA0"/>
    <w:multiLevelType w:val="hybridMultilevel"/>
    <w:lvl w:ilvl="0">
      <w:lvlJc w:val="left"/>
      <w:lvlText w:val="(%1)"/>
      <w:numFmt w:val="lowerLetter"/>
      <w:start w:val="2"/>
    </w:lvl>
  </w:abstractNum>
  <w:abstractNum w:abstractNumId="159">
    <w:nsid w:val="2123D5F2"/>
    <w:multiLevelType w:val="hybridMultilevel"/>
    <w:lvl w:ilvl="0">
      <w:lvlJc w:val="left"/>
      <w:lvlText w:val="(%1)"/>
      <w:numFmt w:val="lowerLetter"/>
      <w:start w:val="13"/>
    </w:lvl>
  </w:abstractNum>
  <w:abstractNum w:abstractNumId="160">
    <w:nsid w:val="135B8110"/>
    <w:multiLevelType w:val="hybridMultilevel"/>
    <w:lvl w:ilvl="0">
      <w:lvlJc w:val="left"/>
      <w:lvlText w:val="(%1)"/>
      <w:numFmt w:val="lowerLetter"/>
      <w:start w:val="1"/>
    </w:lvl>
    <w:lvl w:ilvl="1">
      <w:lvlJc w:val="left"/>
      <w:lvlText w:val="(%2)"/>
      <w:numFmt w:val="lowerRoman"/>
      <w:start w:val="1"/>
    </w:lvl>
  </w:abstractNum>
  <w:abstractNum w:abstractNumId="161">
    <w:nsid w:val="94927A8"/>
    <w:multiLevelType w:val="hybridMultilevel"/>
    <w:lvl w:ilvl="0">
      <w:lvlJc w:val="left"/>
      <w:lvlText w:val="%1"/>
      <w:numFmt w:val="lowerLetter"/>
      <w:start w:val="1"/>
    </w:lvl>
    <w:lvl w:ilvl="1">
      <w:lvlJc w:val="left"/>
      <w:lvlText w:val="(%2)"/>
      <w:numFmt w:val="lowerLetter"/>
      <w:start w:val="61"/>
    </w:lvl>
  </w:abstractNum>
  <w:abstractNum w:abstractNumId="162">
    <w:nsid w:val="DCDF8F6"/>
    <w:multiLevelType w:val="hybridMultilevel"/>
    <w:lvl w:ilvl="0">
      <w:lvlJc w:val="left"/>
      <w:lvlText w:val="(%1)"/>
      <w:numFmt w:val="lowerLetter"/>
      <w:start w:val="2"/>
    </w:lvl>
    <w:lvl w:ilvl="1">
      <w:lvlJc w:val="left"/>
      <w:lvlText w:val="%2"/>
      <w:numFmt w:val="lowerLetter"/>
      <w:start w:val="1"/>
    </w:lvl>
  </w:abstractNum>
  <w:abstractNum w:abstractNumId="163">
    <w:nsid w:val="52D7B105"/>
    <w:multiLevelType w:val="hybridMultilevel"/>
    <w:lvl w:ilvl="0">
      <w:lvlJc w:val="left"/>
      <w:lvlText w:val="(%1)"/>
      <w:numFmt w:val="lowerLetter"/>
      <w:start w:val="1"/>
    </w:lvl>
  </w:abstractNum>
  <w:abstractNum w:abstractNumId="164">
    <w:nsid w:val="2E8A6394"/>
    <w:multiLevelType w:val="hybridMultilevel"/>
    <w:lvl w:ilvl="0">
      <w:lvlJc w:val="left"/>
      <w:lvlText w:val="(%1)"/>
      <w:numFmt w:val="lowerLetter"/>
      <w:start w:val="1"/>
    </w:lvl>
  </w:abstractNum>
  <w:abstractNum w:abstractNumId="165">
    <w:nsid w:val="24E60401"/>
    <w:multiLevelType w:val="hybridMultilevel"/>
    <w:lvl w:ilvl="0">
      <w:lvlJc w:val="left"/>
      <w:lvlText w:val="(%1)"/>
      <w:numFmt w:val="lowerLetter"/>
      <w:start w:val="1"/>
    </w:lvl>
    <w:lvl w:ilvl="1">
      <w:lvlJc w:val="left"/>
      <w:lvlText w:val="(%2)"/>
      <w:numFmt w:val="lowerLetter"/>
      <w:start w:val="9"/>
    </w:lvl>
  </w:abstractNum>
  <w:abstractNum w:abstractNumId="166">
    <w:nsid w:val="2A6AD9BE"/>
    <w:multiLevelType w:val="hybridMultilevel"/>
    <w:lvl w:ilvl="0">
      <w:lvlJc w:val="left"/>
      <w:lvlText w:val="(%1)"/>
      <w:numFmt w:val="lowerRoman"/>
      <w:start w:val="2"/>
    </w:lvl>
  </w:abstractNum>
  <w:abstractNum w:abstractNumId="167">
    <w:nsid w:val="BAAC1B4"/>
    <w:multiLevelType w:val="hybridMultilevel"/>
    <w:lvl w:ilvl="0">
      <w:lvlJc w:val="left"/>
      <w:lvlText w:val="(%1)"/>
      <w:numFmt w:val="lowerLetter"/>
      <w:start w:val="2"/>
    </w:lvl>
  </w:abstractNum>
  <w:abstractNum w:abstractNumId="168">
    <w:nsid w:val="36B2ACBC"/>
    <w:multiLevelType w:val="hybridMultilevel"/>
    <w:lvl w:ilvl="0">
      <w:lvlJc w:val="left"/>
      <w:lvlText w:val="(%1)"/>
      <w:numFmt w:val="lowerLetter"/>
      <w:start w:val="1"/>
    </w:lvl>
  </w:abstractNum>
  <w:abstractNum w:abstractNumId="169">
    <w:nsid w:val="779D8544"/>
    <w:multiLevelType w:val="hybridMultilevel"/>
    <w:lvl w:ilvl="0">
      <w:lvlJc w:val="left"/>
      <w:lvlText w:val="(%1)"/>
      <w:numFmt w:val="lowerLetter"/>
      <w:start w:val="1"/>
    </w:lvl>
    <w:lvl w:ilvl="1">
      <w:lvlJc w:val="left"/>
      <w:lvlText w:val="(%2)"/>
      <w:numFmt w:val="lowerRoman"/>
      <w:start w:val="1"/>
    </w:lvl>
  </w:abstractNum>
  <w:abstractNum w:abstractNumId="170">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1">
    <w:nsid w:val="21FAA2FA"/>
    <w:multiLevelType w:val="hybridMultilevel"/>
    <w:lvl w:ilvl="0">
      <w:lvlJc w:val="left"/>
      <w:lvlText w:val="(%1)"/>
      <w:numFmt w:val="lowerLetter"/>
      <w:start w:val="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72">
    <w:nsid w:val="5451CF4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73">
    <w:nsid w:val="6181EF6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74">
    <w:nsid w:val="3E6400E6"/>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75">
    <w:nsid w:val="14217E23"/>
    <w:multiLevelType w:val="hybridMultilevel"/>
    <w:lvl w:ilvl="0">
      <w:lvlJc w:val="left"/>
      <w:lvlText w:val="(%1)"/>
      <w:numFmt w:val="lowerLetter"/>
      <w:start w:val="7"/>
    </w:lvl>
  </w:abstractNum>
  <w:abstractNum w:abstractNumId="176">
    <w:nsid w:val="710757D0"/>
    <w:multiLevelType w:val="hybridMultilevel"/>
    <w:lvl w:ilvl="0">
      <w:lvlJc w:val="left"/>
      <w:lvlText w:val="(%1)"/>
      <w:numFmt w:val="lowerLetter"/>
      <w:start w:val="1"/>
    </w:lvl>
  </w:abstractNum>
  <w:abstractNum w:abstractNumId="177">
    <w:nsid w:val="5015CD1A"/>
    <w:multiLevelType w:val="hybridMultilevel"/>
    <w:lvl w:ilvl="0">
      <w:lvlJc w:val="left"/>
      <w:lvlText w:val="%1"/>
      <w:numFmt w:val="lowerLetter"/>
      <w:start w:val="1"/>
    </w:lvl>
    <w:lvl w:ilvl="1">
      <w:lvlJc w:val="left"/>
      <w:lvlText w:val="(%2)"/>
      <w:numFmt w:val="lowerLetter"/>
      <w:start w:val="1"/>
    </w:lvl>
  </w:abstractNum>
  <w:abstractNum w:abstractNumId="178">
    <w:nsid w:val="424479DA"/>
    <w:multiLevelType w:val="hybridMultilevel"/>
    <w:lvl w:ilvl="0">
      <w:lvlJc w:val="left"/>
      <w:lvlText w:val="(%1)"/>
      <w:numFmt w:val="lowerLetter"/>
      <w:start w:val="35"/>
    </w:lvl>
    <w:lvl w:ilvl="1">
      <w:lvlJc w:val="left"/>
      <w:lvlText w:val="%2"/>
      <w:numFmt w:val="lowerLetter"/>
      <w:start w:val="1"/>
    </w:lvl>
  </w:abstractNum>
  <w:abstractNum w:abstractNumId="179">
    <w:nsid w:val="1A9A9E6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2026-04-08T15:38:00Z</dcterms:created>
  <dcterms:modified xsi:type="dcterms:W3CDTF">2026-04-08T15:38:00Z</dcterms:modified>
</cp:coreProperties>
</file>