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0717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071745"/>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PERRY MICHAEL S</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AVITA MEDICAL,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28159 AVENUE STANFORD, SUITE 220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AVITA Medical,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RCEL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09/01/2022</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7" w:type="dxa"/>
        <w:tblCellMar>
          <w:top w:w="0" w:type="dxa"/>
          <w:left w:w="0" w:type="dxa"/>
          <w:bottom w:w="0" w:type="dxa"/>
          <w:right w:w="0" w:type="dxa"/>
        </w:tblCellMar>
      </w:tblPr>
      <w:tr>
        <w:trPr>
          <w:trHeight w:val="218"/>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777"/>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02"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VALENCIA</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91355</w:t>
            </w:r>
          </w:p>
        </w:tc>
      </w:tr>
      <w:tr>
        <w:trPr>
          <w:trHeight w:val="151"/>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7"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6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w w:val="99"/>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4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09/01/2022</w:t>
            </w:r>
          </w:p>
        </w:tc>
        <w:tc>
          <w:tcPr>
            <w:tcW w:w="1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2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5"/>
              </w:rPr>
              <w:t>2,980</w:t>
            </w:r>
            <w:r>
              <w:rPr>
                <w:rFonts w:ascii="Times New Roman" w:cs="Times New Roman" w:eastAsia="Times New Roman" w:hAnsi="Times New Roman"/>
                <w:sz w:val="21"/>
                <w:szCs w:val="21"/>
                <w:color w:val="008000"/>
                <w:w w:val="95"/>
                <w:vertAlign w:val="superscript"/>
              </w:rPr>
              <w:t>(2)</w:t>
            </w: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ind w:left="200"/>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0.00</w:t>
            </w:r>
          </w:p>
        </w:tc>
        <w:tc>
          <w:tcPr>
            <w:tcW w:w="130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7"/>
                <w:szCs w:val="17"/>
                <w:color w:val="0000FF"/>
              </w:rPr>
              <w:t>300,983</w:t>
            </w:r>
            <w:r>
              <w:rPr>
                <w:rFonts w:ascii="Times New Roman" w:cs="Times New Roman" w:eastAsia="Times New Roman" w:hAnsi="Times New Roman"/>
                <w:sz w:val="21"/>
                <w:szCs w:val="21"/>
                <w:color w:val="008000"/>
                <w:vertAlign w:val="superscript"/>
              </w:rPr>
              <w:t>(3)(4)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6"/>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3"/>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12.18</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09/01/2022</w:t>
            </w:r>
          </w:p>
        </w:tc>
        <w:tc>
          <w:tcPr>
            <w:tcW w:w="1100" w:type="dxa"/>
            <w:vAlign w:val="bottom"/>
          </w:tcPr>
          <w:p>
            <w:pPr>
              <w:spacing w:after="0"/>
              <w:rPr>
                <w:sz w:val="16"/>
                <w:szCs w:val="16"/>
                <w:color w:val="auto"/>
              </w:rPr>
            </w:pPr>
          </w:p>
        </w:tc>
        <w:tc>
          <w:tcPr>
            <w:tcW w:w="640" w:type="dxa"/>
            <w:vAlign w:val="bottom"/>
          </w:tcPr>
          <w:p>
            <w:pPr>
              <w:ind w:left="100"/>
              <w:spacing w:after="0" w:line="194" w:lineRule="exact"/>
              <w:rPr>
                <w:sz w:val="20"/>
                <w:szCs w:val="20"/>
                <w:color w:val="auto"/>
              </w:rPr>
            </w:pPr>
            <w:r>
              <w:rPr>
                <w:rFonts w:ascii="Times New Roman" w:cs="Times New Roman" w:eastAsia="Times New Roman" w:hAnsi="Times New Roman"/>
                <w:sz w:val="22"/>
                <w:szCs w:val="22"/>
                <w:color w:val="0000FF"/>
                <w:vertAlign w:val="subscript"/>
              </w:rPr>
              <w:t>A</w:t>
            </w:r>
            <w:r>
              <w:rPr>
                <w:rFonts w:ascii="Times New Roman" w:cs="Times New Roman" w:eastAsia="Times New Roman" w:hAnsi="Times New Roman"/>
                <w:sz w:val="10"/>
                <w:szCs w:val="10"/>
                <w:color w:val="008000"/>
              </w:rPr>
              <w:t>(5)</w:t>
            </w:r>
          </w:p>
        </w:tc>
        <w:tc>
          <w:tcPr>
            <w:tcW w:w="160" w:type="dxa"/>
            <w:vAlign w:val="bottom"/>
          </w:tcPr>
          <w:p>
            <w:pPr>
              <w:spacing w:after="0"/>
              <w:rPr>
                <w:sz w:val="16"/>
                <w:szCs w:val="16"/>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3,450</w:t>
            </w:r>
          </w:p>
        </w:tc>
        <w:tc>
          <w:tcPr>
            <w:tcW w:w="34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09/01/2022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12/22/2031</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0000FF"/>
              </w:rPr>
              <w:t>3,450</w:t>
            </w:r>
          </w:p>
        </w:tc>
        <w:tc>
          <w:tcPr>
            <w:tcW w:w="40" w:type="dxa"/>
            <w:vAlign w:val="bottom"/>
          </w:tcPr>
          <w:p>
            <w:pPr>
              <w:spacing w:after="0"/>
              <w:rPr>
                <w:sz w:val="16"/>
                <w:szCs w:val="16"/>
                <w:color w:val="auto"/>
              </w:rPr>
            </w:pPr>
          </w:p>
        </w:tc>
        <w:tc>
          <w:tcPr>
            <w:tcW w:w="70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tcPr>
          <w:p>
            <w:pPr>
              <w:ind w:left="280"/>
              <w:spacing w:after="0"/>
              <w:rPr>
                <w:sz w:val="20"/>
                <w:szCs w:val="20"/>
                <w:color w:val="auto"/>
              </w:rPr>
            </w:pPr>
            <w:r>
              <w:rPr>
                <w:rFonts w:ascii="Times New Roman" w:cs="Times New Roman" w:eastAsia="Times New Roman" w:hAnsi="Times New Roman"/>
                <w:sz w:val="13"/>
                <w:szCs w:val="13"/>
                <w:color w:val="0000FF"/>
              </w:rPr>
              <w:t>6,900</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ind w:left="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20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Common Stock were issued upon the vesting of Restricted Stock Units ("RSUs"), which were originally granted on December 22, 2021, in connection with the satisfaction of a performance-based vesting condition.</w:t>
      </w:r>
    </w:p>
    <w:p>
      <w:pPr>
        <w:spacing w:after="0" w:line="16" w:lineRule="exact"/>
        <w:rPr>
          <w:rFonts w:ascii="Times New Roman" w:cs="Times New Roman" w:eastAsia="Times New Roman" w:hAnsi="Times New Roman"/>
          <w:sz w:val="13"/>
          <w:szCs w:val="13"/>
          <w:color w:val="008000"/>
        </w:rPr>
      </w:pPr>
    </w:p>
    <w:p>
      <w:pPr>
        <w:ind w:left="40" w:right="50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Common Stock represent half of the shares of Common Stock that were issued upon the vesting of the RSUs. The other shares were transferred to the Reporting Person's former spouse pursuant to a property settlement agreement.</w:t>
      </w:r>
    </w:p>
    <w:p>
      <w:pPr>
        <w:spacing w:after="0" w:line="16" w:lineRule="exact"/>
        <w:rPr>
          <w:rFonts w:ascii="Times New Roman" w:cs="Times New Roman" w:eastAsia="Times New Roman" w:hAnsi="Times New Roman"/>
          <w:sz w:val="13"/>
          <w:szCs w:val="13"/>
          <w:color w:val="008000"/>
        </w:rPr>
      </w:pPr>
    </w:p>
    <w:p>
      <w:pPr>
        <w:ind w:left="40" w:right="74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71,440 unvested RSUs with vesting conditions based on the Reporting Person's continued employment or the market price of the Issuer's common stock. Pursuant to a property settlement agreement, half of the shares of Common Stock underlying such RSUs will be transferred to the Reporting Person's former spouse upon the respective vesting events.</w:t>
      </w:r>
    </w:p>
    <w:p>
      <w:pPr>
        <w:spacing w:after="0" w:line="16" w:lineRule="exact"/>
        <w:rPr>
          <w:rFonts w:ascii="Times New Roman" w:cs="Times New Roman" w:eastAsia="Times New Roman" w:hAnsi="Times New Roman"/>
          <w:sz w:val="13"/>
          <w:szCs w:val="13"/>
          <w:color w:val="008000"/>
        </w:rPr>
      </w:pPr>
    </w:p>
    <w:p>
      <w:pPr>
        <w:ind w:left="40" w:right="24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634,602 of the Issuer's CHESS Depositary Interests ("CDIs"). CDIs are units of beneficial ownership in shares of common stock of the Issuer that are publicly traded on the Australian Securities Exchange (the "ASX") and held by CHESS Depositary Nominees Pty, Limited, a subsidiary of ASX Limited, the company that operates the ASX. Five CDIs are equivalent to one share of Common Stock and have all the rights and privileges of Common Stock. The Reporting Person holds 634,602 CDIs, which translate into 126,920 of the shares of Common Stock set forth above.</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Stock Options were originally granted on December 22, 2021 and vested on September 1, 2022 in connection with the satisfaction of a performance-based vesting condition.</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Donna Shiroma, by power</w:t>
            </w: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5"/>
              </w:rPr>
              <w:t>09/06/2022</w:t>
            </w:r>
          </w:p>
        </w:tc>
        <w:tc>
          <w:tcPr>
            <w:tcW w:w="0" w:type="dxa"/>
            <w:vAlign w:val="bottom"/>
          </w:tcPr>
          <w:p>
            <w:pPr>
              <w:spacing w:after="0"/>
              <w:rPr>
                <w:sz w:val="1"/>
                <w:szCs w:val="1"/>
                <w:color w:val="auto"/>
              </w:rPr>
            </w:pPr>
          </w:p>
        </w:tc>
      </w:tr>
      <w:tr>
        <w:trPr>
          <w:trHeight w:val="84"/>
        </w:trPr>
        <w:tc>
          <w:tcPr>
            <w:tcW w:w="740" w:type="dxa"/>
            <w:vAlign w:val="bottom"/>
            <w:tcBorders>
              <w:top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of attorney</w:t>
            </w:r>
          </w:p>
        </w:tc>
        <w:tc>
          <w:tcPr>
            <w:tcW w:w="12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740" w:type="dxa"/>
            <w:vAlign w:val="bottom"/>
            <w:tcBorders>
              <w:top w:val="single" w:sz="8" w:color="auto"/>
              <w:bottom w:val="single" w:sz="8" w:color="auto"/>
            </w:tcBorders>
            <w:vMerge w:val="continue"/>
          </w:tcPr>
          <w:p>
            <w:pPr>
              <w:spacing w:after="0"/>
              <w:rPr>
                <w:sz w:val="7"/>
                <w:szCs w:val="7"/>
                <w:color w:val="auto"/>
              </w:rPr>
            </w:pPr>
          </w:p>
        </w:tc>
        <w:tc>
          <w:tcPr>
            <w:tcW w:w="12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50379" TargetMode="External"/><Relationship Id="rId13" Type="http://schemas.openxmlformats.org/officeDocument/2006/relationships/hyperlink" Target="http://www.sec.gov/cgi-bin/browse-edgar?action=getcompany&amp;CIK=0001762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2022-09-06T15:20:35Z</dcterms:created>
  <dcterms:modified xsi:type="dcterms:W3CDTF">2022-09-06T15:20:35Z</dcterms:modified>
</cp:coreProperties>
</file>