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McIntyre David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80"/>
        <w:spacing w:after="0" w:line="335" w:lineRule="auto"/>
        <w:rPr>
          <w:sz w:val="20"/>
          <w:szCs w:val="20"/>
          <w:color w:val="auto"/>
        </w:rPr>
      </w:pPr>
      <w:r>
        <w:rPr>
          <w:rFonts w:ascii="Arial" w:cs="Arial" w:eastAsia="Arial" w:hAnsi="Arial"/>
          <w:sz w:val="16"/>
          <w:szCs w:val="16"/>
          <w:color w:val="0000FF"/>
        </w:rPr>
        <w:t>C/O AVITA THERAPEUTICS, INC. 28159 AVENUE STANFORD, SUITE 220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Avita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RCEL</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07/16/2020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60" w:type="dxa"/>
            <w:vAlign w:val="bottom"/>
            <w:gridSpan w:val="10"/>
          </w:tcPr>
          <w:p>
            <w:pPr>
              <w:ind w:left="4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VALENCIA</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restart"/>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07/16/2020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300</w:t>
            </w:r>
            <w:r>
              <w:rPr>
                <w:rFonts w:ascii="Arial" w:cs="Arial" w:eastAsia="Arial" w:hAnsi="Arial"/>
                <w:sz w:val="22"/>
                <w:szCs w:val="22"/>
                <w:color w:val="008000"/>
                <w:w w:val="86"/>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23.85</w:t>
            </w:r>
            <w:r>
              <w:rPr>
                <w:rFonts w:ascii="Arial" w:cs="Arial" w:eastAsia="Arial" w:hAnsi="Arial"/>
                <w:sz w:val="22"/>
                <w:szCs w:val="22"/>
                <w:color w:val="008000"/>
                <w:vertAlign w:val="superscript"/>
              </w:rPr>
              <w:t>(2)</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500</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Arial" w:cs="Arial" w:eastAsia="Arial" w:hAnsi="Arial"/>
                <w:sz w:val="17"/>
                <w:szCs w:val="17"/>
                <w:color w:val="0000FF"/>
              </w:rPr>
              <w:t>07/17/2020</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6"/>
              </w:rPr>
              <w:t>393</w:t>
            </w:r>
            <w:r>
              <w:rPr>
                <w:rFonts w:ascii="Arial" w:cs="Arial" w:eastAsia="Arial" w:hAnsi="Arial"/>
                <w:sz w:val="22"/>
                <w:szCs w:val="22"/>
                <w:color w:val="008000"/>
                <w:w w:val="86"/>
                <w:vertAlign w:val="superscript"/>
              </w:rPr>
              <w:t>(4)</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3"/>
          </w:tcPr>
          <w:p>
            <w:pPr>
              <w:jc w:val="center"/>
              <w:ind w:right="3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22.7</w:t>
            </w:r>
            <w:r>
              <w:rPr>
                <w:rFonts w:ascii="Arial" w:cs="Arial" w:eastAsia="Arial" w:hAnsi="Arial"/>
                <w:sz w:val="22"/>
                <w:szCs w:val="22"/>
                <w:color w:val="008000"/>
                <w:vertAlign w:val="superscript"/>
              </w:rPr>
              <w:t>(5)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893</w:t>
            </w:r>
            <w:r>
              <w:rPr>
                <w:rFonts w:ascii="Arial" w:cs="Arial" w:eastAsia="Arial" w:hAnsi="Arial"/>
                <w:sz w:val="22"/>
                <w:szCs w:val="22"/>
                <w:color w:val="008000"/>
                <w:vertAlign w:val="superscript"/>
              </w:rPr>
              <w:t>(6)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15"/>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-3093720</wp:posOffset>
            </wp:positionV>
            <wp:extent cx="7031355" cy="3139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13944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jc w:val="both"/>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Reflects 1,500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 The Reporting Person purchased 1,500 CDIs, which translate into 300 shares of Common Stock as set forth above.</w:t>
      </w:r>
    </w:p>
    <w:p>
      <w:pPr>
        <w:spacing w:after="0" w:line="8" w:lineRule="exact"/>
        <w:rPr>
          <w:rFonts w:ascii="Arial" w:cs="Arial" w:eastAsia="Arial" w:hAnsi="Arial"/>
          <w:sz w:val="12"/>
          <w:szCs w:val="12"/>
          <w:color w:val="008000"/>
        </w:rPr>
      </w:pPr>
    </w:p>
    <w:p>
      <w:pPr>
        <w:ind w:left="40" w:right="36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purchased in multiple transactions at prices ranging from A$6.81 to A$6.83, or US$23.80 to $23.90 using the 5:1 CDI conversion ratio and the currency exchange rate as in effect on the date of the transaction. The Reporting Person undertakes to provide to the Issuer, any security holder of the Issuer, or the staff of the Securities and Exchange Commission, upon request, full information regarding the number of CDIs purchased at each separate price within the ranges set forth in this footnote to this Form 4.</w:t>
      </w:r>
    </w:p>
    <w:p>
      <w:pPr>
        <w:spacing w:after="0" w:line="8" w:lineRule="exact"/>
        <w:rPr>
          <w:rFonts w:ascii="Arial" w:cs="Arial" w:eastAsia="Arial" w:hAnsi="Arial"/>
          <w:sz w:val="12"/>
          <w:szCs w:val="12"/>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1,500 CDIs, which translate into 300 shares of Common Stock as set forth above as well as 200 shares of previously reported Common Stock.</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purchased 1,966 CDIs, which translate into 393 shares of Common Stock as set forth above.</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Converted from a price of A$6.5 per CDI using the 5:1 CDI conversion ratio and the currency exchange rate as in effect on the date of the transaction.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3,466 CDIs, which translate into 693 shares of Common Stock as set forth above as well as 200 shares of previously reported Common Stock.</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Donna Shiroma, by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07/21/2020</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4254" TargetMode="External"/><Relationship Id="rId14"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2020-07-21T15:19:36Z</dcterms:created>
  <dcterms:modified xsi:type="dcterms:W3CDTF">2020-07-21T15:19:36Z</dcterms:modified>
</cp:coreProperties>
</file>