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417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41782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Panaccio Lou</w:t>
              </w:r>
            </w:hyperlink>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AVITA Medical,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RCEL</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gridSpan w:val="3"/>
            <w:vMerge w:val="restart"/>
          </w:tcPr>
          <w:p>
            <w:pPr>
              <w:ind w:left="2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540" w:type="dxa"/>
            <w:vAlign w:val="bottom"/>
            <w:tcBorders>
              <w:top w:val="single" w:sz="8" w:color="0000EE"/>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8"/>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AVITA THERAPUETICS, INC.</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12/12/2022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28159 AVENUE STANFORD, SUITE 220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7"/>
          </w:tcPr>
          <w:p>
            <w:pPr>
              <w:ind w:left="2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VALENCIA</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91355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220"/>
              <w:spacing w:after="0" w:line="143"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18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5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5"/>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12/12/2022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8"/>
              </w:rPr>
              <w:t>12,589</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60" w:type="dxa"/>
            <w:vAlign w:val="bottom"/>
            <w:tcBorders>
              <w:bottom w:val="single" w:sz="8" w:color="2C2C2C"/>
            </w:tcBorders>
            <w:gridSpan w:val="4"/>
          </w:tcPr>
          <w:p>
            <w:pPr>
              <w:jc w:val="center"/>
              <w:ind w:right="201"/>
              <w:spacing w:after="0" w:line="312" w:lineRule="exact"/>
              <w:rPr>
                <w:sz w:val="20"/>
                <w:szCs w:val="20"/>
                <w:color w:val="auto"/>
              </w:rPr>
            </w:pPr>
            <w:r>
              <w:rPr>
                <w:rFonts w:ascii="Times New Roman" w:cs="Times New Roman" w:eastAsia="Times New Roman" w:hAnsi="Times New Roman"/>
                <w:sz w:val="33"/>
                <w:szCs w:val="33"/>
                <w:color w:val="0000FF"/>
                <w:vertAlign w:val="subscript"/>
              </w:rPr>
              <w:t>31,031</w:t>
            </w:r>
            <w:r>
              <w:rPr>
                <w:rFonts w:ascii="Times New Roman" w:cs="Times New Roman" w:eastAsia="Times New Roman" w:hAnsi="Times New Roman"/>
                <w:sz w:val="11"/>
                <w:szCs w:val="11"/>
                <w:color w:val="008000"/>
              </w:rPr>
              <w:t>(2)(3)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4"/>
            <w:vMerge w:val="restart"/>
          </w:tcPr>
          <w:p>
            <w:pPr>
              <w:jc w:val="center"/>
              <w:ind w:right="301"/>
              <w:spacing w:after="0"/>
              <w:rPr>
                <w:sz w:val="20"/>
                <w:szCs w:val="20"/>
                <w:color w:val="auto"/>
              </w:rPr>
            </w:pPr>
            <w:r>
              <w:rPr>
                <w:rFonts w:ascii="Times New Roman" w:cs="Times New Roman" w:eastAsia="Times New Roman" w:hAnsi="Times New Roman"/>
                <w:sz w:val="17"/>
                <w:szCs w:val="17"/>
                <w:color w:val="0000FF"/>
              </w:rPr>
              <w:t>5,972</w:t>
            </w:r>
            <w:r>
              <w:rPr>
                <w:rFonts w:ascii="Times New Roman" w:cs="Times New Roman" w:eastAsia="Times New Roman" w:hAnsi="Times New Roman"/>
                <w:sz w:val="21"/>
                <w:szCs w:val="21"/>
                <w:color w:val="008000"/>
                <w:vertAlign w:val="superscript"/>
              </w:rPr>
              <w:t>(4)</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20" w:type="dxa"/>
            <w:vAlign w:val="bottom"/>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80" w:type="dxa"/>
            <w:vAlign w:val="bottom"/>
            <w:gridSpan w:val="15"/>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20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54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12/12/2022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5,395</w:t>
            </w:r>
          </w:p>
        </w:tc>
        <w:tc>
          <w:tcPr>
            <w:tcW w:w="320" w:type="dxa"/>
            <w:vAlign w:val="bottom"/>
          </w:tcPr>
          <w:p>
            <w:pPr>
              <w:spacing w:after="0"/>
              <w:rPr>
                <w:sz w:val="12"/>
                <w:szCs w:val="12"/>
                <w:color w:val="auto"/>
              </w:rPr>
            </w:pPr>
          </w:p>
        </w:tc>
        <w:tc>
          <w:tcPr>
            <w:tcW w:w="8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12/12/2032</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5,395</w:t>
            </w:r>
          </w:p>
        </w:tc>
        <w:tc>
          <w:tcPr>
            <w:tcW w:w="800" w:type="dxa"/>
            <w:vAlign w:val="bottom"/>
            <w:gridSpan w:val="3"/>
            <w:vMerge w:val="restart"/>
          </w:tcPr>
          <w:p>
            <w:pPr>
              <w:jc w:val="right"/>
              <w:ind w:right="2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w w:val="95"/>
              </w:rPr>
              <w:t>5,395</w:t>
            </w:r>
          </w:p>
        </w:tc>
        <w:tc>
          <w:tcPr>
            <w:tcW w:w="280" w:type="dxa"/>
            <w:vAlign w:val="bottom"/>
          </w:tcPr>
          <w:p>
            <w:pPr>
              <w:spacing w:after="0"/>
              <w:rPr>
                <w:sz w:val="12"/>
                <w:szCs w:val="12"/>
                <w:color w:val="auto"/>
              </w:rPr>
            </w:pP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gridSpan w:val="2"/>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each representing a contingent right to be issued one share of Common Stock, that are subject to time-based vesting criteria. These RSUs vest on the date 12 months following the grant date.</w:t>
      </w:r>
    </w:p>
    <w:p>
      <w:pPr>
        <w:spacing w:after="0" w:line="1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70,460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70,460 CDIs, which translate into 14,092 of the shares of Common Stock set forth above.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29,860 CDIs, which translate into the 5,972 shares of Common Stock set forth above.</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CDIs are held by The Panaccio Superannuation Fund (the "Fund"). The Reporting Person is a director of Tercus Pty Ltd, trustee of the Fund, and is a beneficiary of the Fund. The Reporting Person may be deemed to have shared voting and dispositive power over the CDIs held by the Fund but disclaims such beneficial ownership, except to the extent of his pecuniary interest therein.</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vest on the date 12 months following the grant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Donna Shiroma, by power</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12/14/2022</w:t>
            </w:r>
          </w:p>
        </w:tc>
        <w:tc>
          <w:tcPr>
            <w:tcW w:w="0" w:type="dxa"/>
            <w:vAlign w:val="bottom"/>
          </w:tcPr>
          <w:p>
            <w:pPr>
              <w:spacing w:after="0"/>
              <w:rPr>
                <w:sz w:val="1"/>
                <w:szCs w:val="1"/>
                <w:color w:val="auto"/>
              </w:rPr>
            </w:pPr>
          </w:p>
        </w:tc>
      </w:tr>
      <w:tr>
        <w:trPr>
          <w:trHeight w:val="84"/>
        </w:trPr>
        <w:tc>
          <w:tcPr>
            <w:tcW w:w="7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of attorney</w:t>
            </w:r>
          </w:p>
        </w:tc>
        <w:tc>
          <w:tcPr>
            <w:tcW w:w="12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40" w:type="dxa"/>
            <w:vAlign w:val="bottom"/>
            <w:tcBorders>
              <w:top w:val="single" w:sz="8" w:color="auto"/>
              <w:bottom w:val="single" w:sz="8" w:color="auto"/>
            </w:tcBorders>
            <w:vMerge w:val="continue"/>
          </w:tcPr>
          <w:p>
            <w:pPr>
              <w:spacing w:after="0"/>
              <w:rPr>
                <w:sz w:val="7"/>
                <w:szCs w:val="7"/>
                <w:color w:val="auto"/>
              </w:rPr>
            </w:pPr>
          </w:p>
        </w:tc>
        <w:tc>
          <w:tcPr>
            <w:tcW w:w="12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237"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2022-12-14T16:30:50Z</dcterms:created>
  <dcterms:modified xsi:type="dcterms:W3CDTF">2022-12-14T16:30:50Z</dcterms:modified>
</cp:coreProperties>
</file>