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347345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276225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AVITA Medical, Inc. (the “Company”) held its 2025 Annual Meeting of Stockholders (“Annual Meeting”) solely by means of remote communication via live webcast on June 4, 2025 (being June 5, 2025 in Australia).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Omnibus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approved the Company’s 2020 Omnibus Incentive Plan Amended and Restated (the “Amended and Restated Plan”). The Amended and Restated Plan, among other things, increased the number of shares of the Company’s common stock available for issuance under the Plan by 2,500,000 shares, for a total of 6,750,000 shares issuable under the Amended and Restated Plan. The full text of the Amended and Restated Plan was included as Annexure A to the Company’s definitive proxy statement filed on Schedule 14A with the Securities and Exchange Commission on April 22, 2025 (the “Proxy Statement”). The summary of the Amended and Restated Plan provided herein is qualified in its entirety by reference to the full text of the Amended and Restated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Officer Equity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approved grants of options and restricted stock units to the Company’s non-executive directors and a grant of options to the Company’s Chief Executive Officer. The grants are summarized in Item 5.07 below and in Proposals 3 through 8 (with respect to the non-executive directors) and Proposal 9 (with respect to the Chief Executive Officer) in the Company’s Proxy Statement. The terms and conditions of such grants of options and restricted stock units are described in the Proxy Statement, which disclosure is incorporated by reference into this Item 5.02.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the proposals summarized in the Proxy Statement as set forth below:</w:t>
      </w:r>
    </w:p>
    <w:p>
      <w:pPr>
        <w:spacing w:after="0" w:line="331" w:lineRule="exact"/>
        <w:rPr>
          <w:sz w:val="20"/>
          <w:szCs w:val="20"/>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i w:val="1"/>
          <w:iCs w:val="1"/>
          <w:u w:val="single" w:color="auto"/>
          <w:color w:val="auto"/>
        </w:rPr>
        <w:t>(Proposal 1)</w:t>
      </w:r>
      <w:r>
        <w:rPr>
          <w:rFonts w:ascii="Times New Roman" w:cs="Times New Roman" w:eastAsia="Times New Roman" w:hAnsi="Times New Roman"/>
          <w:sz w:val="18"/>
          <w:szCs w:val="18"/>
          <w:color w:val="auto"/>
        </w:rPr>
        <w:t>: All seven directors named in the Proxy Statement were elected to serve on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with the following vote:</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0" w:type="dxa"/>
            <w:vAlign w:val="bottom"/>
          </w:tcPr>
          <w:p>
            <w:pPr>
              <w:spacing w:after="0"/>
              <w:rPr>
                <w:sz w:val="18"/>
                <w:szCs w:val="18"/>
                <w:color w:val="auto"/>
              </w:rPr>
            </w:pPr>
          </w:p>
        </w:tc>
        <w:tc>
          <w:tcPr>
            <w:tcW w:w="11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Broker Non-</w:t>
            </w:r>
          </w:p>
        </w:tc>
        <w:tc>
          <w:tcPr>
            <w:tcW w:w="0" w:type="dxa"/>
            <w:vAlign w:val="bottom"/>
          </w:tcPr>
          <w:p>
            <w:pPr>
              <w:spacing w:after="0"/>
              <w:rPr>
                <w:sz w:val="1"/>
                <w:szCs w:val="1"/>
                <w:color w:val="auto"/>
              </w:rPr>
            </w:pPr>
          </w:p>
        </w:tc>
      </w:tr>
      <w:tr>
        <w:trPr>
          <w:trHeight w:val="20"/>
        </w:trPr>
        <w:tc>
          <w:tcPr>
            <w:tcW w:w="5340" w:type="dxa"/>
            <w:vAlign w:val="bottom"/>
            <w:gridSpan w:val="3"/>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340" w:type="dxa"/>
            <w:vAlign w:val="bottom"/>
            <w:gridSpan w:val="3"/>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20" w:type="dxa"/>
            <w:vAlign w:val="bottom"/>
            <w:gridSpan w:val="5"/>
            <w:vMerge w:val="restart"/>
          </w:tcPr>
          <w:p>
            <w:pPr>
              <w:jc w:val="right"/>
              <w:ind w:right="440"/>
              <w:spacing w:after="0" w:line="196" w:lineRule="exact"/>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4"/>
            <w:vMerge w:val="restart"/>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88"/>
        </w:trPr>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8,556,636</w:t>
            </w:r>
          </w:p>
        </w:tc>
        <w:tc>
          <w:tcPr>
            <w:tcW w:w="132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2,484,940</w:t>
            </w: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8,646,139</w:t>
            </w:r>
          </w:p>
        </w:tc>
        <w:tc>
          <w:tcPr>
            <w:tcW w:w="13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2,395,437</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8,557,902</w:t>
            </w:r>
          </w:p>
        </w:tc>
        <w:tc>
          <w:tcPr>
            <w:tcW w:w="132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2,483,674</w:t>
            </w: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9,020,651</w:t>
            </w:r>
          </w:p>
        </w:tc>
        <w:tc>
          <w:tcPr>
            <w:tcW w:w="13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2,020,925</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8,816,118</w:t>
            </w:r>
          </w:p>
        </w:tc>
        <w:tc>
          <w:tcPr>
            <w:tcW w:w="132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2,225,381</w:t>
            </w: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Cary Vance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9,011,807</w:t>
            </w:r>
          </w:p>
        </w:tc>
        <w:tc>
          <w:tcPr>
            <w:tcW w:w="13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2,029,762</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9,972,296</w:t>
            </w:r>
          </w:p>
        </w:tc>
        <w:tc>
          <w:tcPr>
            <w:tcW w:w="132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1,069,273</w:t>
            </w: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3,313,114</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20" w:right="20" w:hanging="503"/>
        <w:spacing w:after="0" w:line="284" w:lineRule="auto"/>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Appointment of Independent Auditor (Proposal 2)</w:t>
      </w:r>
      <w:r>
        <w:rPr>
          <w:rFonts w:ascii="Times New Roman" w:cs="Times New Roman" w:eastAsia="Times New Roman" w:hAnsi="Times New Roman"/>
          <w:sz w:val="18"/>
          <w:szCs w:val="18"/>
          <w:color w:val="auto"/>
        </w:rPr>
        <w:t>: The stockholders ratified the selection of Grant Thornton LLP as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for the year ending December 31, 2025. The votes regarding this proposal were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80" w:type="dxa"/>
            <w:vAlign w:val="bottom"/>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0" w:type="dxa"/>
            <w:vAlign w:val="bottom"/>
          </w:tcPr>
          <w:p>
            <w:pPr>
              <w:spacing w:after="0"/>
              <w:rPr>
                <w:sz w:val="20"/>
                <w:szCs w:val="20"/>
                <w:color w:val="auto"/>
              </w:rPr>
            </w:pPr>
          </w:p>
        </w:tc>
        <w:tc>
          <w:tcPr>
            <w:tcW w:w="2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2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09"/>
        </w:trPr>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13,383,217</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604,414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367,110</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jc w:val="both"/>
        <w:ind w:left="1020" w:hanging="503"/>
        <w:spacing w:after="0" w:line="267" w:lineRule="auto"/>
        <w:tabs>
          <w:tab w:leader="none" w:pos="10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Issuance of Securities to Non-Executive Directors (Proposals 3 - 8)</w:t>
      </w:r>
      <w:r>
        <w:rPr>
          <w:rFonts w:ascii="Times New Roman" w:cs="Times New Roman" w:eastAsia="Times New Roman" w:hAnsi="Times New Roman"/>
          <w:sz w:val="18"/>
          <w:szCs w:val="18"/>
          <w:color w:val="auto"/>
        </w:rPr>
        <w:t>: Stockholders approved the grant of 10,022 restricted stock units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4,295 stock options to each of the six non-executive directors on the terms and conditions set out in the Proxy Statement. The votes regarding these proposals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9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040" w:type="dxa"/>
            <w:vAlign w:val="bottom"/>
            <w:gridSpan w:val="2"/>
          </w:tcPr>
          <w:p>
            <w:pPr>
              <w:spacing w:after="0"/>
              <w:rPr>
                <w:sz w:val="20"/>
                <w:szCs w:val="20"/>
                <w:color w:val="auto"/>
              </w:rPr>
            </w:pPr>
          </w:p>
        </w:tc>
      </w:tr>
      <w:tr>
        <w:trPr>
          <w:trHeight w:val="209"/>
        </w:trPr>
        <w:tc>
          <w:tcPr>
            <w:tcW w:w="96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8,854,480</w:t>
            </w:r>
          </w:p>
        </w:tc>
        <w:tc>
          <w:tcPr>
            <w:tcW w:w="1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9"/>
              </w:rPr>
              <w:t>1,871,636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315,511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8,832,786</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1,883,082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8,820,081</w:t>
            </w:r>
          </w:p>
        </w:tc>
        <w:tc>
          <w:tcPr>
            <w:tcW w:w="1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9"/>
              </w:rPr>
              <w:t>1,888,090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333,456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8,833,929</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1,876,290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331,408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8,831,071</w:t>
            </w:r>
          </w:p>
        </w:tc>
        <w:tc>
          <w:tcPr>
            <w:tcW w:w="1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9"/>
              </w:rPr>
              <w:t>1,879,952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330,604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Cary Vance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8,835,682</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1,875,897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961"/>
        </w:trPr>
        <w:tc>
          <w:tcPr>
            <w:tcW w:w="96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ind w:left="1020" w:hanging="503"/>
        <w:spacing w:after="0" w:line="267" w:lineRule="auto"/>
        <w:tabs>
          <w:tab w:leader="none" w:pos="10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Issuance of Securities to James Corbett (Proposal 9)</w:t>
      </w:r>
      <w:r>
        <w:rPr>
          <w:rFonts w:ascii="Times New Roman" w:cs="Times New Roman" w:eastAsia="Times New Roman" w:hAnsi="Times New Roman"/>
          <w:sz w:val="18"/>
          <w:szCs w:val="18"/>
          <w:color w:val="auto"/>
        </w:rPr>
        <w:t>: Stockholders approved the grant of options to acquire 520,000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to the Company’s Chief Executive Officer, James Corbett, on the terms and conditions set forth in the Proxy Statement. The votes regarding this proposal were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80" w:type="dxa"/>
            <w:vAlign w:val="bottom"/>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0" w:type="dxa"/>
            <w:vAlign w:val="bottom"/>
          </w:tcPr>
          <w:p>
            <w:pPr>
              <w:spacing w:after="0"/>
              <w:rPr>
                <w:sz w:val="20"/>
                <w:szCs w:val="20"/>
                <w:color w:val="auto"/>
              </w:rPr>
            </w:pPr>
          </w:p>
        </w:tc>
        <w:tc>
          <w:tcPr>
            <w:tcW w:w="2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2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09"/>
        </w:trPr>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7,994,902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2,772,833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273,892</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100" w:type="dxa"/>
            <w:vAlign w:val="bottom"/>
            <w:shd w:val="clear" w:color="auto" w:fill="CFF0FC"/>
          </w:tcPr>
          <w:p>
            <w:pPr>
              <w:spacing w:after="0"/>
              <w:rPr>
                <w:sz w:val="18"/>
                <w:szCs w:val="18"/>
                <w:color w:val="auto"/>
              </w:rPr>
            </w:pPr>
          </w:p>
        </w:tc>
      </w:tr>
    </w:tbl>
    <w:p>
      <w:pPr>
        <w:spacing w:after="0" w:line="88" w:lineRule="exact"/>
        <w:rPr>
          <w:sz w:val="20"/>
          <w:szCs w:val="20"/>
          <w:color w:val="auto"/>
        </w:rPr>
      </w:pPr>
    </w:p>
    <w:p>
      <w:pPr>
        <w:ind w:left="1020" w:right="20" w:hanging="503"/>
        <w:spacing w:after="0" w:line="28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Advisory Vote to Approve Compensation of Named Executive Officers (Proposal 10)</w:t>
      </w:r>
      <w:r>
        <w:rPr>
          <w:rFonts w:ascii="Times New Roman" w:cs="Times New Roman" w:eastAsia="Times New Roman" w:hAnsi="Times New Roman"/>
          <w:sz w:val="18"/>
          <w:szCs w:val="18"/>
          <w:color w:val="auto"/>
        </w:rPr>
        <w:t>: Stockholders voted in favor of the non-binding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vote to approve the compensation of the Company’s named executive officers. The votes regarding this proposal were as follows: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80" w:type="dxa"/>
            <w:vAlign w:val="bottom"/>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0" w:type="dxa"/>
            <w:vAlign w:val="bottom"/>
          </w:tcPr>
          <w:p>
            <w:pPr>
              <w:spacing w:after="0"/>
              <w:rPr>
                <w:sz w:val="20"/>
                <w:szCs w:val="20"/>
                <w:color w:val="auto"/>
              </w:rPr>
            </w:pPr>
          </w:p>
        </w:tc>
        <w:tc>
          <w:tcPr>
            <w:tcW w:w="2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2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8,447,767</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2,221,096</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372,764</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Approval of the Amended and Restated Plan (Proposal 11): </w:t>
      </w:r>
      <w:r>
        <w:rPr>
          <w:rFonts w:ascii="Times New Roman" w:cs="Times New Roman" w:eastAsia="Times New Roman" w:hAnsi="Times New Roman"/>
          <w:sz w:val="18"/>
          <w:szCs w:val="18"/>
          <w:color w:val="auto"/>
        </w:rPr>
        <w:t>Stockholders approved the Amended and Restated Plan with the following vote: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2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80" w:type="dxa"/>
            <w:vAlign w:val="bottom"/>
          </w:tcPr>
          <w:p>
            <w:pPr>
              <w:spacing w:after="0"/>
              <w:rPr>
                <w:sz w:val="20"/>
                <w:szCs w:val="20"/>
                <w:color w:val="auto"/>
              </w:rPr>
            </w:pPr>
          </w:p>
        </w:tc>
        <w:tc>
          <w:tcPr>
            <w:tcW w:w="1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0" w:type="dxa"/>
            <w:vAlign w:val="bottom"/>
          </w:tcPr>
          <w:p>
            <w:pPr>
              <w:spacing w:after="0"/>
              <w:rPr>
                <w:sz w:val="20"/>
                <w:szCs w:val="20"/>
                <w:color w:val="auto"/>
              </w:rPr>
            </w:pPr>
          </w:p>
        </w:tc>
        <w:tc>
          <w:tcPr>
            <w:tcW w:w="2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2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100" w:type="dxa"/>
            <w:vAlign w:val="bottom"/>
            <w:gridSpan w:val="2"/>
          </w:tcPr>
          <w:p>
            <w:pPr>
              <w:spacing w:after="0"/>
              <w:rPr>
                <w:sz w:val="20"/>
                <w:szCs w:val="20"/>
                <w:color w:val="auto"/>
              </w:rPr>
            </w:pPr>
          </w:p>
        </w:tc>
      </w:tr>
      <w:tr>
        <w:trPr>
          <w:trHeight w:val="209"/>
        </w:trPr>
        <w:tc>
          <w:tcPr>
            <w:tcW w:w="1020" w:type="dxa"/>
            <w:vAlign w:val="bottom"/>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6,876,570</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3,655,347</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509,710</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3,313,114</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1411"/>
        </w:trPr>
        <w:tc>
          <w:tcPr>
            <w:tcW w:w="1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5, 2025</w:t>
      </w:r>
      <w:r>
        <w:rPr>
          <w:sz w:val="20"/>
          <w:szCs w:val="20"/>
          <w:color w:val="auto"/>
        </w:rPr>
        <w:tab/>
      </w:r>
      <w:r>
        <w:rPr>
          <w:rFonts w:ascii="Times New Roman" w:cs="Times New Roman" w:eastAsia="Times New Roman" w:hAnsi="Times New Roman"/>
          <w:sz w:val="18"/>
          <w:szCs w:val="18"/>
          <w:color w:val="auto"/>
        </w:rPr>
        <w:t>By:</w:t>
        <w:tab/>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2025-06-05T05:09:14Z</dcterms:created>
  <dcterms:modified xsi:type="dcterms:W3CDTF">2025-06-05T05:09:14Z</dcterms:modified>
</cp:coreProperties>
</file>