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5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PURSUANT TO RULE 13a-16 OR 15d-16</w:t>
      </w:r>
    </w:p>
    <w:p>
      <w:pPr>
        <w:jc w:val="center"/>
        <w:ind w:right="-5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For the Month of October 2019</w:t>
      </w:r>
    </w:p>
    <w:p>
      <w:pPr>
        <w:spacing w:after="0" w:line="225"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599"/>
        <w:spacing w:after="0"/>
        <w:rPr>
          <w:sz w:val="20"/>
          <w:szCs w:val="20"/>
          <w:color w:val="auto"/>
        </w:rPr>
      </w:pPr>
      <w:r>
        <w:rPr>
          <w:rFonts w:ascii="Arial" w:cs="Arial" w:eastAsia="Arial" w:hAnsi="Arial"/>
          <w:sz w:val="43"/>
          <w:szCs w:val="43"/>
          <w:b w:val="1"/>
          <w:bCs w:val="1"/>
          <w:color w:val="auto"/>
        </w:rPr>
        <w:t>AVITA MEDICAL LIMITED</w:t>
      </w:r>
    </w:p>
    <w:p>
      <w:pPr>
        <w:spacing w:after="0" w:line="50"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Level 7, 330 Collins Street</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Melbourne VIC 3000 Australia</w:t>
      </w:r>
    </w:p>
    <w:p>
      <w:pPr>
        <w:spacing w:after="0" w:line="9"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Tel: +61 (0) 3 8689 9997</w:t>
      </w:r>
    </w:p>
    <w:p>
      <w:pPr>
        <w:spacing w:after="0" w:line="9"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Fax: +61 (0) 8 9474 7742</w:t>
      </w:r>
    </w:p>
    <w:p>
      <w:pPr>
        <w:spacing w:after="0" w:line="2" w:lineRule="exact"/>
        <w:rPr>
          <w:sz w:val="24"/>
          <w:szCs w:val="24"/>
          <w:color w:val="auto"/>
        </w:rPr>
      </w:pPr>
    </w:p>
    <w:p>
      <w:pPr>
        <w:ind w:left="456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left="20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3" w:lineRule="exact"/>
        <w:rPr>
          <w:sz w:val="24"/>
          <w:szCs w:val="24"/>
          <w:color w:val="auto"/>
        </w:rPr>
      </w:pPr>
    </w:p>
    <w:p>
      <w:pPr>
        <w:ind w:left="442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ind w:left="20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ind w:left="20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ind w:left="200"/>
        <w:spacing w:after="0" w:line="233" w:lineRule="exact"/>
        <w:rPr>
          <w:sz w:val="20"/>
          <w:szCs w:val="20"/>
          <w:color w:val="auto"/>
        </w:rPr>
      </w:pPr>
      <w:r>
        <w:rPr>
          <w:rFonts w:ascii="Arial" w:cs="Arial" w:eastAsia="Arial" w:hAnsi="Arial"/>
          <w:sz w:val="18"/>
          <w:szCs w:val="18"/>
          <w:color w:val="auto"/>
        </w:rPr>
        <w:t xml:space="preserve">Indicate by check mark whether the registrant by furnishing the information contained in this Form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4"/>
          <w:szCs w:val="24"/>
          <w:color w:val="auto"/>
        </w:rPr>
      </w:pPr>
    </w:p>
    <w:p>
      <w:pPr>
        <w:ind w:left="200"/>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82-______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160655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203835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820"/>
          </w:cols>
          <w:pgMar w:left="240" w:top="230" w:right="8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TABLE OF CONTENTS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0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Page</w:t>
            </w:r>
          </w:p>
        </w:tc>
      </w:tr>
      <w:tr>
        <w:trPr>
          <w:trHeight w:val="264"/>
        </w:trPr>
        <w:tc>
          <w:tcPr>
            <w:tcW w:w="12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
              <w:r>
                <w:rPr>
                  <w:rFonts w:ascii="Arial" w:cs="Arial" w:eastAsia="Arial" w:hAnsi="Arial"/>
                  <w:sz w:val="18"/>
                  <w:szCs w:val="18"/>
                  <w:color w:val="0000EE"/>
                  <w:w w:val="91"/>
                </w:rPr>
                <w:t>Explanatory Note</w:t>
              </w:r>
            </w:hyperlink>
          </w:p>
        </w:tc>
        <w:tc>
          <w:tcPr>
            <w:tcW w:w="8760" w:type="dxa"/>
            <w:vAlign w:val="bottom"/>
            <w:gridSpan w:val="2"/>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Page 2</w:t>
            </w:r>
          </w:p>
        </w:tc>
      </w:tr>
      <w:tr>
        <w:trPr>
          <w:trHeight w:val="304"/>
        </w:trPr>
        <w:tc>
          <w:tcPr>
            <w:tcW w:w="1004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Signatures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Page 3</w:t>
            </w:r>
          </w:p>
        </w:tc>
      </w:tr>
      <w:tr>
        <w:trPr>
          <w:trHeight w:val="20"/>
        </w:trPr>
        <w:tc>
          <w:tcPr>
            <w:tcW w:w="760" w:type="dxa"/>
            <w:vAlign w:val="bottom"/>
            <w:shd w:val="clear" w:color="auto" w:fill="0000EE"/>
          </w:tcPr>
          <w:p>
            <w:pPr>
              <w:spacing w:after="0" w:line="20" w:lineRule="exact"/>
              <w:rPr>
                <w:sz w:val="1"/>
                <w:szCs w:val="1"/>
                <w:color w:val="auto"/>
              </w:rPr>
            </w:pPr>
          </w:p>
        </w:tc>
        <w:tc>
          <w:tcPr>
            <w:tcW w:w="576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04"/>
        </w:trPr>
        <w:tc>
          <w:tcPr>
            <w:tcW w:w="65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AVITA Medical Reports First Quarter Fiscal 2020 Financial Results and Company Update</w:t>
              </w:r>
            </w:hyperlink>
          </w:p>
        </w:tc>
        <w:tc>
          <w:tcPr>
            <w:tcW w:w="35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Exhibit 99.1</w:t>
            </w:r>
          </w:p>
        </w:tc>
      </w:tr>
    </w:tbl>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Avita Medical Limited (the “Company”) published an announcement (the “Public Notice”) to the Australian Securities Exchange on October 31, 2019 titled AVITA Medical Reports First Quarter Fiscal 2020 Financial Results and Company Update. A copy of the Public Notice is attached as an exhibit to this report on Form 6-K.</w:t>
      </w:r>
    </w:p>
    <w:p>
      <w:pPr>
        <w:spacing w:after="0" w:line="181"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This report on Form 6-K (including the exhibit hereto) shall not be deemed to be “filed” for purposes of the Securities Exchange Act of 1934, as amended (the “Exchange Act”) and shall not be incorporated by reference into any filing under the Securities Act of 1933, as amended, except as shall be expressly set forth by specific reference in such filing.</w:t>
      </w:r>
    </w:p>
    <w:p>
      <w:pPr>
        <w:spacing w:after="0" w:line="181" w:lineRule="exact"/>
        <w:rPr>
          <w:sz w:val="20"/>
          <w:szCs w:val="20"/>
          <w:color w:val="auto"/>
        </w:rPr>
      </w:pPr>
    </w:p>
    <w:p>
      <w:pPr>
        <w:ind w:left="200" w:right="240"/>
        <w:spacing w:after="0" w:line="276" w:lineRule="auto"/>
        <w:rPr>
          <w:sz w:val="20"/>
          <w:szCs w:val="20"/>
          <w:color w:val="auto"/>
        </w:rPr>
      </w:pPr>
      <w:r>
        <w:rPr>
          <w:rFonts w:ascii="Arial" w:cs="Arial" w:eastAsia="Arial" w:hAnsi="Arial"/>
          <w:sz w:val="17"/>
          <w:szCs w:val="17"/>
          <w:color w:val="auto"/>
        </w:rPr>
        <w:t>Please note that our financial statements are general purpose consolidated financial statements that have been prepared in accordance with Australian Accounting Standards and Interpretations issued by the Australian Accounting Standards Board (“AASB”) and the Corporations Act 2001, as appropriate for for-profit oriented entities. These financial statements also comply with the requirements of the International Financial Reporting Standards (IFRS) as issued by the International Accounting Standards Board (IASB). References to “U.S. dollars” or “US$” are to the currency of the United States of America, and all references to “Australian dollars” or “A$” are to the currency of Australia.</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Avita Medical Limited</w:t>
      </w:r>
    </w:p>
    <w:p>
      <w:pPr>
        <w:spacing w:after="0" w:line="229"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4269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Michael Perry</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 October 31, 2019</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80"/>
          </w:cols>
          <w:pgMar w:left="240" w:top="459" w:right="11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ASX/News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1166495" cy="4546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6649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Reports First Quarter Fiscal 2020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Results and Company Update</w:t>
      </w:r>
    </w:p>
    <w:p>
      <w:pPr>
        <w:spacing w:after="0" w:line="238" w:lineRule="exact"/>
        <w:rPr>
          <w:sz w:val="20"/>
          <w:szCs w:val="20"/>
          <w:color w:val="auto"/>
        </w:rPr>
      </w:pPr>
    </w:p>
    <w:p>
      <w:pPr>
        <w:ind w:left="2080" w:hanging="537"/>
        <w:spacing w:after="0"/>
        <w:tabs>
          <w:tab w:leader="none" w:pos="20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U.S. RECELL</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System product sales of A$4.6M for fiscal first quarter, 60% growth quarter-over-quarter</w:t>
      </w:r>
    </w:p>
    <w:p>
      <w:pPr>
        <w:spacing w:after="0" w:line="130" w:lineRule="exact"/>
        <w:rPr>
          <w:rFonts w:ascii="Arial" w:cs="Arial" w:eastAsia="Arial" w:hAnsi="Arial"/>
          <w:sz w:val="18"/>
          <w:szCs w:val="18"/>
          <w:color w:val="auto"/>
        </w:rPr>
      </w:pPr>
    </w:p>
    <w:p>
      <w:pPr>
        <w:ind w:left="2420" w:hanging="323"/>
        <w:spacing w:after="0"/>
        <w:tabs>
          <w:tab w:leader="none" w:pos="2420" w:val="left"/>
        </w:tabs>
        <w:numPr>
          <w:ilvl w:val="1"/>
          <w:numId w:val="1"/>
        </w:numPr>
        <w:rPr>
          <w:rFonts w:ascii="Arial" w:cs="Arial" w:eastAsia="Arial" w:hAnsi="Arial"/>
          <w:sz w:val="18"/>
          <w:szCs w:val="18"/>
          <w:color w:val="auto"/>
        </w:rPr>
      </w:pPr>
      <w:r>
        <w:rPr>
          <w:rFonts w:ascii="Arial" w:cs="Arial" w:eastAsia="Arial" w:hAnsi="Arial"/>
          <w:sz w:val="18"/>
          <w:szCs w:val="18"/>
          <w:i w:val="1"/>
          <w:iCs w:val="1"/>
          <w:color w:val="auto"/>
        </w:rPr>
        <w:t>Over half of all U.S. burn centers and surgeons trained on RECELL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b w:val="1"/>
          <w:bCs w:val="1"/>
          <w:color w:val="auto"/>
        </w:rPr>
        <w:t xml:space="preserve">Valencia, Calif., USA, and Melbourne, Australia, 31 October 2019 </w:t>
      </w:r>
      <w:r>
        <w:rPr>
          <w:rFonts w:ascii="Arial" w:cs="Arial" w:eastAsia="Arial" w:hAnsi="Arial"/>
          <w:sz w:val="17"/>
          <w:szCs w:val="17"/>
          <w:color w:val="auto"/>
        </w:rPr>
        <w:t>— AVITA Medical (ASX: AVH, NASDAQ: RCEL), a regenerative medicine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with a technology platform positioned to address unmet medical needs in therapeutic skin restoration, reported financial results for the fiscal first quarter ended 30 September 2019 today in its Appendix 4C—Quarterly Cash Flow Report filed with the ASX.</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Commercial Sales of RECELL</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System</w:t>
      </w:r>
    </w:p>
    <w:p>
      <w:pPr>
        <w:spacing w:after="0" w:line="12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RECELL System has been actively promoted for nine months in the United States following approval by the U.S. Food and Drug Administration (FDA) on 20 September 2018, and the full nationwide commercial launch in January 2019. Product sales and other revenues for the first quarter ended 30 September 2019 were as follows (unaudited):</w:t>
      </w:r>
    </w:p>
    <w:p>
      <w:pPr>
        <w:spacing w:after="0" w:line="19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960" w:type="dxa"/>
            <w:vAlign w:val="bottom"/>
            <w:gridSpan w:val="5"/>
          </w:tcPr>
          <w:p>
            <w:pPr>
              <w:ind w:left="340"/>
              <w:spacing w:after="0"/>
              <w:rPr>
                <w:sz w:val="20"/>
                <w:szCs w:val="20"/>
                <w:color w:val="auto"/>
              </w:rPr>
            </w:pPr>
            <w:r>
              <w:rPr>
                <w:rFonts w:ascii="Arial" w:cs="Arial" w:eastAsia="Arial" w:hAnsi="Arial"/>
                <w:sz w:val="14"/>
                <w:szCs w:val="14"/>
                <w:color w:val="auto"/>
              </w:rPr>
              <w:t>Three Months Ended</w:t>
            </w:r>
          </w:p>
        </w:tc>
      </w:tr>
      <w:tr>
        <w:trPr>
          <w:trHeight w:val="167"/>
        </w:trPr>
        <w:tc>
          <w:tcPr>
            <w:tcW w:w="4480" w:type="dxa"/>
            <w:vAlign w:val="bottom"/>
            <w:gridSpan w:val="2"/>
          </w:tcPr>
          <w:p>
            <w:pPr>
              <w:spacing w:after="0"/>
              <w:rPr>
                <w:sz w:val="20"/>
                <w:szCs w:val="20"/>
                <w:color w:val="auto"/>
              </w:rPr>
            </w:pPr>
            <w:r>
              <w:rPr>
                <w:rFonts w:ascii="Arial" w:cs="Arial" w:eastAsia="Arial" w:hAnsi="Arial"/>
                <w:sz w:val="14"/>
                <w:szCs w:val="14"/>
                <w:color w:val="auto"/>
              </w:rPr>
              <w:t>(In thousands of AUD)</w:t>
            </w:r>
          </w:p>
        </w:tc>
        <w:tc>
          <w:tcPr>
            <w:tcW w:w="1940" w:type="dxa"/>
            <w:vAlign w:val="bottom"/>
          </w:tcPr>
          <w:p>
            <w:pPr>
              <w:spacing w:after="0"/>
              <w:rPr>
                <w:sz w:val="14"/>
                <w:szCs w:val="14"/>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color w:val="auto"/>
              </w:rPr>
              <w:t>30 September</w:t>
            </w:r>
          </w:p>
        </w:tc>
        <w:tc>
          <w:tcPr>
            <w:tcW w:w="4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color w:val="auto"/>
                <w:w w:val="96"/>
              </w:rPr>
              <w:t>2019</w:t>
            </w:r>
          </w:p>
        </w:tc>
        <w:tc>
          <w:tcPr>
            <w:tcW w:w="1280" w:type="dxa"/>
            <w:vAlign w:val="bottom"/>
            <w:gridSpan w:val="3"/>
          </w:tcPr>
          <w:p>
            <w:pPr>
              <w:jc w:val="right"/>
              <w:ind w:right="90"/>
              <w:spacing w:after="0" w:line="142" w:lineRule="exact"/>
              <w:rPr>
                <w:sz w:val="20"/>
                <w:szCs w:val="20"/>
                <w:color w:val="auto"/>
              </w:rPr>
            </w:pPr>
            <w:r>
              <w:rPr>
                <w:rFonts w:ascii="Arial" w:cs="Arial" w:eastAsia="Arial" w:hAnsi="Arial"/>
                <w:sz w:val="14"/>
                <w:szCs w:val="14"/>
                <w:color w:val="auto"/>
              </w:rPr>
              <w:t>2018</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product sales</w:t>
            </w:r>
          </w:p>
        </w:tc>
        <w:tc>
          <w:tcPr>
            <w:tcW w:w="19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A$4,583</w:t>
            </w:r>
          </w:p>
        </w:tc>
        <w:tc>
          <w:tcPr>
            <w:tcW w:w="6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A$</w:t>
            </w:r>
          </w:p>
        </w:tc>
        <w:tc>
          <w:tcPr>
            <w:tcW w:w="4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International product sales</w:t>
            </w:r>
          </w:p>
        </w:tc>
        <w:tc>
          <w:tcPr>
            <w:tcW w:w="19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product sales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4,759</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Other revenue (including BARDA)</w:t>
            </w:r>
          </w:p>
        </w:tc>
        <w:tc>
          <w:tcPr>
            <w:tcW w:w="19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3,141</w:t>
            </w:r>
          </w:p>
        </w:tc>
        <w:tc>
          <w:tcPr>
            <w:tcW w:w="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2,604</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2580" w:type="dxa"/>
            <w:vAlign w:val="bottom"/>
            <w:gridSpan w:val="2"/>
            <w:shd w:val="clear" w:color="auto" w:fill="CCEEFF"/>
          </w:tcPr>
          <w:p>
            <w:pPr>
              <w:jc w:val="center"/>
              <w:ind w:left="1810"/>
              <w:spacing w:after="0"/>
              <w:rPr>
                <w:sz w:val="20"/>
                <w:szCs w:val="20"/>
                <w:color w:val="auto"/>
              </w:rPr>
            </w:pPr>
            <w:r>
              <w:rPr>
                <w:rFonts w:ascii="Arial" w:cs="Arial" w:eastAsia="Arial" w:hAnsi="Arial"/>
                <w:sz w:val="18"/>
                <w:szCs w:val="18"/>
                <w:u w:val="single" w:color="auto"/>
                <w:color w:val="auto"/>
                <w:w w:val="95"/>
              </w:rPr>
              <w:t>A$</w:t>
            </w:r>
            <w:r>
              <w:rPr>
                <w:rFonts w:ascii="Arial" w:cs="Arial" w:eastAsia="Arial" w:hAnsi="Arial"/>
                <w:sz w:val="18"/>
                <w:szCs w:val="18"/>
                <w:color w:val="auto"/>
                <w:w w:val="95"/>
              </w:rPr>
              <w:t>7,900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2,972</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Highlights</w:t>
      </w:r>
    </w:p>
    <w:p>
      <w:pPr>
        <w:spacing w:after="0" w:line="135" w:lineRule="exact"/>
        <w:rPr>
          <w:sz w:val="20"/>
          <w:szCs w:val="20"/>
          <w:color w:val="auto"/>
        </w:rPr>
      </w:pPr>
    </w:p>
    <w:p>
      <w:pPr>
        <w:ind w:left="440" w:hanging="328"/>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A$4.6 million U.S. sales of RECELL System, 60% growth quarter-over-quarter</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 Commercial achievements since approval:</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56 of 132 U.S. burn centers have placed orders for the RECELL System</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Over 50% of U.S. burn surgeons and burn centers are trained on the RECELL System</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A$10.8 million in U.S. sales</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2"/>
        </w:numPr>
        <w:rPr>
          <w:rFonts w:ascii="Arial" w:cs="Arial" w:eastAsia="Arial" w:hAnsi="Arial"/>
          <w:sz w:val="17"/>
          <w:szCs w:val="17"/>
          <w:color w:val="auto"/>
        </w:rPr>
      </w:pPr>
      <w:r>
        <w:rPr>
          <w:rFonts w:ascii="Arial" w:cs="Arial" w:eastAsia="Arial" w:hAnsi="Arial"/>
          <w:sz w:val="17"/>
          <w:szCs w:val="17"/>
          <w:color w:val="auto"/>
        </w:rPr>
        <w:t>Listed American Depositary Shares on the Nasdaq Capital Market under the ticker symbol “RCEL” with trading commencing 1 October</w:t>
      </w:r>
    </w:p>
    <w:p>
      <w:pPr>
        <w:spacing w:after="0" w:line="142" w:lineRule="exact"/>
        <w:rPr>
          <w:rFonts w:ascii="Arial" w:cs="Arial" w:eastAsia="Arial" w:hAnsi="Arial"/>
          <w:sz w:val="17"/>
          <w:szCs w:val="17"/>
          <w:color w:val="auto"/>
        </w:rPr>
      </w:pPr>
    </w:p>
    <w:p>
      <w:pPr>
        <w:ind w:left="440" w:right="220" w:hanging="328"/>
        <w:spacing w:after="0" w:line="277"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AVITA Medical added to S&amp;P/ASX300 index, which measures the performance of the largest 300 companies based on market capitalization on the Australian Securities Exchange</w:t>
      </w:r>
    </w:p>
    <w:p>
      <w:pPr>
        <w:spacing w:after="0" w:line="75" w:lineRule="exact"/>
        <w:rPr>
          <w:rFonts w:ascii="Arial" w:cs="Arial" w:eastAsia="Arial" w:hAnsi="Arial"/>
          <w:sz w:val="18"/>
          <w:szCs w:val="18"/>
          <w:color w:val="auto"/>
        </w:rPr>
      </w:pPr>
    </w:p>
    <w:p>
      <w:pPr>
        <w:ind w:left="440" w:right="440" w:hanging="328"/>
        <w:spacing w:after="0" w:line="277"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Received U.S. FDA Investigational Device approval of pivotal study protocol to evaluate the RECELL System for soft tissue reconstruction, inclusive of traumatic wounds</w:t>
      </w:r>
    </w:p>
    <w:p>
      <w:pPr>
        <w:sectPr>
          <w:pgSz w:w="11900" w:h="16838" w:orient="portrait"/>
          <w:cols w:equalWidth="0" w:num="1">
            <w:col w:w="11020"/>
          </w:cols>
          <w:pgMar w:left="440" w:top="121" w:right="439" w:bottom="1440" w:gutter="0" w:footer="0" w:header="0"/>
        </w:sectPr>
      </w:pPr>
    </w:p>
    <w:bookmarkStart w:id="4" w:name="page5"/>
    <w:bookmarkEnd w:id="4"/>
    <w:p>
      <w:pPr>
        <w:ind w:left="440" w:right="560" w:hanging="328"/>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Publication of multiple studies in peer-reviewed medical journals investigating the potential use of the RECELL System for dermatological conditions:</w:t>
      </w:r>
    </w:p>
    <w:p>
      <w:pPr>
        <w:spacing w:after="0" w:line="75" w:lineRule="exact"/>
        <w:rPr>
          <w:rFonts w:ascii="Arial" w:cs="Arial" w:eastAsia="Arial" w:hAnsi="Arial"/>
          <w:sz w:val="18"/>
          <w:szCs w:val="18"/>
          <w:color w:val="auto"/>
        </w:rPr>
      </w:pPr>
    </w:p>
    <w:p>
      <w:pPr>
        <w:ind w:left="980" w:right="40" w:hanging="436"/>
        <w:spacing w:after="0" w:line="259"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“The clinical efficacy of treatment using the autologous non-cultured epidermal cell suspension technique for stable vitiligo in 41 patients” by Bin Liu and Zhong-Hai Liu, Guangzhou New Centre Institute of Vitiligo, Guangzhou, PR China, and Hui-Heng Chen, Dongguan Eighth People’s Hospital &amp; Dongguan Children’s Hospital, Dongguan, PR China, et al. published online in the </w:t>
      </w:r>
      <w:r>
        <w:rPr>
          <w:rFonts w:ascii="Arial" w:cs="Arial" w:eastAsia="Arial" w:hAnsi="Arial"/>
          <w:sz w:val="18"/>
          <w:szCs w:val="18"/>
          <w:i w:val="1"/>
          <w:iCs w:val="1"/>
          <w:color w:val="auto"/>
        </w:rPr>
        <w:t>Journal of Dermatological</w:t>
      </w:r>
      <w:r>
        <w:rPr>
          <w:rFonts w:ascii="Arial" w:cs="Arial" w:eastAsia="Arial" w:hAnsi="Arial"/>
          <w:sz w:val="18"/>
          <w:szCs w:val="18"/>
          <w:color w:val="auto"/>
        </w:rPr>
        <w:t xml:space="preserve"> </w:t>
      </w:r>
      <w:r>
        <w:rPr>
          <w:rFonts w:ascii="Arial" w:cs="Arial" w:eastAsia="Arial" w:hAnsi="Arial"/>
          <w:sz w:val="18"/>
          <w:szCs w:val="18"/>
          <w:i w:val="1"/>
          <w:iCs w:val="1"/>
          <w:color w:val="auto"/>
        </w:rPr>
        <w:t>Treatment</w:t>
      </w:r>
      <w:r>
        <w:rPr>
          <w:rFonts w:ascii="Arial" w:cs="Arial" w:eastAsia="Arial" w:hAnsi="Arial"/>
          <w:sz w:val="15"/>
          <w:szCs w:val="15"/>
          <w:color w:val="auto"/>
        </w:rPr>
        <w:t>i</w:t>
      </w:r>
    </w:p>
    <w:p>
      <w:pPr>
        <w:spacing w:after="0" w:line="92" w:lineRule="exact"/>
        <w:rPr>
          <w:rFonts w:ascii="Arial" w:cs="Arial" w:eastAsia="Arial" w:hAnsi="Arial"/>
          <w:sz w:val="18"/>
          <w:szCs w:val="18"/>
          <w:color w:val="auto"/>
        </w:rPr>
      </w:pPr>
    </w:p>
    <w:p>
      <w:pPr>
        <w:ind w:left="980" w:right="280" w:hanging="436"/>
        <w:spacing w:after="0" w:line="264"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“The use of noncultured regenerative epithelial suspension for improving skin color and scars: A report of eight cases and review of the literature” by Jie Ren, PhD, M.D., and Jianlan Liu, PhD, Department of Dermatology, Huashan Hospital, Fudan University, Shanghai, China, et al. published in the </w:t>
      </w:r>
      <w:r>
        <w:rPr>
          <w:rFonts w:ascii="Arial" w:cs="Arial" w:eastAsia="Arial" w:hAnsi="Arial"/>
          <w:sz w:val="18"/>
          <w:szCs w:val="18"/>
          <w:i w:val="1"/>
          <w:iCs w:val="1"/>
          <w:color w:val="auto"/>
        </w:rPr>
        <w:t>Journal of Cosmetic Dermatology</w:t>
      </w:r>
      <w:r>
        <w:rPr>
          <w:rFonts w:ascii="Arial" w:cs="Arial" w:eastAsia="Arial" w:hAnsi="Arial"/>
          <w:sz w:val="15"/>
          <w:szCs w:val="15"/>
          <w:color w:val="auto"/>
        </w:rPr>
        <w:t>ii</w:t>
      </w:r>
    </w:p>
    <w:p>
      <w:pPr>
        <w:spacing w:after="0" w:line="86" w:lineRule="exact"/>
        <w:rPr>
          <w:rFonts w:ascii="Arial" w:cs="Arial" w:eastAsia="Arial" w:hAnsi="Arial"/>
          <w:sz w:val="18"/>
          <w:szCs w:val="18"/>
          <w:color w:val="auto"/>
        </w:rPr>
      </w:pPr>
    </w:p>
    <w:p>
      <w:pPr>
        <w:ind w:left="980" w:right="140" w:hanging="436"/>
        <w:spacing w:after="0" w:line="286" w:lineRule="auto"/>
        <w:tabs>
          <w:tab w:leader="none" w:pos="980" w:val="left"/>
        </w:tabs>
        <w:numPr>
          <w:ilvl w:val="1"/>
          <w:numId w:val="3"/>
        </w:numPr>
        <w:rPr>
          <w:rFonts w:ascii="Arial" w:cs="Arial" w:eastAsia="Arial" w:hAnsi="Arial"/>
          <w:sz w:val="17"/>
          <w:szCs w:val="17"/>
          <w:color w:val="auto"/>
        </w:rPr>
      </w:pPr>
      <w:r>
        <w:rPr>
          <w:rFonts w:ascii="Arial" w:cs="Arial" w:eastAsia="Arial" w:hAnsi="Arial"/>
          <w:sz w:val="17"/>
          <w:szCs w:val="17"/>
          <w:color w:val="auto"/>
        </w:rPr>
        <w:t xml:space="preserve">“The clinical efficacy of RECELL autologous cell regeneration techniques combined with dermabrasion treatment in acne scars” by Qiao Chen, Nanze Yu, Zhifei Liu, et al. Department of Plastic Surgery, Peking Union Medical College Hospital Chinese Academy of Medical Sciences &amp; Peking Union Medical College, Beijing, China, published in </w:t>
      </w:r>
      <w:r>
        <w:rPr>
          <w:rFonts w:ascii="Arial" w:cs="Arial" w:eastAsia="Arial" w:hAnsi="Arial"/>
          <w:sz w:val="17"/>
          <w:szCs w:val="17"/>
          <w:i w:val="1"/>
          <w:iCs w:val="1"/>
          <w:color w:val="auto"/>
        </w:rPr>
        <w:t>Aesthetic Plastic Surgery</w:t>
      </w:r>
      <w:r>
        <w:rPr>
          <w:rFonts w:ascii="Arial" w:cs="Arial" w:eastAsia="Arial" w:hAnsi="Arial"/>
          <w:sz w:val="14"/>
          <w:szCs w:val="14"/>
          <w:color w:val="auto"/>
        </w:rPr>
        <w:t>iii</w:t>
      </w:r>
    </w:p>
    <w:p>
      <w:pPr>
        <w:spacing w:after="0" w:line="70" w:lineRule="exact"/>
        <w:rPr>
          <w:rFonts w:ascii="Arial" w:cs="Arial" w:eastAsia="Arial" w:hAnsi="Arial"/>
          <w:sz w:val="17"/>
          <w:szCs w:val="17"/>
          <w:color w:val="auto"/>
        </w:rPr>
      </w:pPr>
    </w:p>
    <w:p>
      <w:pPr>
        <w:ind w:left="440" w:right="120" w:hanging="328"/>
        <w:spacing w:after="0" w:line="264"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Health economics data demonstrating real-world cost savings and reduced length of hospital stay for burn patients treated at Metro Health Center in Cleveland, Ohio, with the RECELL System as compared to the National Burn Repository data set presented at the Eastern Great Lakes Regional Burn Conference 26-27 September 2019, in Pittsburgh, PA</w:t>
      </w:r>
    </w:p>
    <w:p>
      <w:pPr>
        <w:spacing w:after="0" w:line="181" w:lineRule="exact"/>
        <w:rPr>
          <w:sz w:val="20"/>
          <w:szCs w:val="20"/>
          <w:color w:val="auto"/>
        </w:rPr>
      </w:pPr>
    </w:p>
    <w:p>
      <w:pPr>
        <w:jc w:val="both"/>
        <w:ind w:right="160"/>
        <w:spacing w:after="0" w:line="257" w:lineRule="auto"/>
        <w:rPr>
          <w:sz w:val="20"/>
          <w:szCs w:val="20"/>
          <w:color w:val="auto"/>
        </w:rPr>
      </w:pPr>
      <w:r>
        <w:rPr>
          <w:rFonts w:ascii="Arial" w:cs="Arial" w:eastAsia="Arial" w:hAnsi="Arial"/>
          <w:sz w:val="18"/>
          <w:szCs w:val="18"/>
          <w:color w:val="auto"/>
        </w:rPr>
        <w:t>“We are pleased with the substantial increase in quarterly sales and the robust uptake of the RECELL System by U.S. burn surgeons nine months into our commercial launch. Moreover, we are proud of the impact this innovative technology is having on the advancement of patient care,” said Dr. Mike Perry, AVITA Medical’s Chief Executive Officer. “With our recent Nasdaq listing of American Depositary Shares, we are providing broader access to investors and we look forward to maintaining our growth trajectory by sustaining a keen focus on U.S. commercial activities in tandem with growth of our development pipeline.”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AVITA Medical exhibited at the American Burn Association National Burn Reconstruction Conference 16-18 October 2019, in Chicago, and RECELL System health economic and clinical data demonstrating costs savings and efficacy is being presented by physicians at four regional U.S. burn conferences this quarter. RECELL clinical data will also be presented at the Congress of the Asian Pacific Society for Scar Medicine with the Japan Scar Workshop 2-3 November 2019, in Tokyo.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 Update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fiscal 2020, AVITA anticipates:</w:t>
      </w:r>
    </w:p>
    <w:p>
      <w:pPr>
        <w:spacing w:after="0" w:line="131" w:lineRule="exact"/>
        <w:rPr>
          <w:sz w:val="20"/>
          <w:szCs w:val="20"/>
          <w:color w:val="auto"/>
        </w:rPr>
      </w:pPr>
    </w:p>
    <w:p>
      <w:pPr>
        <w:ind w:left="440" w:right="220" w:hanging="328"/>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Pivotal trials commencing to establish the safety and efficacy of the RECELL System for early intervention treatment of pediatric scald wounds and for soft tissue reconstruction and traumatic wounds</w:t>
      </w:r>
    </w:p>
    <w:p>
      <w:pPr>
        <w:spacing w:after="0" w:line="75" w:lineRule="exact"/>
        <w:rPr>
          <w:rFonts w:ascii="Arial" w:cs="Arial" w:eastAsia="Arial" w:hAnsi="Arial"/>
          <w:sz w:val="18"/>
          <w:szCs w:val="18"/>
          <w:color w:val="auto"/>
        </w:rPr>
      </w:pPr>
    </w:p>
    <w:p>
      <w:pPr>
        <w:ind w:left="440" w:hanging="328"/>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Pilot studies with the RECELL System for the treatment of vitiligo with anticipation of advancing to pivotal clinical trials in fiscal 2021</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Securing marketing approval and reimbursement for the RECELL System in Japan in collaboration with COSMOTEC, an M3 Group company</w:t>
      </w:r>
    </w:p>
    <w:p>
      <w:pPr>
        <w:spacing w:after="0" w:line="248"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Funding and technical support for the development of the RECELL System is provided by the Biomedical Advanced Research and Development Authority (BARDA), under the Assistant Secretary for Preparedness and Response, within the U.S. Department of Health and Human Services, under ongoing USG Contract No. HHSO100201500028C. Programs funded under the BARDA contract include two randomized, controlled pivotal clinical trials, the Compassionate Use and Continued Access programs, development of the health economic model demonstrating the cost savings associated with the RECELL System, and two randomized, controlled clinical trials in pediatric burn patients.</w:t>
      </w:r>
    </w:p>
    <w:p>
      <w:pPr>
        <w:sectPr>
          <w:pgSz w:w="11900" w:h="16838" w:orient="portrait"/>
          <w:cols w:equalWidth="0" w:num="1">
            <w:col w:w="11020"/>
          </w:cols>
          <w:pgMar w:left="440" w:top="274"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First Quarter Fiscal 2020 Financial Results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amounts are in thousands of AUD except where noted)</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 copy of the Appendix 4C - Quarterly Cash Flow Report for the first quarter of fiscal 2020, the quarter ended 30 September 2019, is attached. Operations for the quarter were focused primarily on the U.S. national adoption of the RECELL System for the treatment of acute thermal burns, and the preparation and implementation of further clinical development of the RECELL System.</w:t>
      </w:r>
    </w:p>
    <w:p>
      <w:pPr>
        <w:spacing w:after="0" w:line="18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During the quarter ended 30 September 2019, total cash receipts were A$5,237, an increase of A$197 or 4% compared to the prior quarter ended 30 June 2019. Cash receipts from customers for the quarter ended 30 September 2019 were A$4,079, an increase of A$565 or 16% compared to the prior quarter due to increased sales in the U.S. Cash received from BARDA during the current quarter totalled A$1,158, a decrease of A$368 or 24% compared to the prior quarter. The decrease was the result of wind-down of certain activities associated with supporting the U.S. FDA approval of the RECELL System as well as compassionate use and continued access programs. Through 30 September 2019, cumulative payments of A$27.9 million have been received under the BARDA contract.</w:t>
      </w:r>
    </w:p>
    <w:p>
      <w:pPr>
        <w:spacing w:after="0" w:line="193"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Overall payments for operating expenses decreased during the first quarter of fiscal 2020 as a result of the timing of planned initiatives set forth by the Company. During the quarter ended 30 September 2019, payments related to sales and marketing, staffing, administrative and corporate costs for the current quarter totalled A$9,535, a A$3,491 or 27% decrease compared to the quarter ended 30 June 2019 driven by the timing of planned initiatives. During the quarter ended 30 September 2019, payments related to product manufacturing and operating costs totalled A$1,344, a A$308 or 30% increase compared to the quarter ended 30 June 2019. The increase was directly related to the increase in sales during the current quarter. During the quarter ended 30 September 2019, payments for research and development costs totalled A$1,300, a A$129 or 9% decrease compared to the quarter ended 30 June 2019. The decrease was a result of the timing of research and development initiatives as well as the Compassionate Use and Continued Access programs. As a result of the national launch of the RECELL System in the U.S. in January 2019, payments for operating expenses are expected to increase in future quarters. These expense payments are expected to be partially offset by receipts from customers and receipts under the BARDA contract.</w:t>
      </w:r>
    </w:p>
    <w:p>
      <w:pPr>
        <w:spacing w:after="0" w:line="178"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Total net cash used in operating activities during the quarter ended 30 September 2019 was A$7,037, a A$3,393 or 33% decrease compared to the quarter ended 30 June 2019 driven primarily by timing of planned initiatives. Cash and cash equivalents held at 30 September 2019 was A$22,656.</w:t>
      </w:r>
    </w:p>
    <w:p>
      <w:pPr>
        <w:spacing w:after="0" w:line="124"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Future cash requirement will be dependent upon the success of AVITA Medical’s efforts to commercialize the RECELL System, particularly in in the U.S., and the timing and magnitude of clinical and other research and development programs the Company elects to undertake to expand its product pipeline. Until such time that the Company generates sufficient cash flow from operations, it expects to fund its future cash requirements through a combination of current cash resources, and potentially the issuance of shares and debt financing.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020"/>
          </w:cols>
          <w:pgMar w:left="440" w:top="270"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AVITA MEDICAL LIMITED</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AVITA Medical is a regenerative medicine company with a technology platform positioned to address unmet medical needs in burns, chronic wounds, and aesthetics indications. AVITA Medical’s patented and proprietary collection and application technology provides innovative treatment solutions derived from the regenerative properties of a patient’s own skin. The medical devices work by preparing a REGENERATIVE EPIDERMAL SUSPENSION</w:t>
      </w:r>
      <w:r>
        <w:rPr>
          <w:rFonts w:ascii="Arial" w:cs="Arial" w:eastAsia="Arial" w:hAnsi="Arial"/>
          <w:sz w:val="15"/>
          <w:szCs w:val="15"/>
          <w:color w:val="auto"/>
        </w:rPr>
        <w:t>™</w:t>
      </w:r>
      <w:r>
        <w:rPr>
          <w:rFonts w:ascii="Arial" w:cs="Arial" w:eastAsia="Arial" w:hAnsi="Arial"/>
          <w:sz w:val="18"/>
          <w:szCs w:val="18"/>
          <w:color w:val="auto"/>
        </w:rPr>
        <w:t xml:space="preserve"> (RES</w:t>
      </w:r>
      <w:r>
        <w:rPr>
          <w:rFonts w:ascii="Arial" w:cs="Arial" w:eastAsia="Arial" w:hAnsi="Arial"/>
          <w:sz w:val="15"/>
          <w:szCs w:val="15"/>
          <w:color w:val="auto"/>
        </w:rPr>
        <w:t>™</w:t>
      </w:r>
      <w:r>
        <w:rPr>
          <w:rFonts w:ascii="Arial" w:cs="Arial" w:eastAsia="Arial" w:hAnsi="Arial"/>
          <w:sz w:val="18"/>
          <w:szCs w:val="18"/>
          <w:color w:val="auto"/>
        </w:rPr>
        <w:t>), an autologous suspension comprised of the patient’s skin cells necessary to regenerate natural healthy epidermis. This autologous suspension is then sprayed onto the areas of the patient requiring treatment.</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AVITA Medical’s first U.S. product, the RECELL</w:t>
      </w:r>
      <w:r>
        <w:rPr>
          <w:rFonts w:ascii="Arial" w:cs="Arial" w:eastAsia="Arial" w:hAnsi="Arial"/>
          <w:sz w:val="14"/>
          <w:szCs w:val="14"/>
          <w:color w:val="auto"/>
        </w:rPr>
        <w:t>®</w:t>
      </w:r>
      <w:r>
        <w:rPr>
          <w:rFonts w:ascii="Arial" w:cs="Arial" w:eastAsia="Arial" w:hAnsi="Arial"/>
          <w:sz w:val="17"/>
          <w:szCs w:val="17"/>
          <w:color w:val="auto"/>
        </w:rPr>
        <w:t xml:space="preserve"> System, was approved by the U.S. Food and Drug Administration (FDA) in September 2018. The RECELL System is indicated for use in the treatment of acute thermal burns in patients 18 years and older. The RECELL System is used to prepare Spray-On Skin</w:t>
      </w:r>
      <w:r>
        <w:rPr>
          <w:rFonts w:ascii="Arial" w:cs="Arial" w:eastAsia="Arial" w:hAnsi="Arial"/>
          <w:sz w:val="14"/>
          <w:szCs w:val="14"/>
          <w:color w:val="auto"/>
        </w:rPr>
        <w:t>™</w:t>
      </w:r>
      <w:r>
        <w:rPr>
          <w:rFonts w:ascii="Arial" w:cs="Arial" w:eastAsia="Arial" w:hAnsi="Arial"/>
          <w:sz w:val="17"/>
          <w:szCs w:val="17"/>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8,000 patients globally, reinforce that the RECELL System is a significant advancement over the current standard of care for burn patients and offers benefits in clinical outcomes and cost savings. Healthcare professionals should read the INSTRUCTIONS FOR USE - RECELL</w:t>
      </w:r>
      <w:r>
        <w:rPr>
          <w:rFonts w:ascii="Arial" w:cs="Arial" w:eastAsia="Arial" w:hAnsi="Arial"/>
          <w:sz w:val="14"/>
          <w:szCs w:val="14"/>
          <w:color w:val="auto"/>
        </w:rPr>
        <w:t>®</w:t>
      </w:r>
      <w:r>
        <w:rPr>
          <w:rFonts w:ascii="Arial" w:cs="Arial" w:eastAsia="Arial" w:hAnsi="Arial"/>
          <w:sz w:val="17"/>
          <w:szCs w:val="17"/>
          <w:color w:val="auto"/>
        </w:rPr>
        <w:t xml:space="preserve"> Autologous Cell Harvesting Device (</w:t>
      </w:r>
      <w:r>
        <w:rPr>
          <w:rFonts w:ascii="Arial" w:cs="Arial" w:eastAsia="Arial" w:hAnsi="Arial"/>
          <w:sz w:val="17"/>
          <w:szCs w:val="17"/>
          <w:u w:val="single" w:color="auto"/>
          <w:color w:val="auto"/>
        </w:rPr>
        <w:t>https://recellsystem.com/</w:t>
      </w:r>
      <w:r>
        <w:rPr>
          <w:rFonts w:ascii="Arial" w:cs="Arial" w:eastAsia="Arial" w:hAnsi="Arial"/>
          <w:sz w:val="17"/>
          <w:szCs w:val="17"/>
          <w:color w:val="auto"/>
        </w:rPr>
        <w:t>) for a full description of indications for use and important safety information including contraindications, warnings and precautions.</w:t>
      </w:r>
    </w:p>
    <w:p>
      <w:pPr>
        <w:spacing w:after="0" w:line="18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 international markets, our products are marketed under the RECELL System brand to promote skin healing in a wide range of applications including burns, chronic wounds and aesthetics. The RECELL System is TGA-registered in Australia and received CE-mark approval in Europe.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To learn more, visit www.avitamedical.com.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This letter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letter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 looking statement contained in this letter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letter. Investors are encouraged to read our publicly available filings for a discussion of these and other risks and uncertainties. The forward-looking statements in this letter speak only as of the date of this release, and we undertake no obligation to update or revise any of these statements.</w:t>
      </w:r>
    </w:p>
    <w:p>
      <w:pPr>
        <w:sectPr>
          <w:pgSz w:w="11900" w:h="16838" w:orient="portrait"/>
          <w:cols w:equalWidth="0" w:num="1">
            <w:col w:w="11000"/>
          </w:cols>
          <w:pgMar w:left="440" w:top="270" w:right="4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FOR FURTHER INFORMATION:</w:t>
            </w:r>
          </w:p>
        </w:tc>
        <w:tc>
          <w:tcPr>
            <w:tcW w:w="2360" w:type="dxa"/>
            <w:vAlign w:val="bottom"/>
          </w:tcPr>
          <w:p>
            <w:pPr>
              <w:spacing w:after="0"/>
              <w:rPr>
                <w:sz w:val="20"/>
                <w:szCs w:val="20"/>
                <w:color w:val="auto"/>
              </w:rPr>
            </w:pPr>
          </w:p>
        </w:tc>
      </w:tr>
      <w:tr>
        <w:trPr>
          <w:trHeight w:val="441"/>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U.S. Media</w:t>
            </w:r>
          </w:p>
        </w:tc>
        <w:tc>
          <w:tcPr>
            <w:tcW w:w="2360" w:type="dxa"/>
            <w:vAlign w:val="bottom"/>
          </w:tcPr>
          <w:p>
            <w:pPr>
              <w:spacing w:after="0"/>
              <w:rPr>
                <w:sz w:val="20"/>
                <w:szCs w:val="20"/>
                <w:color w:val="auto"/>
              </w:rPr>
            </w:pPr>
            <w:r>
              <w:rPr>
                <w:rFonts w:ascii="Arial" w:cs="Arial" w:eastAsia="Arial" w:hAnsi="Arial"/>
                <w:sz w:val="18"/>
                <w:szCs w:val="18"/>
                <w:b w:val="1"/>
                <w:bCs w:val="1"/>
                <w:color w:val="auto"/>
              </w:rPr>
              <w:t>Investors:</w:t>
            </w:r>
          </w:p>
        </w:tc>
      </w:tr>
      <w:tr>
        <w:trPr>
          <w:trHeight w:val="220"/>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Sam Brown, Inc.</w:t>
            </w:r>
          </w:p>
        </w:tc>
        <w:tc>
          <w:tcPr>
            <w:tcW w:w="2360" w:type="dxa"/>
            <w:vAlign w:val="bottom"/>
          </w:tcPr>
          <w:p>
            <w:pPr>
              <w:spacing w:after="0"/>
              <w:rPr>
                <w:sz w:val="20"/>
                <w:szCs w:val="20"/>
                <w:color w:val="auto"/>
              </w:rPr>
            </w:pPr>
            <w:r>
              <w:rPr>
                <w:rFonts w:ascii="Arial" w:cs="Arial" w:eastAsia="Arial" w:hAnsi="Arial"/>
                <w:sz w:val="18"/>
                <w:szCs w:val="18"/>
                <w:b w:val="1"/>
                <w:bCs w:val="1"/>
                <w:color w:val="auto"/>
              </w:rPr>
              <w:t>Westwicke Partners</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Christy Curran</w:t>
            </w:r>
          </w:p>
        </w:tc>
        <w:tc>
          <w:tcPr>
            <w:tcW w:w="2360" w:type="dxa"/>
            <w:vAlign w:val="bottom"/>
          </w:tcPr>
          <w:p>
            <w:pPr>
              <w:spacing w:after="0"/>
              <w:rPr>
                <w:sz w:val="20"/>
                <w:szCs w:val="20"/>
                <w:color w:val="auto"/>
              </w:rPr>
            </w:pPr>
            <w:r>
              <w:rPr>
                <w:rFonts w:ascii="Arial" w:cs="Arial" w:eastAsia="Arial" w:hAnsi="Arial"/>
                <w:sz w:val="18"/>
                <w:szCs w:val="18"/>
                <w:color w:val="auto"/>
              </w:rPr>
              <w:t>Caroline Corner</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Phone +1 615 414 8668</w:t>
            </w:r>
          </w:p>
        </w:tc>
        <w:tc>
          <w:tcPr>
            <w:tcW w:w="2360" w:type="dxa"/>
            <w:vAlign w:val="bottom"/>
          </w:tcPr>
          <w:p>
            <w:pPr>
              <w:spacing w:after="0"/>
              <w:rPr>
                <w:sz w:val="20"/>
                <w:szCs w:val="20"/>
                <w:color w:val="auto"/>
              </w:rPr>
            </w:pPr>
            <w:r>
              <w:rPr>
                <w:rFonts w:ascii="Arial" w:cs="Arial" w:eastAsia="Arial" w:hAnsi="Arial"/>
                <w:sz w:val="18"/>
                <w:szCs w:val="18"/>
                <w:color w:val="auto"/>
              </w:rPr>
              <w:t>Phone +1 415 202 5678</w:t>
            </w:r>
          </w:p>
        </w:tc>
      </w:tr>
      <w:tr>
        <w:trPr>
          <w:trHeight w:val="190"/>
        </w:trPr>
        <w:tc>
          <w:tcPr>
            <w:tcW w:w="5740" w:type="dxa"/>
            <w:vAlign w:val="bottom"/>
            <w:gridSpan w:val="2"/>
          </w:tcPr>
          <w:p>
            <w:pPr>
              <w:spacing w:after="0" w:line="190" w:lineRule="exact"/>
              <w:rPr>
                <w:sz w:val="20"/>
                <w:szCs w:val="20"/>
                <w:color w:val="auto"/>
              </w:rPr>
            </w:pPr>
            <w:r>
              <w:rPr>
                <w:rFonts w:ascii="Arial" w:cs="Arial" w:eastAsia="Arial" w:hAnsi="Arial"/>
                <w:sz w:val="18"/>
                <w:szCs w:val="18"/>
                <w:color w:val="auto"/>
              </w:rPr>
              <w:t>christycurran@sambrown.com</w:t>
            </w:r>
          </w:p>
        </w:tc>
        <w:tc>
          <w:tcPr>
            <w:tcW w:w="2360" w:type="dxa"/>
            <w:vAlign w:val="bottom"/>
          </w:tcPr>
          <w:p>
            <w:pPr>
              <w:spacing w:after="0" w:line="190" w:lineRule="exact"/>
              <w:rPr>
                <w:sz w:val="20"/>
                <w:szCs w:val="20"/>
                <w:color w:val="auto"/>
              </w:rPr>
            </w:pPr>
            <w:r>
              <w:rPr>
                <w:rFonts w:ascii="Arial" w:cs="Arial" w:eastAsia="Arial" w:hAnsi="Arial"/>
                <w:sz w:val="18"/>
                <w:szCs w:val="18"/>
                <w:color w:val="auto"/>
                <w:w w:val="90"/>
              </w:rPr>
              <w:t>caroline.corner@westwicke.com</w:t>
            </w:r>
          </w:p>
        </w:tc>
      </w:tr>
      <w:tr>
        <w:trPr>
          <w:trHeight w:val="20"/>
        </w:trPr>
        <w:tc>
          <w:tcPr>
            <w:tcW w:w="222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bl>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O.U.S Media</w:t>
            </w:r>
          </w:p>
        </w:tc>
        <w:tc>
          <w:tcPr>
            <w:tcW w:w="2560" w:type="dxa"/>
            <w:vAlign w:val="bottom"/>
            <w:gridSpan w:val="2"/>
          </w:tcPr>
          <w:p>
            <w:pPr>
              <w:spacing w:after="0"/>
              <w:rPr>
                <w:sz w:val="20"/>
                <w:szCs w:val="20"/>
                <w:color w:val="auto"/>
              </w:rPr>
            </w:pPr>
            <w:r>
              <w:rPr>
                <w:rFonts w:ascii="Arial" w:cs="Arial" w:eastAsia="Arial" w:hAnsi="Arial"/>
                <w:sz w:val="18"/>
                <w:szCs w:val="18"/>
                <w:b w:val="1"/>
                <w:bCs w:val="1"/>
                <w:color w:val="auto"/>
              </w:rPr>
              <w:t>AVITA Medical Ltd</w:t>
            </w:r>
          </w:p>
        </w:tc>
      </w:tr>
      <w:tr>
        <w:trPr>
          <w:trHeight w:val="220"/>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Monsoon Communications</w:t>
            </w:r>
          </w:p>
        </w:tc>
        <w:tc>
          <w:tcPr>
            <w:tcW w:w="2560" w:type="dxa"/>
            <w:vAlign w:val="bottom"/>
            <w:gridSpan w:val="2"/>
          </w:tcPr>
          <w:p>
            <w:pPr>
              <w:spacing w:after="0"/>
              <w:rPr>
                <w:sz w:val="20"/>
                <w:szCs w:val="20"/>
                <w:color w:val="auto"/>
              </w:rPr>
            </w:pPr>
            <w:r>
              <w:rPr>
                <w:rFonts w:ascii="Arial" w:cs="Arial" w:eastAsia="Arial" w:hAnsi="Arial"/>
                <w:sz w:val="18"/>
                <w:szCs w:val="18"/>
                <w:color w:val="auto"/>
              </w:rPr>
              <w:t>Timothy Rooney</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Rudi Michelson</w:t>
            </w:r>
          </w:p>
        </w:tc>
        <w:tc>
          <w:tcPr>
            <w:tcW w:w="2560" w:type="dxa"/>
            <w:vAlign w:val="bottom"/>
            <w:gridSpan w:val="2"/>
          </w:tcPr>
          <w:p>
            <w:pPr>
              <w:spacing w:after="0"/>
              <w:rPr>
                <w:sz w:val="20"/>
                <w:szCs w:val="20"/>
                <w:color w:val="auto"/>
              </w:rPr>
            </w:pPr>
            <w:r>
              <w:rPr>
                <w:rFonts w:ascii="Arial" w:cs="Arial" w:eastAsia="Arial" w:hAnsi="Arial"/>
                <w:sz w:val="18"/>
                <w:szCs w:val="18"/>
                <w:color w:val="auto"/>
              </w:rPr>
              <w:t>Chief Administrative Officer</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Phone +61 (0)3 9620 3333</w:t>
            </w:r>
          </w:p>
        </w:tc>
        <w:tc>
          <w:tcPr>
            <w:tcW w:w="2560" w:type="dxa"/>
            <w:vAlign w:val="bottom"/>
            <w:gridSpan w:val="2"/>
          </w:tcPr>
          <w:p>
            <w:pPr>
              <w:spacing w:after="0"/>
              <w:rPr>
                <w:sz w:val="20"/>
                <w:szCs w:val="20"/>
                <w:color w:val="auto"/>
              </w:rPr>
            </w:pPr>
            <w:r>
              <w:rPr>
                <w:rFonts w:ascii="Arial" w:cs="Arial" w:eastAsia="Arial" w:hAnsi="Arial"/>
                <w:sz w:val="18"/>
                <w:szCs w:val="18"/>
                <w:color w:val="auto"/>
                <w:w w:val="93"/>
              </w:rPr>
              <w:t>and Interim Chief Financial Officer</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Mobile +61 (0)411 402 737</w:t>
            </w:r>
          </w:p>
        </w:tc>
        <w:tc>
          <w:tcPr>
            <w:tcW w:w="2560" w:type="dxa"/>
            <w:vAlign w:val="bottom"/>
            <w:gridSpan w:val="2"/>
          </w:tcPr>
          <w:p>
            <w:pPr>
              <w:spacing w:after="0"/>
              <w:rPr>
                <w:sz w:val="20"/>
                <w:szCs w:val="20"/>
                <w:color w:val="auto"/>
              </w:rPr>
            </w:pPr>
            <w:r>
              <w:rPr>
                <w:rFonts w:ascii="Arial" w:cs="Arial" w:eastAsia="Arial" w:hAnsi="Arial"/>
                <w:sz w:val="18"/>
                <w:szCs w:val="18"/>
                <w:color w:val="auto"/>
              </w:rPr>
              <w:t>Phone +1 661 367 9161</w:t>
            </w:r>
          </w:p>
        </w:tc>
      </w:tr>
      <w:tr>
        <w:trPr>
          <w:trHeight w:val="190"/>
        </w:trPr>
        <w:tc>
          <w:tcPr>
            <w:tcW w:w="5740" w:type="dxa"/>
            <w:vAlign w:val="bottom"/>
            <w:gridSpan w:val="2"/>
          </w:tcPr>
          <w:p>
            <w:pPr>
              <w:spacing w:after="0" w:line="190" w:lineRule="exact"/>
              <w:rPr>
                <w:sz w:val="20"/>
                <w:szCs w:val="20"/>
                <w:color w:val="auto"/>
              </w:rPr>
            </w:pPr>
            <w:r>
              <w:rPr>
                <w:rFonts w:ascii="Arial" w:cs="Arial" w:eastAsia="Arial" w:hAnsi="Arial"/>
                <w:sz w:val="18"/>
                <w:szCs w:val="18"/>
                <w:color w:val="auto"/>
              </w:rPr>
              <w:t>rudim@monsoon.com.au</w:t>
            </w:r>
          </w:p>
        </w:tc>
        <w:tc>
          <w:tcPr>
            <w:tcW w:w="2560" w:type="dxa"/>
            <w:vAlign w:val="bottom"/>
            <w:gridSpan w:val="2"/>
          </w:tcPr>
          <w:p>
            <w:pPr>
              <w:spacing w:after="0" w:line="190" w:lineRule="exact"/>
              <w:rPr>
                <w:sz w:val="20"/>
                <w:szCs w:val="20"/>
                <w:color w:val="auto"/>
              </w:rPr>
            </w:pPr>
            <w:r>
              <w:rPr>
                <w:rFonts w:ascii="Arial" w:cs="Arial" w:eastAsia="Arial" w:hAnsi="Arial"/>
                <w:sz w:val="18"/>
                <w:szCs w:val="18"/>
                <w:color w:val="auto"/>
              </w:rPr>
              <w:t>trooney@avitamedical.com</w:t>
            </w:r>
          </w:p>
        </w:tc>
      </w:tr>
      <w:tr>
        <w:trPr>
          <w:trHeight w:val="20"/>
        </w:trPr>
        <w:tc>
          <w:tcPr>
            <w:tcW w:w="182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632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317" w:lineRule="exact"/>
        <w:rPr>
          <w:sz w:val="20"/>
          <w:szCs w:val="20"/>
          <w:color w:val="auto"/>
        </w:rPr>
      </w:pPr>
    </w:p>
    <w:p>
      <w:pPr>
        <w:ind w:left="440" w:hanging="436"/>
        <w:spacing w:after="0" w:line="291" w:lineRule="auto"/>
        <w:tabs>
          <w:tab w:leader="none" w:pos="440" w:val="left"/>
        </w:tabs>
        <w:numPr>
          <w:ilvl w:val="0"/>
          <w:numId w:val="5"/>
        </w:numPr>
        <w:rPr>
          <w:rFonts w:ascii="Arial" w:cs="Arial" w:eastAsia="Arial" w:hAnsi="Arial"/>
          <w:sz w:val="14"/>
          <w:szCs w:val="14"/>
          <w:color w:val="auto"/>
        </w:rPr>
      </w:pPr>
      <w:r>
        <w:rPr>
          <w:rFonts w:ascii="Arial" w:cs="Arial" w:eastAsia="Arial" w:hAnsi="Arial"/>
          <w:sz w:val="16"/>
          <w:szCs w:val="16"/>
          <w:color w:val="auto"/>
        </w:rPr>
        <w:t>Bin Liu, Hui-Heng Chen, Zhong-Hai Liu, Jing-Feng Liang, Ru-Jun Xue, Ping-Jiao Chen, Chang-Xing Li, Xiao-Dong Liang, Jie Deng, Rui-Xian Ye, Xi- Bao Zhang &amp; Jing-Yao Liang (2019) The clinical efficacy of treatment using the autologous non-cultured epidermal cell suspension</w:t>
      </w:r>
    </w:p>
    <w:p>
      <w:pPr>
        <w:ind w:left="440"/>
        <w:spacing w:after="0"/>
        <w:rPr>
          <w:sz w:val="20"/>
          <w:szCs w:val="20"/>
          <w:color w:val="auto"/>
        </w:rPr>
      </w:pPr>
      <w:r>
        <w:rPr>
          <w:rFonts w:ascii="Arial" w:cs="Arial" w:eastAsia="Arial" w:hAnsi="Arial"/>
          <w:sz w:val="18"/>
          <w:szCs w:val="18"/>
          <w:color w:val="auto"/>
        </w:rPr>
        <w:t>technique for stable vitiligo in 41 patients, Journal of Dermatological Treatment, DOI: 10.1080/09546634.2019.1619657</w:t>
      </w:r>
    </w:p>
    <w:p>
      <w:pPr>
        <w:spacing w:after="0" w:line="8" w:lineRule="exact"/>
        <w:rPr>
          <w:sz w:val="20"/>
          <w:szCs w:val="20"/>
          <w:color w:val="auto"/>
        </w:rPr>
      </w:pPr>
    </w:p>
    <w:p>
      <w:pPr>
        <w:ind w:left="440" w:right="180" w:hanging="436"/>
        <w:spacing w:after="0" w:line="251" w:lineRule="auto"/>
        <w:tabs>
          <w:tab w:leader="none" w:pos="440" w:val="left"/>
        </w:tabs>
        <w:numPr>
          <w:ilvl w:val="0"/>
          <w:numId w:val="6"/>
        </w:numPr>
        <w:rPr>
          <w:rFonts w:ascii="Arial" w:cs="Arial" w:eastAsia="Arial" w:hAnsi="Arial"/>
          <w:sz w:val="15"/>
          <w:szCs w:val="15"/>
          <w:color w:val="auto"/>
        </w:rPr>
      </w:pPr>
      <w:r>
        <w:rPr>
          <w:rFonts w:ascii="Arial" w:cs="Arial" w:eastAsia="Arial" w:hAnsi="Arial"/>
          <w:sz w:val="18"/>
          <w:szCs w:val="18"/>
          <w:color w:val="auto"/>
        </w:rPr>
        <w:t>Ren J, Liu J, Yu N, et al. The use of noncultured regenerative epithelial suspension for improving skin color and scars: A report of 8 cases and review of the literature. J Cosmet Dermatol. 2019;00:1–8. https://doi. org/10.1111/jocd.13071</w:t>
      </w:r>
    </w:p>
    <w:p>
      <w:pPr>
        <w:ind w:left="440" w:hanging="436"/>
        <w:spacing w:after="0"/>
        <w:tabs>
          <w:tab w:leader="none" w:pos="440" w:val="left"/>
        </w:tabs>
        <w:numPr>
          <w:ilvl w:val="0"/>
          <w:numId w:val="6"/>
        </w:numPr>
        <w:rPr>
          <w:rFonts w:ascii="Arial" w:cs="Arial" w:eastAsia="Arial" w:hAnsi="Arial"/>
          <w:sz w:val="15"/>
          <w:szCs w:val="15"/>
          <w:color w:val="auto"/>
        </w:rPr>
      </w:pPr>
      <w:r>
        <w:rPr>
          <w:rFonts w:ascii="Arial" w:cs="Arial" w:eastAsia="Arial" w:hAnsi="Arial"/>
          <w:sz w:val="18"/>
          <w:szCs w:val="18"/>
          <w:color w:val="auto"/>
        </w:rPr>
        <w:t>Chen, Q., Yu, N., Liu, Z. et al. Aesth Plast Surg (2019). https://doi.org/10.1007/s00266 -019-01481-8</w:t>
      </w:r>
    </w:p>
    <w:p>
      <w:pPr>
        <w:sectPr>
          <w:pgSz w:w="11900" w:h="16838" w:orient="portrait"/>
          <w:cols w:equalWidth="0" w:num="1">
            <w:col w:w="10860"/>
          </w:cols>
          <w:pgMar w:left="440" w:top="270" w:right="599" w:bottom="1440" w:gutter="0" w:footer="0" w:header="0"/>
        </w:sectPr>
      </w:pPr>
    </w:p>
    <w:bookmarkStart w:id="8" w:name="page9"/>
    <w:bookmarkEnd w:id="8"/>
    <w:p>
      <w:pPr>
        <w:jc w:val="right"/>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4C</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Quarterly report for entities subject to Listing Rule 4.7B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97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w w:val="91"/>
              </w:rPr>
              <w:t>+Rule 4.7B</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720" w:type="dxa"/>
            <w:vAlign w:val="bottom"/>
          </w:tcPr>
          <w:p>
            <w:pPr>
              <w:jc w:val="center"/>
              <w:ind w:left="650"/>
              <w:spacing w:after="0"/>
              <w:rPr>
                <w:sz w:val="20"/>
                <w:szCs w:val="20"/>
                <w:color w:val="auto"/>
              </w:rPr>
            </w:pPr>
            <w:r>
              <w:rPr>
                <w:rFonts w:ascii="Arial" w:cs="Arial" w:eastAsia="Arial" w:hAnsi="Arial"/>
                <w:sz w:val="18"/>
                <w:szCs w:val="18"/>
                <w:b w:val="1"/>
                <w:bCs w:val="1"/>
                <w:color w:val="auto"/>
                <w:w w:val="92"/>
              </w:rPr>
              <w:t>Appendix 4C</w:t>
            </w: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720" w:type="dxa"/>
            <w:vAlign w:val="bottom"/>
          </w:tcPr>
          <w:p>
            <w:pPr>
              <w:jc w:val="center"/>
              <w:ind w:left="650"/>
              <w:spacing w:after="0"/>
              <w:rPr>
                <w:sz w:val="20"/>
                <w:szCs w:val="20"/>
                <w:color w:val="auto"/>
              </w:rPr>
            </w:pPr>
            <w:r>
              <w:rPr>
                <w:rFonts w:ascii="Arial" w:cs="Arial" w:eastAsia="Arial" w:hAnsi="Arial"/>
                <w:sz w:val="18"/>
                <w:szCs w:val="18"/>
                <w:b w:val="1"/>
                <w:bCs w:val="1"/>
                <w:color w:val="auto"/>
                <w:w w:val="91"/>
              </w:rPr>
              <w:t>Quarterly report for entities subject to Listing Rule 4.7B</w:t>
            </w: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4"/>
          </w:tcPr>
          <w:p>
            <w:pPr>
              <w:spacing w:after="0"/>
              <w:rPr>
                <w:sz w:val="20"/>
                <w:szCs w:val="20"/>
                <w:color w:val="auto"/>
              </w:rPr>
            </w:pPr>
            <w:r>
              <w:rPr>
                <w:rFonts w:ascii="Arial" w:cs="Arial" w:eastAsia="Arial" w:hAnsi="Arial"/>
                <w:sz w:val="18"/>
                <w:szCs w:val="18"/>
                <w:color w:val="auto"/>
              </w:rPr>
              <w:t>Introduced 31/03/00 Amended 30/09/01, 24/10/05, 17/12/10, 01/09/16</w:t>
            </w: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000" w:type="dxa"/>
            <w:vAlign w:val="bottom"/>
            <w:gridSpan w:val="4"/>
          </w:tcPr>
          <w:p>
            <w:pPr>
              <w:spacing w:after="0"/>
              <w:rPr>
                <w:sz w:val="20"/>
                <w:szCs w:val="20"/>
                <w:color w:val="auto"/>
              </w:rPr>
            </w:pPr>
            <w:r>
              <w:rPr>
                <w:rFonts w:ascii="Arial" w:cs="Arial" w:eastAsia="Arial" w:hAnsi="Arial"/>
                <w:sz w:val="18"/>
                <w:szCs w:val="18"/>
                <w:b w:val="1"/>
                <w:bCs w:val="1"/>
                <w:color w:val="auto"/>
              </w:rPr>
              <w:t>Name of entity</w:t>
            </w: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00" w:type="dxa"/>
            <w:vAlign w:val="bottom"/>
            <w:gridSpan w:val="4"/>
          </w:tcPr>
          <w:p>
            <w:pPr>
              <w:spacing w:after="0"/>
              <w:rPr>
                <w:sz w:val="20"/>
                <w:szCs w:val="20"/>
                <w:color w:val="auto"/>
              </w:rPr>
            </w:pPr>
            <w:r>
              <w:rPr>
                <w:rFonts w:ascii="Arial" w:cs="Arial" w:eastAsia="Arial" w:hAnsi="Arial"/>
                <w:sz w:val="18"/>
                <w:szCs w:val="18"/>
                <w:color w:val="auto"/>
              </w:rPr>
              <w:t>Avita Medical Limited</w:t>
            </w:r>
          </w:p>
        </w:tc>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000" w:type="dxa"/>
            <w:vAlign w:val="bottom"/>
            <w:gridSpan w:val="4"/>
          </w:tcPr>
          <w:p>
            <w:pPr>
              <w:spacing w:after="0"/>
              <w:rPr>
                <w:sz w:val="20"/>
                <w:szCs w:val="20"/>
                <w:color w:val="auto"/>
              </w:rPr>
            </w:pPr>
            <w:r>
              <w:rPr>
                <w:rFonts w:ascii="Arial" w:cs="Arial" w:eastAsia="Arial" w:hAnsi="Arial"/>
                <w:sz w:val="18"/>
                <w:szCs w:val="18"/>
                <w:b w:val="1"/>
                <w:bCs w:val="1"/>
                <w:color w:val="auto"/>
              </w:rPr>
              <w:t>ABN</w:t>
            </w:r>
          </w:p>
        </w:tc>
        <w:tc>
          <w:tcPr>
            <w:tcW w:w="304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Quarter ended (“current quarter”)</w:t>
            </w:r>
          </w:p>
        </w:tc>
        <w:tc>
          <w:tcPr>
            <w:tcW w:w="0" w:type="dxa"/>
            <w:vAlign w:val="bottom"/>
          </w:tcPr>
          <w:p>
            <w:pPr>
              <w:spacing w:after="0"/>
              <w:rPr>
                <w:sz w:val="1"/>
                <w:szCs w:val="1"/>
                <w:color w:val="auto"/>
              </w:rPr>
            </w:pPr>
          </w:p>
        </w:tc>
      </w:tr>
      <w:tr>
        <w:trPr>
          <w:trHeight w:val="230"/>
        </w:trPr>
        <w:tc>
          <w:tcPr>
            <w:tcW w:w="2280" w:type="dxa"/>
            <w:vAlign w:val="bottom"/>
            <w:gridSpan w:val="3"/>
          </w:tcPr>
          <w:p>
            <w:pPr>
              <w:spacing w:after="0"/>
              <w:rPr>
                <w:sz w:val="20"/>
                <w:szCs w:val="20"/>
                <w:color w:val="auto"/>
              </w:rPr>
            </w:pPr>
            <w:r>
              <w:rPr>
                <w:rFonts w:ascii="Arial" w:cs="Arial" w:eastAsia="Arial" w:hAnsi="Arial"/>
                <w:sz w:val="18"/>
                <w:szCs w:val="18"/>
                <w:color w:val="auto"/>
              </w:rPr>
              <w:t>28 058 466 523</w:t>
            </w:r>
          </w:p>
        </w:tc>
        <w:tc>
          <w:tcPr>
            <w:tcW w:w="5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80" w:type="dxa"/>
            <w:vAlign w:val="bottom"/>
            <w:gridSpan w:val="5"/>
          </w:tcPr>
          <w:p>
            <w:pPr>
              <w:jc w:val="right"/>
              <w:ind w:right="20"/>
              <w:spacing w:after="0"/>
              <w:rPr>
                <w:sz w:val="20"/>
                <w:szCs w:val="20"/>
                <w:color w:val="auto"/>
              </w:rPr>
            </w:pPr>
            <w:r>
              <w:rPr>
                <w:rFonts w:ascii="Arial" w:cs="Arial" w:eastAsia="Arial" w:hAnsi="Arial"/>
                <w:sz w:val="18"/>
                <w:szCs w:val="18"/>
                <w:color w:val="auto"/>
              </w:rPr>
              <w:t>30 September 2019</w:t>
            </w: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0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Current quarter</w:t>
            </w: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Year to date</w:t>
            </w:r>
          </w:p>
        </w:tc>
        <w:tc>
          <w:tcPr>
            <w:tcW w:w="0" w:type="dxa"/>
            <w:vAlign w:val="bottom"/>
          </w:tcPr>
          <w:p>
            <w:pPr>
              <w:spacing w:after="0"/>
              <w:rPr>
                <w:sz w:val="1"/>
                <w:szCs w:val="1"/>
                <w:color w:val="auto"/>
              </w:rPr>
            </w:pPr>
          </w:p>
        </w:tc>
      </w:tr>
      <w:tr>
        <w:trPr>
          <w:trHeight w:val="149"/>
        </w:trPr>
        <w:tc>
          <w:tcPr>
            <w:tcW w:w="80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Consolidated statement of cash flows</w:t>
            </w:r>
          </w:p>
        </w:tc>
        <w:tc>
          <w:tcPr>
            <w:tcW w:w="20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(3 months)</w:t>
            </w:r>
          </w:p>
        </w:tc>
        <w:tc>
          <w:tcPr>
            <w:tcW w:w="0" w:type="dxa"/>
            <w:vAlign w:val="bottom"/>
          </w:tcPr>
          <w:p>
            <w:pPr>
              <w:spacing w:after="0"/>
              <w:rPr>
                <w:sz w:val="1"/>
                <w:szCs w:val="1"/>
                <w:color w:val="auto"/>
              </w:rPr>
            </w:pPr>
          </w:p>
        </w:tc>
      </w:tr>
      <w:tr>
        <w:trPr>
          <w:trHeight w:val="158"/>
        </w:trPr>
        <w:tc>
          <w:tcPr>
            <w:tcW w:w="8000" w:type="dxa"/>
            <w:vAlign w:val="bottom"/>
            <w:gridSpan w:val="4"/>
            <w:vMerge w:val="continue"/>
          </w:tcPr>
          <w:p>
            <w:pPr>
              <w:spacing w:after="0"/>
              <w:rPr>
                <w:sz w:val="13"/>
                <w:szCs w:val="13"/>
                <w:color w:val="auto"/>
              </w:rPr>
            </w:pPr>
          </w:p>
        </w:tc>
        <w:tc>
          <w:tcPr>
            <w:tcW w:w="760" w:type="dxa"/>
            <w:vAlign w:val="bottom"/>
          </w:tcPr>
          <w:p>
            <w:pPr>
              <w:spacing w:after="0"/>
              <w:rPr>
                <w:sz w:val="13"/>
                <w:szCs w:val="13"/>
                <w:color w:val="auto"/>
              </w:rPr>
            </w:pPr>
          </w:p>
        </w:tc>
        <w:tc>
          <w:tcPr>
            <w:tcW w:w="1240" w:type="dxa"/>
            <w:vAlign w:val="bottom"/>
            <w:gridSpan w:val="2"/>
          </w:tcPr>
          <w:p>
            <w:pPr>
              <w:jc w:val="right"/>
              <w:ind w:right="520"/>
              <w:spacing w:after="0" w:line="158" w:lineRule="exact"/>
              <w:rPr>
                <w:sz w:val="20"/>
                <w:szCs w:val="20"/>
                <w:color w:val="auto"/>
              </w:rPr>
            </w:pPr>
            <w:r>
              <w:rPr>
                <w:rFonts w:ascii="Arial" w:cs="Arial" w:eastAsia="Arial" w:hAnsi="Arial"/>
                <w:sz w:val="14"/>
                <w:szCs w:val="14"/>
                <w:b w:val="1"/>
                <w:bCs w:val="1"/>
                <w:color w:val="auto"/>
              </w:rPr>
              <w:t>$A’000</w:t>
            </w:r>
          </w:p>
        </w:tc>
        <w:tc>
          <w:tcPr>
            <w:tcW w:w="180" w:type="dxa"/>
            <w:vAlign w:val="bottom"/>
          </w:tcPr>
          <w:p>
            <w:pPr>
              <w:spacing w:after="0"/>
              <w:rPr>
                <w:sz w:val="13"/>
                <w:szCs w:val="13"/>
                <w:color w:val="auto"/>
              </w:rPr>
            </w:pPr>
          </w:p>
        </w:tc>
        <w:tc>
          <w:tcPr>
            <w:tcW w:w="8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$A’000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1960" w:type="dxa"/>
            <w:vAlign w:val="bottom"/>
            <w:tcBorders>
              <w:bottom w:val="single" w:sz="8" w:color="CCEEFF"/>
            </w:tcBorders>
            <w:shd w:val="clear" w:color="auto" w:fill="000000"/>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0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1.</w:t>
            </w:r>
          </w:p>
        </w:tc>
        <w:tc>
          <w:tcPr>
            <w:tcW w:w="7680" w:type="dxa"/>
            <w:vAlign w:val="bottom"/>
            <w:gridSpan w:val="2"/>
            <w:shd w:val="clear" w:color="auto" w:fill="CCEEFF"/>
          </w:tcPr>
          <w:p>
            <w:pPr>
              <w:ind w:left="300"/>
              <w:spacing w:after="0" w:line="189" w:lineRule="exact"/>
              <w:rPr>
                <w:sz w:val="20"/>
                <w:szCs w:val="20"/>
                <w:color w:val="auto"/>
              </w:rPr>
            </w:pPr>
            <w:r>
              <w:rPr>
                <w:rFonts w:ascii="Arial" w:cs="Arial" w:eastAsia="Arial" w:hAnsi="Arial"/>
                <w:sz w:val="18"/>
                <w:szCs w:val="18"/>
                <w:b w:val="1"/>
                <w:bCs w:val="1"/>
                <w:color w:val="auto"/>
              </w:rPr>
              <w:t>Cash flows from operating activities</w:t>
            </w:r>
          </w:p>
        </w:tc>
        <w:tc>
          <w:tcPr>
            <w:tcW w:w="7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1.1</w:t>
            </w:r>
          </w:p>
        </w:tc>
        <w:tc>
          <w:tcPr>
            <w:tcW w:w="7680" w:type="dxa"/>
            <w:vAlign w:val="bottom"/>
            <w:gridSpan w:val="2"/>
          </w:tcPr>
          <w:p>
            <w:pPr>
              <w:ind w:left="300"/>
              <w:spacing w:after="0"/>
              <w:rPr>
                <w:sz w:val="20"/>
                <w:szCs w:val="20"/>
                <w:color w:val="auto"/>
              </w:rPr>
            </w:pPr>
            <w:r>
              <w:rPr>
                <w:rFonts w:ascii="Arial" w:cs="Arial" w:eastAsia="Arial" w:hAnsi="Arial"/>
                <w:sz w:val="18"/>
                <w:szCs w:val="18"/>
                <w:color w:val="auto"/>
              </w:rPr>
              <w:t>Receipts from customers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4,079</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4,079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79"/>
              </w:rPr>
              <w:t>1.1a</w:t>
            </w:r>
          </w:p>
        </w:tc>
        <w:tc>
          <w:tcPr>
            <w:tcW w:w="7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Receipts from government contract (BARDA)</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1.2</w:t>
            </w:r>
          </w:p>
        </w:tc>
        <w:tc>
          <w:tcPr>
            <w:tcW w:w="7680" w:type="dxa"/>
            <w:vAlign w:val="bottom"/>
            <w:gridSpan w:val="2"/>
          </w:tcPr>
          <w:p>
            <w:pPr>
              <w:ind w:left="300"/>
              <w:spacing w:after="0"/>
              <w:rPr>
                <w:sz w:val="20"/>
                <w:szCs w:val="20"/>
                <w:color w:val="auto"/>
              </w:rPr>
            </w:pPr>
            <w:r>
              <w:rPr>
                <w:rFonts w:ascii="Arial" w:cs="Arial" w:eastAsia="Arial" w:hAnsi="Arial"/>
                <w:sz w:val="18"/>
                <w:szCs w:val="18"/>
                <w:color w:val="auto"/>
              </w:rPr>
              <w:t>Payments for</w:t>
            </w: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 research and development</w:t>
            </w:r>
          </w:p>
        </w:tc>
        <w:tc>
          <w:tcPr>
            <w:tcW w:w="2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(1,300)</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80" w:type="dxa"/>
            <w:vAlign w:val="bottom"/>
            <w:gridSpan w:val="2"/>
          </w:tcPr>
          <w:p>
            <w:pPr>
              <w:ind w:left="300"/>
              <w:spacing w:after="0"/>
              <w:rPr>
                <w:sz w:val="20"/>
                <w:szCs w:val="20"/>
                <w:color w:val="auto"/>
              </w:rPr>
            </w:pPr>
            <w:r>
              <w:rPr>
                <w:rFonts w:ascii="Arial" w:cs="Arial" w:eastAsia="Arial" w:hAnsi="Arial"/>
                <w:sz w:val="18"/>
                <w:szCs w:val="18"/>
                <w:color w:val="auto"/>
              </w:rPr>
              <w:t>(b) product manufacturing and operating costs</w:t>
            </w:r>
          </w:p>
        </w:tc>
        <w:tc>
          <w:tcPr>
            <w:tcW w:w="2000" w:type="dxa"/>
            <w:vAlign w:val="bottom"/>
            <w:gridSpan w:val="3"/>
          </w:tcPr>
          <w:p>
            <w:pPr>
              <w:jc w:val="right"/>
              <w:ind w:right="180"/>
              <w:spacing w:after="0"/>
              <w:rPr>
                <w:sz w:val="20"/>
                <w:szCs w:val="20"/>
                <w:color w:val="auto"/>
              </w:rPr>
            </w:pPr>
            <w:r>
              <w:rPr>
                <w:rFonts w:ascii="Arial" w:cs="Arial" w:eastAsia="Arial" w:hAnsi="Arial"/>
                <w:sz w:val="18"/>
                <w:szCs w:val="18"/>
                <w:color w:val="auto"/>
              </w:rPr>
              <w:t>(1,344)</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 advertising and marketing</w:t>
            </w:r>
          </w:p>
        </w:tc>
        <w:tc>
          <w:tcPr>
            <w:tcW w:w="2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(2,257)</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80" w:type="dxa"/>
            <w:vAlign w:val="bottom"/>
            <w:gridSpan w:val="2"/>
          </w:tcPr>
          <w:p>
            <w:pPr>
              <w:ind w:left="300"/>
              <w:spacing w:after="0"/>
              <w:rPr>
                <w:sz w:val="20"/>
                <w:szCs w:val="20"/>
                <w:color w:val="auto"/>
              </w:rPr>
            </w:pPr>
            <w:r>
              <w:rPr>
                <w:rFonts w:ascii="Arial" w:cs="Arial" w:eastAsia="Arial" w:hAnsi="Arial"/>
                <w:sz w:val="18"/>
                <w:szCs w:val="18"/>
                <w:color w:val="auto"/>
              </w:rPr>
              <w:t>(d) leased assets</w:t>
            </w:r>
          </w:p>
        </w:tc>
        <w:tc>
          <w:tcPr>
            <w:tcW w:w="2000" w:type="dxa"/>
            <w:vAlign w:val="bottom"/>
            <w:gridSpan w:val="3"/>
          </w:tcPr>
          <w:p>
            <w:pPr>
              <w:jc w:val="right"/>
              <w:ind w:right="180"/>
              <w:spacing w:after="0"/>
              <w:rPr>
                <w:sz w:val="20"/>
                <w:szCs w:val="20"/>
                <w:color w:val="auto"/>
              </w:rPr>
            </w:pPr>
            <w:r>
              <w:rPr>
                <w:rFonts w:ascii="Arial" w:cs="Arial" w:eastAsia="Arial" w:hAnsi="Arial"/>
                <w:sz w:val="18"/>
                <w:szCs w:val="18"/>
                <w:color w:val="auto"/>
              </w:rPr>
              <w:t>(246)</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(e) staff costs</w:t>
            </w:r>
          </w:p>
        </w:tc>
        <w:tc>
          <w:tcPr>
            <w:tcW w:w="2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(5,097)</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80" w:type="dxa"/>
            <w:vAlign w:val="bottom"/>
            <w:gridSpan w:val="2"/>
          </w:tcPr>
          <w:p>
            <w:pPr>
              <w:ind w:left="300"/>
              <w:spacing w:after="0"/>
              <w:rPr>
                <w:sz w:val="20"/>
                <w:szCs w:val="20"/>
                <w:color w:val="auto"/>
              </w:rPr>
            </w:pPr>
            <w:r>
              <w:rPr>
                <w:rFonts w:ascii="Arial" w:cs="Arial" w:eastAsia="Arial" w:hAnsi="Arial"/>
                <w:sz w:val="18"/>
                <w:szCs w:val="18"/>
                <w:color w:val="auto"/>
              </w:rPr>
              <w:t>(f) administration and corporate costs</w:t>
            </w:r>
          </w:p>
        </w:tc>
        <w:tc>
          <w:tcPr>
            <w:tcW w:w="2000" w:type="dxa"/>
            <w:vAlign w:val="bottom"/>
            <w:gridSpan w:val="3"/>
          </w:tcPr>
          <w:p>
            <w:pPr>
              <w:jc w:val="right"/>
              <w:ind w:right="180"/>
              <w:spacing w:after="0"/>
              <w:rPr>
                <w:sz w:val="20"/>
                <w:szCs w:val="20"/>
                <w:color w:val="auto"/>
              </w:rPr>
            </w:pPr>
            <w:r>
              <w:rPr>
                <w:rFonts w:ascii="Arial" w:cs="Arial" w:eastAsia="Arial" w:hAnsi="Arial"/>
                <w:sz w:val="18"/>
                <w:szCs w:val="18"/>
                <w:color w:val="auto"/>
              </w:rPr>
              <w:t>(2,181)</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7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Dividends received</w:t>
            </w:r>
          </w:p>
        </w:tc>
        <w:tc>
          <w:tcPr>
            <w:tcW w:w="7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1.4</w:t>
            </w:r>
          </w:p>
        </w:tc>
        <w:tc>
          <w:tcPr>
            <w:tcW w:w="7680" w:type="dxa"/>
            <w:vAlign w:val="bottom"/>
            <w:gridSpan w:val="2"/>
          </w:tcPr>
          <w:p>
            <w:pPr>
              <w:ind w:left="300"/>
              <w:spacing w:after="0"/>
              <w:rPr>
                <w:sz w:val="20"/>
                <w:szCs w:val="20"/>
                <w:color w:val="auto"/>
              </w:rPr>
            </w:pPr>
            <w:r>
              <w:rPr>
                <w:rFonts w:ascii="Arial" w:cs="Arial" w:eastAsia="Arial" w:hAnsi="Arial"/>
                <w:sz w:val="18"/>
                <w:szCs w:val="18"/>
                <w:color w:val="auto"/>
              </w:rPr>
              <w:t>Interest received</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7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Interest and other costs of finance paid</w:t>
            </w:r>
          </w:p>
        </w:tc>
        <w:tc>
          <w:tcPr>
            <w:tcW w:w="7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1.6</w:t>
            </w:r>
          </w:p>
        </w:tc>
        <w:tc>
          <w:tcPr>
            <w:tcW w:w="7680" w:type="dxa"/>
            <w:vAlign w:val="bottom"/>
            <w:gridSpan w:val="2"/>
          </w:tcPr>
          <w:p>
            <w:pPr>
              <w:ind w:left="300"/>
              <w:spacing w:after="0"/>
              <w:rPr>
                <w:sz w:val="20"/>
                <w:szCs w:val="20"/>
                <w:color w:val="auto"/>
              </w:rPr>
            </w:pPr>
            <w:r>
              <w:rPr>
                <w:rFonts w:ascii="Arial" w:cs="Arial" w:eastAsia="Arial" w:hAnsi="Arial"/>
                <w:sz w:val="18"/>
                <w:szCs w:val="18"/>
                <w:color w:val="auto"/>
              </w:rPr>
              <w:t>Income taxes paid</w:t>
            </w:r>
          </w:p>
        </w:tc>
        <w:tc>
          <w:tcPr>
            <w:tcW w:w="76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7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Government grants and tax incentives</w:t>
            </w:r>
          </w:p>
        </w:tc>
        <w:tc>
          <w:tcPr>
            <w:tcW w:w="7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1.8</w:t>
            </w:r>
          </w:p>
        </w:tc>
        <w:tc>
          <w:tcPr>
            <w:tcW w:w="7680" w:type="dxa"/>
            <w:vAlign w:val="bottom"/>
            <w:gridSpan w:val="2"/>
          </w:tcPr>
          <w:p>
            <w:pPr>
              <w:ind w:left="300"/>
              <w:spacing w:after="0"/>
              <w:rPr>
                <w:sz w:val="20"/>
                <w:szCs w:val="20"/>
                <w:color w:val="auto"/>
              </w:rPr>
            </w:pPr>
            <w:r>
              <w:rPr>
                <w:rFonts w:ascii="Arial" w:cs="Arial" w:eastAsia="Arial" w:hAnsi="Arial"/>
                <w:sz w:val="18"/>
                <w:szCs w:val="18"/>
                <w:color w:val="auto"/>
              </w:rPr>
              <w:t>Other (provide details if material)</w:t>
            </w:r>
          </w:p>
        </w:tc>
        <w:tc>
          <w:tcPr>
            <w:tcW w:w="760" w:type="dxa"/>
            <w:vAlign w:val="bottom"/>
          </w:tcPr>
          <w:p>
            <w:pPr>
              <w:spacing w:after="0"/>
              <w:rPr>
                <w:sz w:val="19"/>
                <w:szCs w:val="19"/>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1.9</w:t>
            </w:r>
          </w:p>
        </w:tc>
        <w:tc>
          <w:tcPr>
            <w:tcW w:w="768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Net cash used in operating activities</w:t>
            </w:r>
          </w:p>
        </w:tc>
        <w:tc>
          <w:tcPr>
            <w:tcW w:w="2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(7,037)</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(7,037)</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7980" w:type="dxa"/>
            <w:vAlign w:val="bottom"/>
            <w:tcBorders>
              <w:bottom w:val="single" w:sz="8" w:color="auto"/>
            </w:tcBorders>
            <w:gridSpan w:val="3"/>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7980" w:type="dxa"/>
            <w:vAlign w:val="bottom"/>
            <w:gridSpan w:val="3"/>
          </w:tcPr>
          <w:p>
            <w:pPr>
              <w:spacing w:after="0" w:line="195" w:lineRule="exact"/>
              <w:rPr>
                <w:sz w:val="20"/>
                <w:szCs w:val="20"/>
                <w:color w:val="auto"/>
              </w:rPr>
            </w:pPr>
            <w:r>
              <w:rPr>
                <w:rFonts w:ascii="Arial" w:cs="Arial" w:eastAsia="Arial" w:hAnsi="Arial"/>
                <w:sz w:val="18"/>
                <w:szCs w:val="18"/>
                <w:color w:val="auto"/>
              </w:rPr>
              <w:t>+   See chapter 19 for defined terms</w:t>
            </w: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Page 1</w:t>
            </w:r>
          </w:p>
        </w:tc>
        <w:tc>
          <w:tcPr>
            <w:tcW w:w="0" w:type="dxa"/>
            <w:vAlign w:val="bottom"/>
          </w:tcPr>
          <w:p>
            <w:pPr>
              <w:spacing w:after="0"/>
              <w:rPr>
                <w:sz w:val="1"/>
                <w:szCs w:val="1"/>
                <w:color w:val="auto"/>
              </w:rPr>
            </w:pPr>
          </w:p>
        </w:tc>
      </w:tr>
      <w:tr>
        <w:trPr>
          <w:trHeight w:val="122"/>
        </w:trPr>
        <w:tc>
          <w:tcPr>
            <w:tcW w:w="3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1</w:t>
            </w:r>
          </w:p>
        </w:tc>
        <w:tc>
          <w:tcPr>
            <w:tcW w:w="768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September 2016</w:t>
            </w: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0" w:type="dxa"/>
            <w:vAlign w:val="bottom"/>
            <w:gridSpan w:val="2"/>
            <w:vMerge w:val="continue"/>
          </w:tcPr>
          <w:p>
            <w:pPr>
              <w:spacing w:after="0"/>
              <w:rPr>
                <w:sz w:val="9"/>
                <w:szCs w:val="9"/>
                <w:color w:val="auto"/>
              </w:rPr>
            </w:pPr>
          </w:p>
        </w:tc>
        <w:tc>
          <w:tcPr>
            <w:tcW w:w="768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9" w:name="page10"/>
    <w:bookmarkEnd w:id="9"/>
    <w:p>
      <w:pPr>
        <w:jc w:val="right"/>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4C</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Quarterly report for entities subject to Listing Rule 4.7B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97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7640" w:type="dxa"/>
            <w:vAlign w:val="bottom"/>
            <w:vMerge w:val="restart"/>
          </w:tcPr>
          <w:p>
            <w:pPr>
              <w:jc w:val="center"/>
              <w:ind w:left="6068"/>
              <w:spacing w:after="0"/>
              <w:rPr>
                <w:sz w:val="20"/>
                <w:szCs w:val="20"/>
                <w:color w:val="auto"/>
              </w:rPr>
            </w:pPr>
            <w:r>
              <w:rPr>
                <w:rFonts w:ascii="Arial" w:cs="Arial" w:eastAsia="Arial" w:hAnsi="Arial"/>
                <w:sz w:val="14"/>
                <w:szCs w:val="14"/>
                <w:b w:val="1"/>
                <w:bCs w:val="1"/>
                <w:color w:val="auto"/>
                <w:w w:val="99"/>
              </w:rPr>
              <w:t>Current quarter</w:t>
            </w:r>
          </w:p>
        </w:tc>
        <w:tc>
          <w:tcPr>
            <w:tcW w:w="1000" w:type="dxa"/>
            <w:vAlign w:val="bottom"/>
          </w:tcPr>
          <w:p>
            <w:pPr>
              <w:jc w:val="center"/>
              <w:ind w:left="188"/>
              <w:spacing w:after="0"/>
              <w:rPr>
                <w:sz w:val="20"/>
                <w:szCs w:val="20"/>
                <w:color w:val="auto"/>
              </w:rPr>
            </w:pPr>
            <w:r>
              <w:rPr>
                <w:rFonts w:ascii="Arial" w:cs="Arial" w:eastAsia="Arial" w:hAnsi="Arial"/>
                <w:sz w:val="14"/>
                <w:szCs w:val="14"/>
                <w:b w:val="1"/>
                <w:bCs w:val="1"/>
                <w:color w:val="auto"/>
                <w:w w:val="92"/>
              </w:rPr>
              <w:t>Year to date</w:t>
            </w:r>
          </w:p>
        </w:tc>
        <w:tc>
          <w:tcPr>
            <w:tcW w:w="0" w:type="dxa"/>
            <w:vAlign w:val="bottom"/>
          </w:tcPr>
          <w:p>
            <w:pPr>
              <w:spacing w:after="0"/>
              <w:rPr>
                <w:sz w:val="1"/>
                <w:szCs w:val="1"/>
                <w:color w:val="auto"/>
              </w:rPr>
            </w:pPr>
          </w:p>
        </w:tc>
      </w:tr>
      <w:tr>
        <w:trPr>
          <w:trHeight w:val="149"/>
        </w:trPr>
        <w:tc>
          <w:tcPr>
            <w:tcW w:w="2280" w:type="dxa"/>
            <w:vAlign w:val="bottom"/>
            <w:vMerge w:val="restart"/>
          </w:tcPr>
          <w:p>
            <w:pPr>
              <w:spacing w:after="0"/>
              <w:rPr>
                <w:sz w:val="20"/>
                <w:szCs w:val="20"/>
                <w:color w:val="auto"/>
              </w:rPr>
            </w:pPr>
            <w:r>
              <w:rPr>
                <w:rFonts w:ascii="Arial" w:cs="Arial" w:eastAsia="Arial" w:hAnsi="Arial"/>
                <w:sz w:val="14"/>
                <w:szCs w:val="14"/>
                <w:b w:val="1"/>
                <w:bCs w:val="1"/>
                <w:color w:val="auto"/>
                <w:w w:val="89"/>
              </w:rPr>
              <w:t>Consolidated statement of cash flows</w:t>
            </w:r>
          </w:p>
        </w:tc>
        <w:tc>
          <w:tcPr>
            <w:tcW w:w="7640" w:type="dxa"/>
            <w:vAlign w:val="bottom"/>
            <w:vMerge w:val="continue"/>
          </w:tcPr>
          <w:p>
            <w:pPr>
              <w:spacing w:after="0"/>
              <w:rPr>
                <w:sz w:val="12"/>
                <w:szCs w:val="12"/>
                <w:color w:val="auto"/>
              </w:rPr>
            </w:pPr>
          </w:p>
        </w:tc>
        <w:tc>
          <w:tcPr>
            <w:tcW w:w="100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2"/>
              </w:rPr>
              <w:t>(3 months)</w:t>
            </w:r>
          </w:p>
        </w:tc>
        <w:tc>
          <w:tcPr>
            <w:tcW w:w="0" w:type="dxa"/>
            <w:vAlign w:val="bottom"/>
          </w:tcPr>
          <w:p>
            <w:pPr>
              <w:spacing w:after="0"/>
              <w:rPr>
                <w:sz w:val="1"/>
                <w:szCs w:val="1"/>
                <w:color w:val="auto"/>
              </w:rPr>
            </w:pPr>
          </w:p>
        </w:tc>
      </w:tr>
      <w:tr>
        <w:trPr>
          <w:trHeight w:val="163"/>
        </w:trPr>
        <w:tc>
          <w:tcPr>
            <w:tcW w:w="2280" w:type="dxa"/>
            <w:vAlign w:val="bottom"/>
            <w:tcBorders>
              <w:bottom w:val="single" w:sz="8" w:color="auto"/>
            </w:tcBorders>
            <w:vMerge w:val="continue"/>
          </w:tcPr>
          <w:p>
            <w:pPr>
              <w:spacing w:after="0"/>
              <w:rPr>
                <w:sz w:val="13"/>
                <w:szCs w:val="13"/>
                <w:color w:val="auto"/>
              </w:rPr>
            </w:pPr>
          </w:p>
        </w:tc>
        <w:tc>
          <w:tcPr>
            <w:tcW w:w="7640" w:type="dxa"/>
            <w:vAlign w:val="bottom"/>
          </w:tcPr>
          <w:p>
            <w:pPr>
              <w:jc w:val="center"/>
              <w:ind w:left="6068"/>
              <w:spacing w:after="0" w:line="158" w:lineRule="exact"/>
              <w:rPr>
                <w:sz w:val="20"/>
                <w:szCs w:val="20"/>
                <w:color w:val="auto"/>
              </w:rPr>
            </w:pPr>
            <w:r>
              <w:rPr>
                <w:rFonts w:ascii="Arial" w:cs="Arial" w:eastAsia="Arial" w:hAnsi="Arial"/>
                <w:sz w:val="14"/>
                <w:szCs w:val="14"/>
                <w:b w:val="1"/>
                <w:bCs w:val="1"/>
                <w:color w:val="auto"/>
                <w:w w:val="92"/>
              </w:rPr>
              <w:t>$A’000</w:t>
            </w:r>
          </w:p>
        </w:tc>
        <w:tc>
          <w:tcPr>
            <w:tcW w:w="1000" w:type="dxa"/>
            <w:vAlign w:val="bottom"/>
          </w:tcPr>
          <w:p>
            <w:pPr>
              <w:jc w:val="center"/>
              <w:ind w:left="188"/>
              <w:spacing w:after="0" w:line="158" w:lineRule="exact"/>
              <w:rPr>
                <w:sz w:val="20"/>
                <w:szCs w:val="20"/>
                <w:color w:val="auto"/>
              </w:rPr>
            </w:pPr>
            <w:r>
              <w:rPr>
                <w:rFonts w:ascii="Arial" w:cs="Arial" w:eastAsia="Arial" w:hAnsi="Arial"/>
                <w:sz w:val="14"/>
                <w:szCs w:val="14"/>
                <w:b w:val="1"/>
                <w:bCs w:val="1"/>
                <w:color w:val="auto"/>
                <w:w w:val="92"/>
              </w:rPr>
              <w:t>$A’000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0</wp:posOffset>
            </wp:positionV>
            <wp:extent cx="699770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700" w:hanging="696"/>
        <w:spacing w:after="0"/>
        <w:tabs>
          <w:tab w:leader="none" w:pos="7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Cash flows from investing activities</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2.1</w:t>
      </w:r>
      <w:r>
        <w:rPr>
          <w:rFonts w:ascii="Arial" w:cs="Arial" w:eastAsia="Arial" w:hAnsi="Arial"/>
          <w:sz w:val="16"/>
          <w:szCs w:val="16"/>
          <w:color w:val="auto"/>
        </w:rPr>
        <w:t>Payments to acquire: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 property, plant and equipment</w:t>
            </w: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0" w:type="dxa"/>
            <w:vAlign w:val="bottom"/>
          </w:tcPr>
          <w:p>
            <w:pPr>
              <w:ind w:left="240"/>
              <w:spacing w:after="0"/>
              <w:rPr>
                <w:sz w:val="20"/>
                <w:szCs w:val="20"/>
                <w:color w:val="auto"/>
              </w:rPr>
            </w:pPr>
            <w:r>
              <w:rPr>
                <w:rFonts w:ascii="Arial" w:cs="Arial" w:eastAsia="Arial" w:hAnsi="Arial"/>
                <w:sz w:val="18"/>
                <w:szCs w:val="18"/>
                <w:color w:val="auto"/>
              </w:rPr>
              <w:t>(b) businesses (see item 10)</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 investments</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0" w:type="dxa"/>
            <w:vAlign w:val="bottom"/>
          </w:tcPr>
          <w:p>
            <w:pPr>
              <w:ind w:left="240"/>
              <w:spacing w:after="0"/>
              <w:rPr>
                <w:sz w:val="20"/>
                <w:szCs w:val="20"/>
                <w:color w:val="auto"/>
              </w:rPr>
            </w:pPr>
            <w:r>
              <w:rPr>
                <w:rFonts w:ascii="Arial" w:cs="Arial" w:eastAsia="Arial" w:hAnsi="Arial"/>
                <w:sz w:val="18"/>
                <w:szCs w:val="18"/>
                <w:color w:val="auto"/>
              </w:rPr>
              <w:t>(d) intellectual property</w:t>
            </w: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(97)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 other non-current assets</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0" w:type="dxa"/>
            <w:vAlign w:val="bottom"/>
          </w:tcPr>
          <w:p>
            <w:pPr>
              <w:jc w:val="right"/>
              <w:ind w:right="150"/>
              <w:spacing w:after="0"/>
              <w:rPr>
                <w:sz w:val="20"/>
                <w:szCs w:val="20"/>
                <w:color w:val="auto"/>
              </w:rPr>
            </w:pPr>
            <w:r>
              <w:rPr>
                <w:rFonts w:ascii="Arial" w:cs="Arial" w:eastAsia="Arial" w:hAnsi="Arial"/>
                <w:sz w:val="18"/>
                <w:szCs w:val="18"/>
                <w:color w:val="auto"/>
                <w:w w:val="71"/>
              </w:rPr>
              <w:t>2.2</w:t>
            </w:r>
          </w:p>
        </w:tc>
        <w:tc>
          <w:tcPr>
            <w:tcW w:w="8200" w:type="dxa"/>
            <w:vAlign w:val="bottom"/>
          </w:tcPr>
          <w:p>
            <w:pPr>
              <w:ind w:left="240"/>
              <w:spacing w:after="0"/>
              <w:rPr>
                <w:sz w:val="20"/>
                <w:szCs w:val="20"/>
                <w:color w:val="auto"/>
              </w:rPr>
            </w:pPr>
            <w:r>
              <w:rPr>
                <w:rFonts w:ascii="Arial" w:cs="Arial" w:eastAsia="Arial" w:hAnsi="Arial"/>
                <w:sz w:val="18"/>
                <w:szCs w:val="18"/>
                <w:color w:val="auto"/>
              </w:rPr>
              <w:t>Proceeds from disposal of:</w:t>
            </w: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 property, plant and equipment</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0" w:type="dxa"/>
            <w:vAlign w:val="bottom"/>
          </w:tcPr>
          <w:p>
            <w:pPr>
              <w:ind w:left="240"/>
              <w:spacing w:after="0"/>
              <w:rPr>
                <w:sz w:val="20"/>
                <w:szCs w:val="20"/>
                <w:color w:val="auto"/>
              </w:rPr>
            </w:pPr>
            <w:r>
              <w:rPr>
                <w:rFonts w:ascii="Arial" w:cs="Arial" w:eastAsia="Arial" w:hAnsi="Arial"/>
                <w:sz w:val="18"/>
                <w:szCs w:val="18"/>
                <w:color w:val="auto"/>
              </w:rPr>
              <w:t>(b) businesses (see item 10)</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 investments</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0" w:type="dxa"/>
            <w:vAlign w:val="bottom"/>
          </w:tcPr>
          <w:p>
            <w:pPr>
              <w:ind w:left="240"/>
              <w:spacing w:after="0"/>
              <w:rPr>
                <w:sz w:val="20"/>
                <w:szCs w:val="20"/>
                <w:color w:val="auto"/>
              </w:rPr>
            </w:pPr>
            <w:r>
              <w:rPr>
                <w:rFonts w:ascii="Arial" w:cs="Arial" w:eastAsia="Arial" w:hAnsi="Arial"/>
                <w:sz w:val="18"/>
                <w:szCs w:val="18"/>
                <w:color w:val="auto"/>
              </w:rPr>
              <w:t>(d) intellectual property</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 other non-current assets</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0" w:type="dxa"/>
            <w:vAlign w:val="bottom"/>
          </w:tcPr>
          <w:p>
            <w:pPr>
              <w:jc w:val="right"/>
              <w:ind w:right="150"/>
              <w:spacing w:after="0"/>
              <w:rPr>
                <w:sz w:val="20"/>
                <w:szCs w:val="20"/>
                <w:color w:val="auto"/>
              </w:rPr>
            </w:pPr>
            <w:r>
              <w:rPr>
                <w:rFonts w:ascii="Arial" w:cs="Arial" w:eastAsia="Arial" w:hAnsi="Arial"/>
                <w:sz w:val="18"/>
                <w:szCs w:val="18"/>
                <w:color w:val="auto"/>
                <w:w w:val="71"/>
              </w:rPr>
              <w:t>2.3</w:t>
            </w:r>
          </w:p>
        </w:tc>
        <w:tc>
          <w:tcPr>
            <w:tcW w:w="8200" w:type="dxa"/>
            <w:vAlign w:val="bottom"/>
          </w:tcPr>
          <w:p>
            <w:pPr>
              <w:ind w:left="240"/>
              <w:spacing w:after="0"/>
              <w:rPr>
                <w:sz w:val="20"/>
                <w:szCs w:val="20"/>
                <w:color w:val="auto"/>
              </w:rPr>
            </w:pPr>
            <w:r>
              <w:rPr>
                <w:rFonts w:ascii="Arial" w:cs="Arial" w:eastAsia="Arial" w:hAnsi="Arial"/>
                <w:sz w:val="18"/>
                <w:szCs w:val="18"/>
                <w:color w:val="auto"/>
              </w:rPr>
              <w:t>Cash flows from loans to other entities</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1"/>
              </w:rPr>
              <w:t>2.4</w:t>
            </w:r>
          </w:p>
        </w:tc>
        <w:tc>
          <w:tcPr>
            <w:tcW w:w="8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Dividends received (see note 3)</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40" w:type="dxa"/>
            <w:vAlign w:val="bottom"/>
          </w:tcPr>
          <w:p>
            <w:pPr>
              <w:jc w:val="right"/>
              <w:ind w:right="150"/>
              <w:spacing w:after="0"/>
              <w:rPr>
                <w:sz w:val="20"/>
                <w:szCs w:val="20"/>
                <w:color w:val="auto"/>
              </w:rPr>
            </w:pPr>
            <w:r>
              <w:rPr>
                <w:rFonts w:ascii="Arial" w:cs="Arial" w:eastAsia="Arial" w:hAnsi="Arial"/>
                <w:sz w:val="18"/>
                <w:szCs w:val="18"/>
                <w:color w:val="auto"/>
                <w:w w:val="71"/>
              </w:rPr>
              <w:t>2.5</w:t>
            </w:r>
          </w:p>
        </w:tc>
        <w:tc>
          <w:tcPr>
            <w:tcW w:w="8200" w:type="dxa"/>
            <w:vAlign w:val="bottom"/>
          </w:tcPr>
          <w:p>
            <w:pPr>
              <w:ind w:left="240"/>
              <w:spacing w:after="0"/>
              <w:rPr>
                <w:sz w:val="20"/>
                <w:szCs w:val="20"/>
                <w:color w:val="auto"/>
              </w:rPr>
            </w:pPr>
            <w:r>
              <w:rPr>
                <w:rFonts w:ascii="Arial" w:cs="Arial" w:eastAsia="Arial" w:hAnsi="Arial"/>
                <w:sz w:val="18"/>
                <w:szCs w:val="18"/>
                <w:color w:val="auto"/>
              </w:rPr>
              <w:t>Other (provide details if material)</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1"/>
              </w:rPr>
              <w:t>2.6</w:t>
            </w:r>
          </w:p>
        </w:tc>
        <w:tc>
          <w:tcPr>
            <w:tcW w:w="820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Net cash used in investing activities</w:t>
            </w: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(300)</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ind w:left="700" w:hanging="696"/>
        <w:spacing w:after="0"/>
        <w:tabs>
          <w:tab w:leader="none" w:pos="7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Cash flows from financing activities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issues of shares</w:t>
            </w: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3.2</w:t>
            </w:r>
          </w:p>
        </w:tc>
        <w:tc>
          <w:tcPr>
            <w:tcW w:w="8320" w:type="dxa"/>
            <w:vAlign w:val="bottom"/>
          </w:tcPr>
          <w:p>
            <w:pPr>
              <w:ind w:left="360"/>
              <w:spacing w:after="0"/>
              <w:rPr>
                <w:sz w:val="20"/>
                <w:szCs w:val="20"/>
                <w:color w:val="auto"/>
              </w:rPr>
            </w:pPr>
            <w:r>
              <w:rPr>
                <w:rFonts w:ascii="Arial" w:cs="Arial" w:eastAsia="Arial" w:hAnsi="Arial"/>
                <w:sz w:val="18"/>
                <w:szCs w:val="18"/>
                <w:color w:val="auto"/>
              </w:rPr>
              <w:t>Proceeds from issue of convertible notes</w:t>
            </w: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3.3</w:t>
            </w:r>
          </w:p>
        </w:tc>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share options</w:t>
            </w: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3.4</w:t>
            </w:r>
          </w:p>
        </w:tc>
        <w:tc>
          <w:tcPr>
            <w:tcW w:w="8320" w:type="dxa"/>
            <w:vAlign w:val="bottom"/>
          </w:tcPr>
          <w:p>
            <w:pPr>
              <w:ind w:left="360"/>
              <w:spacing w:after="0"/>
              <w:rPr>
                <w:sz w:val="20"/>
                <w:szCs w:val="20"/>
                <w:color w:val="auto"/>
              </w:rPr>
            </w:pPr>
            <w:r>
              <w:rPr>
                <w:rFonts w:ascii="Arial" w:cs="Arial" w:eastAsia="Arial" w:hAnsi="Arial"/>
                <w:sz w:val="18"/>
                <w:szCs w:val="18"/>
                <w:color w:val="auto"/>
              </w:rPr>
              <w:t>Transaction costs related to issues of shares, convertible notes or options</w:t>
            </w: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3.5</w:t>
            </w:r>
          </w:p>
        </w:tc>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borrowings</w:t>
            </w: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3.6</w:t>
            </w:r>
          </w:p>
        </w:tc>
        <w:tc>
          <w:tcPr>
            <w:tcW w:w="8320" w:type="dxa"/>
            <w:vAlign w:val="bottom"/>
          </w:tcPr>
          <w:p>
            <w:pPr>
              <w:ind w:left="360"/>
              <w:spacing w:after="0"/>
              <w:rPr>
                <w:sz w:val="20"/>
                <w:szCs w:val="20"/>
                <w:color w:val="auto"/>
              </w:rPr>
            </w:pPr>
            <w:r>
              <w:rPr>
                <w:rFonts w:ascii="Arial" w:cs="Arial" w:eastAsia="Arial" w:hAnsi="Arial"/>
                <w:sz w:val="18"/>
                <w:szCs w:val="18"/>
                <w:color w:val="auto"/>
              </w:rPr>
              <w:t>Repayment of borrowings</w:t>
            </w: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3.7</w:t>
            </w:r>
          </w:p>
        </w:tc>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 costs related to loans and borrowings</w:t>
            </w: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3.8</w:t>
            </w:r>
          </w:p>
        </w:tc>
        <w:tc>
          <w:tcPr>
            <w:tcW w:w="8320" w:type="dxa"/>
            <w:vAlign w:val="bottom"/>
          </w:tcPr>
          <w:p>
            <w:pPr>
              <w:ind w:left="360"/>
              <w:spacing w:after="0"/>
              <w:rPr>
                <w:sz w:val="20"/>
                <w:szCs w:val="20"/>
                <w:color w:val="auto"/>
              </w:rPr>
            </w:pPr>
            <w:r>
              <w:rPr>
                <w:rFonts w:ascii="Arial" w:cs="Arial" w:eastAsia="Arial" w:hAnsi="Arial"/>
                <w:sz w:val="18"/>
                <w:szCs w:val="18"/>
                <w:color w:val="auto"/>
              </w:rPr>
              <w:t>Dividends paid</w:t>
            </w: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3.9</w:t>
            </w:r>
          </w:p>
        </w:tc>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(provide details if material)</w:t>
            </w: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0" w:type="dxa"/>
            <w:vAlign w:val="bottom"/>
            <w:gridSpan w:val="2"/>
          </w:tcPr>
          <w:p>
            <w:pPr>
              <w:spacing w:after="0"/>
              <w:rPr>
                <w:sz w:val="20"/>
                <w:szCs w:val="20"/>
                <w:color w:val="auto"/>
              </w:rPr>
            </w:pPr>
            <w:r>
              <w:rPr>
                <w:rFonts w:ascii="Arial" w:cs="Arial" w:eastAsia="Arial" w:hAnsi="Arial"/>
                <w:sz w:val="18"/>
                <w:szCs w:val="18"/>
                <w:b w:val="1"/>
                <w:bCs w:val="1"/>
                <w:color w:val="auto"/>
                <w:w w:val="91"/>
              </w:rPr>
              <w:t>3.10</w:t>
            </w:r>
          </w:p>
        </w:tc>
        <w:tc>
          <w:tcPr>
            <w:tcW w:w="8320" w:type="dxa"/>
            <w:vAlign w:val="bottom"/>
          </w:tcPr>
          <w:p>
            <w:pPr>
              <w:ind w:left="360"/>
              <w:spacing w:after="0"/>
              <w:rPr>
                <w:sz w:val="20"/>
                <w:szCs w:val="20"/>
                <w:color w:val="auto"/>
              </w:rPr>
            </w:pPr>
            <w:r>
              <w:rPr>
                <w:rFonts w:ascii="Arial" w:cs="Arial" w:eastAsia="Arial" w:hAnsi="Arial"/>
                <w:sz w:val="18"/>
                <w:szCs w:val="18"/>
                <w:b w:val="1"/>
                <w:bCs w:val="1"/>
                <w:color w:val="auto"/>
              </w:rPr>
              <w:t>Net cash from financing activities</w:t>
            </w:r>
          </w:p>
        </w:tc>
        <w:tc>
          <w:tcPr>
            <w:tcW w:w="102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9"/>
                <w:szCs w:val="19"/>
                <w:color w:val="auto"/>
              </w:rPr>
            </w:pPr>
          </w:p>
        </w:tc>
        <w:tc>
          <w:tcPr>
            <w:tcW w:w="7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640" w:type="dxa"/>
            <w:vAlign w:val="bottom"/>
            <w:tcBorders>
              <w:bottom w:val="single" w:sz="8" w:color="auto"/>
            </w:tcBorders>
            <w:gridSpan w:val="2"/>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640" w:type="dxa"/>
            <w:vAlign w:val="bottom"/>
            <w:gridSpan w:val="2"/>
          </w:tcPr>
          <w:p>
            <w:pPr>
              <w:spacing w:after="0" w:line="195" w:lineRule="exact"/>
              <w:rPr>
                <w:sz w:val="20"/>
                <w:szCs w:val="20"/>
                <w:color w:val="auto"/>
              </w:rPr>
            </w:pPr>
            <w:r>
              <w:rPr>
                <w:rFonts w:ascii="Arial" w:cs="Arial" w:eastAsia="Arial" w:hAnsi="Arial"/>
                <w:sz w:val="18"/>
                <w:szCs w:val="18"/>
                <w:color w:val="auto"/>
              </w:rPr>
              <w:t>+   See chapter 19 for defined terms</w:t>
            </w: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gridSpan w:val="2"/>
            <w:vMerge w:val="restart"/>
          </w:tcPr>
          <w:p>
            <w:pPr>
              <w:ind w:left="360"/>
              <w:spacing w:after="0"/>
              <w:rPr>
                <w:sz w:val="20"/>
                <w:szCs w:val="20"/>
                <w:color w:val="auto"/>
              </w:rPr>
            </w:pPr>
            <w:r>
              <w:rPr>
                <w:rFonts w:ascii="Arial" w:cs="Arial" w:eastAsia="Arial" w:hAnsi="Arial"/>
                <w:sz w:val="18"/>
                <w:szCs w:val="18"/>
                <w:color w:val="auto"/>
                <w:w w:val="84"/>
              </w:rPr>
              <w:t>Page 2</w:t>
            </w:r>
          </w:p>
        </w:tc>
        <w:tc>
          <w:tcPr>
            <w:tcW w:w="0" w:type="dxa"/>
            <w:vAlign w:val="bottom"/>
          </w:tcPr>
          <w:p>
            <w:pPr>
              <w:spacing w:after="0"/>
              <w:rPr>
                <w:sz w:val="1"/>
                <w:szCs w:val="1"/>
                <w:color w:val="auto"/>
              </w:rPr>
            </w:pPr>
          </w:p>
        </w:tc>
      </w:tr>
      <w:tr>
        <w:trPr>
          <w:trHeight w:val="122"/>
        </w:trPr>
        <w:tc>
          <w:tcPr>
            <w:tcW w:w="3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1</w:t>
            </w:r>
          </w:p>
        </w:tc>
        <w:tc>
          <w:tcPr>
            <w:tcW w:w="8320" w:type="dxa"/>
            <w:vAlign w:val="bottom"/>
            <w:vMerge w:val="restart"/>
          </w:tcPr>
          <w:p>
            <w:pPr>
              <w:spacing w:after="0"/>
              <w:rPr>
                <w:sz w:val="20"/>
                <w:szCs w:val="20"/>
                <w:color w:val="auto"/>
              </w:rPr>
            </w:pPr>
            <w:r>
              <w:rPr>
                <w:rFonts w:ascii="Arial" w:cs="Arial" w:eastAsia="Arial" w:hAnsi="Arial"/>
                <w:sz w:val="18"/>
                <w:szCs w:val="18"/>
                <w:i w:val="1"/>
                <w:iCs w:val="1"/>
                <w:color w:val="auto"/>
              </w:rPr>
              <w:t>September 2016</w:t>
            </w: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40" w:type="dxa"/>
            <w:vAlign w:val="bottom"/>
            <w:gridSpan w:val="2"/>
            <w:vMerge w:val="continue"/>
          </w:tcPr>
          <w:p>
            <w:pPr>
              <w:spacing w:after="0"/>
              <w:rPr>
                <w:sz w:val="9"/>
                <w:szCs w:val="9"/>
                <w:color w:val="auto"/>
              </w:rPr>
            </w:pPr>
          </w:p>
        </w:tc>
        <w:tc>
          <w:tcPr>
            <w:tcW w:w="83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10" w:name="page11"/>
    <w:bookmarkEnd w:id="10"/>
    <w:p>
      <w:pPr>
        <w:jc w:val="right"/>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4C</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Quarterly report for entities subject to Listing Rule 4.7B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97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7420" w:type="dxa"/>
            <w:vAlign w:val="bottom"/>
            <w:vMerge w:val="restart"/>
          </w:tcPr>
          <w:p>
            <w:pPr>
              <w:jc w:val="center"/>
              <w:ind w:left="5688"/>
              <w:spacing w:after="0"/>
              <w:rPr>
                <w:sz w:val="20"/>
                <w:szCs w:val="20"/>
                <w:color w:val="auto"/>
              </w:rPr>
            </w:pPr>
            <w:r>
              <w:rPr>
                <w:rFonts w:ascii="Arial" w:cs="Arial" w:eastAsia="Arial" w:hAnsi="Arial"/>
                <w:sz w:val="14"/>
                <w:szCs w:val="14"/>
                <w:b w:val="1"/>
                <w:bCs w:val="1"/>
                <w:color w:val="auto"/>
                <w:w w:val="99"/>
              </w:rPr>
              <w:t>Current quarter</w:t>
            </w:r>
          </w:p>
        </w:tc>
        <w:tc>
          <w:tcPr>
            <w:tcW w:w="1060" w:type="dxa"/>
            <w:vAlign w:val="bottom"/>
          </w:tcPr>
          <w:p>
            <w:pPr>
              <w:jc w:val="center"/>
              <w:ind w:left="248"/>
              <w:spacing w:after="0"/>
              <w:rPr>
                <w:sz w:val="20"/>
                <w:szCs w:val="20"/>
                <w:color w:val="auto"/>
              </w:rPr>
            </w:pPr>
            <w:r>
              <w:rPr>
                <w:rFonts w:ascii="Arial" w:cs="Arial" w:eastAsia="Arial" w:hAnsi="Arial"/>
                <w:sz w:val="14"/>
                <w:szCs w:val="14"/>
                <w:b w:val="1"/>
                <w:bCs w:val="1"/>
                <w:color w:val="auto"/>
                <w:w w:val="92"/>
              </w:rPr>
              <w:t>Year to date</w:t>
            </w:r>
          </w:p>
        </w:tc>
        <w:tc>
          <w:tcPr>
            <w:tcW w:w="0" w:type="dxa"/>
            <w:vAlign w:val="bottom"/>
          </w:tcPr>
          <w:p>
            <w:pPr>
              <w:spacing w:after="0"/>
              <w:rPr>
                <w:sz w:val="1"/>
                <w:szCs w:val="1"/>
                <w:color w:val="auto"/>
              </w:rPr>
            </w:pPr>
          </w:p>
        </w:tc>
      </w:tr>
      <w:tr>
        <w:trPr>
          <w:trHeight w:val="149"/>
        </w:trPr>
        <w:tc>
          <w:tcPr>
            <w:tcW w:w="2280" w:type="dxa"/>
            <w:vAlign w:val="bottom"/>
            <w:vMerge w:val="restart"/>
          </w:tcPr>
          <w:p>
            <w:pPr>
              <w:spacing w:after="0"/>
              <w:rPr>
                <w:sz w:val="20"/>
                <w:szCs w:val="20"/>
                <w:color w:val="auto"/>
              </w:rPr>
            </w:pPr>
            <w:r>
              <w:rPr>
                <w:rFonts w:ascii="Arial" w:cs="Arial" w:eastAsia="Arial" w:hAnsi="Arial"/>
                <w:sz w:val="14"/>
                <w:szCs w:val="14"/>
                <w:b w:val="1"/>
                <w:bCs w:val="1"/>
                <w:color w:val="auto"/>
                <w:w w:val="89"/>
              </w:rPr>
              <w:t>Consolidated statement of cash flows</w:t>
            </w:r>
          </w:p>
        </w:tc>
        <w:tc>
          <w:tcPr>
            <w:tcW w:w="7420" w:type="dxa"/>
            <w:vAlign w:val="bottom"/>
            <w:vMerge w:val="continue"/>
          </w:tcPr>
          <w:p>
            <w:pPr>
              <w:spacing w:after="0"/>
              <w:rPr>
                <w:sz w:val="12"/>
                <w:szCs w:val="12"/>
                <w:color w:val="auto"/>
              </w:rPr>
            </w:pPr>
          </w:p>
        </w:tc>
        <w:tc>
          <w:tcPr>
            <w:tcW w:w="106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2"/>
              </w:rPr>
              <w:t>(3 months)</w:t>
            </w:r>
          </w:p>
        </w:tc>
        <w:tc>
          <w:tcPr>
            <w:tcW w:w="0" w:type="dxa"/>
            <w:vAlign w:val="bottom"/>
          </w:tcPr>
          <w:p>
            <w:pPr>
              <w:spacing w:after="0"/>
              <w:rPr>
                <w:sz w:val="1"/>
                <w:szCs w:val="1"/>
                <w:color w:val="auto"/>
              </w:rPr>
            </w:pPr>
          </w:p>
        </w:tc>
      </w:tr>
      <w:tr>
        <w:trPr>
          <w:trHeight w:val="163"/>
        </w:trPr>
        <w:tc>
          <w:tcPr>
            <w:tcW w:w="2280" w:type="dxa"/>
            <w:vAlign w:val="bottom"/>
            <w:tcBorders>
              <w:bottom w:val="single" w:sz="8" w:color="auto"/>
            </w:tcBorders>
            <w:vMerge w:val="continue"/>
          </w:tcPr>
          <w:p>
            <w:pPr>
              <w:spacing w:after="0"/>
              <w:rPr>
                <w:sz w:val="13"/>
                <w:szCs w:val="13"/>
                <w:color w:val="auto"/>
              </w:rPr>
            </w:pPr>
          </w:p>
        </w:tc>
        <w:tc>
          <w:tcPr>
            <w:tcW w:w="7420" w:type="dxa"/>
            <w:vAlign w:val="bottom"/>
          </w:tcPr>
          <w:p>
            <w:pPr>
              <w:jc w:val="center"/>
              <w:ind w:left="5688"/>
              <w:spacing w:after="0" w:line="158" w:lineRule="exact"/>
              <w:rPr>
                <w:sz w:val="20"/>
                <w:szCs w:val="20"/>
                <w:color w:val="auto"/>
              </w:rPr>
            </w:pPr>
            <w:r>
              <w:rPr>
                <w:rFonts w:ascii="Arial" w:cs="Arial" w:eastAsia="Arial" w:hAnsi="Arial"/>
                <w:sz w:val="14"/>
                <w:szCs w:val="14"/>
                <w:b w:val="1"/>
                <w:bCs w:val="1"/>
                <w:color w:val="auto"/>
                <w:w w:val="92"/>
              </w:rPr>
              <w:t>$A’000</w:t>
            </w:r>
          </w:p>
        </w:tc>
        <w:tc>
          <w:tcPr>
            <w:tcW w:w="1060" w:type="dxa"/>
            <w:vAlign w:val="bottom"/>
          </w:tcPr>
          <w:p>
            <w:pPr>
              <w:jc w:val="center"/>
              <w:ind w:left="248"/>
              <w:spacing w:after="0" w:line="158" w:lineRule="exact"/>
              <w:rPr>
                <w:sz w:val="20"/>
                <w:szCs w:val="20"/>
                <w:color w:val="auto"/>
              </w:rPr>
            </w:pPr>
            <w:r>
              <w:rPr>
                <w:rFonts w:ascii="Arial" w:cs="Arial" w:eastAsia="Arial" w:hAnsi="Arial"/>
                <w:sz w:val="14"/>
                <w:szCs w:val="14"/>
                <w:b w:val="1"/>
                <w:bCs w:val="1"/>
                <w:color w:val="auto"/>
                <w:w w:val="92"/>
              </w:rPr>
              <w:t>$A’000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0</wp:posOffset>
            </wp:positionV>
            <wp:extent cx="699770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620" w:hanging="616"/>
        <w:spacing w:after="0"/>
        <w:tabs>
          <w:tab w:leader="none" w:pos="6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Net increase in cash and cash equivalents for the period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4.1</w:t>
            </w:r>
          </w:p>
        </w:tc>
        <w:tc>
          <w:tcPr>
            <w:tcW w:w="6300" w:type="dxa"/>
            <w:vAlign w:val="bottom"/>
          </w:tcPr>
          <w:p>
            <w:pPr>
              <w:ind w:left="200"/>
              <w:spacing w:after="0"/>
              <w:rPr>
                <w:sz w:val="20"/>
                <w:szCs w:val="20"/>
                <w:color w:val="auto"/>
              </w:rPr>
            </w:pPr>
            <w:r>
              <w:rPr>
                <w:rFonts w:ascii="Arial" w:cs="Arial" w:eastAsia="Arial" w:hAnsi="Arial"/>
                <w:sz w:val="18"/>
                <w:szCs w:val="18"/>
                <w:color w:val="auto"/>
              </w:rPr>
              <w:t>Cash and cash equivalents at beginning of quarter/year to date</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28,983</w:t>
            </w:r>
          </w:p>
        </w:tc>
        <w:tc>
          <w:tcPr>
            <w:tcW w:w="2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28,983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1"/>
              </w:rPr>
              <w:t>4.2</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operating activities (item 1.9 above)</w:t>
            </w:r>
          </w:p>
        </w:tc>
        <w:tc>
          <w:tcPr>
            <w:tcW w:w="2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(7,037)</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(7,037)</w:t>
            </w:r>
          </w:p>
        </w:tc>
      </w:tr>
      <w:tr>
        <w:trPr>
          <w:trHeight w:val="230"/>
        </w:trPr>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4.3</w:t>
            </w:r>
          </w:p>
        </w:tc>
        <w:tc>
          <w:tcPr>
            <w:tcW w:w="6300" w:type="dxa"/>
            <w:vAlign w:val="bottom"/>
          </w:tcPr>
          <w:p>
            <w:pPr>
              <w:ind w:left="200"/>
              <w:spacing w:after="0"/>
              <w:rPr>
                <w:sz w:val="20"/>
                <w:szCs w:val="20"/>
                <w:color w:val="auto"/>
              </w:rPr>
            </w:pPr>
            <w:r>
              <w:rPr>
                <w:rFonts w:ascii="Arial" w:cs="Arial" w:eastAsia="Arial" w:hAnsi="Arial"/>
                <w:sz w:val="18"/>
                <w:szCs w:val="18"/>
                <w:color w:val="auto"/>
              </w:rPr>
              <w:t>Net cash from used in investing activities (item 2.6 above)</w:t>
            </w:r>
          </w:p>
        </w:tc>
        <w:tc>
          <w:tcPr>
            <w:tcW w:w="166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1"/>
              </w:rPr>
              <w:t>4.4</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from financing activities (item 3.10 above)</w:t>
            </w:r>
          </w:p>
        </w:tc>
        <w:tc>
          <w:tcPr>
            <w:tcW w:w="1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00" w:type="dxa"/>
            <w:vAlign w:val="bottom"/>
          </w:tcPr>
          <w:p>
            <w:pPr>
              <w:jc w:val="right"/>
              <w:ind w:right="110"/>
              <w:spacing w:after="0"/>
              <w:rPr>
                <w:sz w:val="20"/>
                <w:szCs w:val="20"/>
                <w:color w:val="auto"/>
              </w:rPr>
            </w:pPr>
            <w:r>
              <w:rPr>
                <w:rFonts w:ascii="Arial" w:cs="Arial" w:eastAsia="Arial" w:hAnsi="Arial"/>
                <w:sz w:val="18"/>
                <w:szCs w:val="18"/>
                <w:color w:val="auto"/>
                <w:w w:val="71"/>
              </w:rPr>
              <w:t>4.5</w:t>
            </w:r>
          </w:p>
        </w:tc>
        <w:tc>
          <w:tcPr>
            <w:tcW w:w="6300" w:type="dxa"/>
            <w:vAlign w:val="bottom"/>
          </w:tcPr>
          <w:p>
            <w:pPr>
              <w:ind w:left="200"/>
              <w:spacing w:after="0"/>
              <w:rPr>
                <w:sz w:val="20"/>
                <w:szCs w:val="20"/>
                <w:color w:val="auto"/>
              </w:rPr>
            </w:pPr>
            <w:r>
              <w:rPr>
                <w:rFonts w:ascii="Arial" w:cs="Arial" w:eastAsia="Arial" w:hAnsi="Arial"/>
                <w:sz w:val="18"/>
                <w:szCs w:val="18"/>
                <w:color w:val="auto"/>
              </w:rPr>
              <w:t>Effect of movement in exchange rates on cash held</w:t>
            </w:r>
          </w:p>
        </w:tc>
        <w:tc>
          <w:tcPr>
            <w:tcW w:w="166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1"/>
              </w:rPr>
              <w:t>4.6</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Cash and cash equivalents at end of quarter</w:t>
            </w:r>
          </w:p>
        </w:tc>
        <w:tc>
          <w:tcPr>
            <w:tcW w:w="166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22,656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22,656</w:t>
            </w:r>
          </w:p>
        </w:tc>
        <w:tc>
          <w:tcPr>
            <w:tcW w:w="120" w:type="dxa"/>
            <w:vAlign w:val="bottom"/>
            <w:shd w:val="clear" w:color="auto" w:fill="CCEEFF"/>
          </w:tcPr>
          <w:p>
            <w:pPr>
              <w:spacing w:after="0"/>
              <w:rPr>
                <w:sz w:val="18"/>
                <w:szCs w:val="18"/>
                <w:color w:val="auto"/>
              </w:rPr>
            </w:pPr>
          </w:p>
        </w:tc>
      </w:tr>
      <w:tr>
        <w:trPr>
          <w:trHeight w:val="349"/>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9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Current quarter</w:t>
            </w:r>
          </w:p>
        </w:tc>
        <w:tc>
          <w:tcPr>
            <w:tcW w:w="13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Previous quarter</w:t>
            </w:r>
          </w:p>
        </w:tc>
      </w:tr>
      <w:tr>
        <w:trPr>
          <w:trHeight w:val="173"/>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$A’000</w:t>
            </w:r>
          </w:p>
        </w:tc>
        <w:tc>
          <w:tcPr>
            <w:tcW w:w="200" w:type="dxa"/>
            <w:vAlign w:val="bottom"/>
          </w:tcPr>
          <w:p>
            <w:pPr>
              <w:spacing w:after="0"/>
              <w:rPr>
                <w:sz w:val="15"/>
                <w:szCs w:val="15"/>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wp:posOffset>
            </wp:positionV>
            <wp:extent cx="699770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620" w:hanging="616"/>
        <w:spacing w:after="0"/>
        <w:tabs>
          <w:tab w:leader="none" w:pos="6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cash and cash equivalents</w:t>
      </w:r>
    </w:p>
    <w:p>
      <w:pPr>
        <w:spacing w:after="0" w:line="7" w:lineRule="exact"/>
        <w:rPr>
          <w:rFonts w:ascii="Arial" w:cs="Arial" w:eastAsia="Arial" w:hAnsi="Arial"/>
          <w:sz w:val="18"/>
          <w:szCs w:val="18"/>
          <w:b w:val="1"/>
          <w:bCs w:val="1"/>
          <w:color w:val="auto"/>
        </w:rPr>
      </w:pPr>
    </w:p>
    <w:p>
      <w:pPr>
        <w:ind w:left="620" w:right="31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at the end of the quarter (as shown in the consolidated statement of cash flows) to the related items in the accounts</w:t>
      </w: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w w:val="95"/>
              </w:rPr>
              <w:t>5.1</w:t>
            </w:r>
          </w:p>
        </w:tc>
        <w:tc>
          <w:tcPr>
            <w:tcW w:w="810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Bank balances</w:t>
            </w:r>
          </w:p>
        </w:tc>
        <w:tc>
          <w:tcPr>
            <w:tcW w:w="10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22,656</w:t>
            </w:r>
          </w:p>
        </w:tc>
        <w:tc>
          <w:tcPr>
            <w:tcW w:w="480" w:type="dxa"/>
            <w:vAlign w:val="bottom"/>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28,983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w w:val="95"/>
              </w:rPr>
              <w:t>5.2</w:t>
            </w:r>
          </w:p>
        </w:tc>
        <w:tc>
          <w:tcPr>
            <w:tcW w:w="8100" w:type="dxa"/>
            <w:vAlign w:val="bottom"/>
          </w:tcPr>
          <w:p>
            <w:pPr>
              <w:ind w:left="340"/>
              <w:spacing w:after="0"/>
              <w:rPr>
                <w:sz w:val="20"/>
                <w:szCs w:val="20"/>
                <w:color w:val="auto"/>
              </w:rPr>
            </w:pPr>
            <w:r>
              <w:rPr>
                <w:rFonts w:ascii="Arial" w:cs="Arial" w:eastAsia="Arial" w:hAnsi="Arial"/>
                <w:sz w:val="18"/>
                <w:szCs w:val="18"/>
                <w:color w:val="auto"/>
              </w:rPr>
              <w:t>Call deposits</w:t>
            </w: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w w:val="95"/>
              </w:rPr>
              <w:t>5.3</w:t>
            </w: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Bank overdrafts</w:t>
            </w:r>
          </w:p>
        </w:tc>
        <w:tc>
          <w:tcPr>
            <w:tcW w:w="1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w w:val="95"/>
              </w:rPr>
              <w:t>5.4</w:t>
            </w:r>
          </w:p>
        </w:tc>
        <w:tc>
          <w:tcPr>
            <w:tcW w:w="8100" w:type="dxa"/>
            <w:vAlign w:val="bottom"/>
          </w:tcPr>
          <w:p>
            <w:pPr>
              <w:ind w:left="340"/>
              <w:spacing w:after="0"/>
              <w:rPr>
                <w:sz w:val="20"/>
                <w:szCs w:val="20"/>
                <w:color w:val="auto"/>
              </w:rPr>
            </w:pPr>
            <w:r>
              <w:rPr>
                <w:rFonts w:ascii="Arial" w:cs="Arial" w:eastAsia="Arial" w:hAnsi="Arial"/>
                <w:sz w:val="18"/>
                <w:szCs w:val="18"/>
                <w:color w:val="auto"/>
              </w:rPr>
              <w:t>Other (provide details)</w:t>
            </w:r>
          </w:p>
        </w:tc>
        <w:tc>
          <w:tcPr>
            <w:tcW w:w="100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5.5</w:t>
            </w: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Cash and cash equivalents at end of quarter (should equal item 4.6 above)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22,656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28,983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9"/>
              </w:rPr>
              <w:t>Current quarter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6.</w:t>
            </w:r>
          </w:p>
        </w:tc>
        <w:tc>
          <w:tcPr>
            <w:tcW w:w="8100" w:type="dxa"/>
            <w:vAlign w:val="bottom"/>
            <w:tcBorders>
              <w:top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b w:val="1"/>
                <w:bCs w:val="1"/>
                <w:color w:val="auto"/>
              </w:rPr>
              <w:t>Payments to directors of the entity and their associates</w:t>
            </w:r>
          </w:p>
        </w:tc>
        <w:tc>
          <w:tcPr>
            <w:tcW w:w="10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w w:val="95"/>
              </w:rPr>
              <w:t>6.1</w:t>
            </w:r>
          </w:p>
        </w:tc>
        <w:tc>
          <w:tcPr>
            <w:tcW w:w="8100" w:type="dxa"/>
            <w:vAlign w:val="bottom"/>
          </w:tcPr>
          <w:p>
            <w:pPr>
              <w:ind w:left="340"/>
              <w:spacing w:after="0"/>
              <w:rPr>
                <w:sz w:val="20"/>
                <w:szCs w:val="20"/>
                <w:color w:val="auto"/>
              </w:rPr>
            </w:pPr>
            <w:r>
              <w:rPr>
                <w:rFonts w:ascii="Arial" w:cs="Arial" w:eastAsia="Arial" w:hAnsi="Arial"/>
                <w:sz w:val="18"/>
                <w:szCs w:val="18"/>
                <w:color w:val="auto"/>
              </w:rPr>
              <w:t>Aggregate amount of payments to these parties included in item 1.2</w:t>
            </w:r>
          </w:p>
        </w:tc>
        <w:tc>
          <w:tcPr>
            <w:tcW w:w="1000" w:type="dxa"/>
            <w:vAlign w:val="bottom"/>
          </w:tcPr>
          <w:p>
            <w:pPr>
              <w:spacing w:after="0"/>
              <w:rPr>
                <w:sz w:val="18"/>
                <w:szCs w:val="18"/>
                <w:color w:val="auto"/>
              </w:rPr>
            </w:pP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w w:val="95"/>
              </w:rPr>
              <w:t>6.2</w:t>
            </w: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Aggregate amount of cash flow from loans to these parties included in item 2.3</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w w:val="95"/>
              </w:rPr>
              <w:t>6.3</w:t>
            </w: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Include below any explanation necessary to understand the transactions included in items 6.1 and 6.2</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8"/>
                <w:szCs w:val="18"/>
                <w:color w:val="auto"/>
                <w:w w:val="95"/>
              </w:rPr>
              <w:t>6.1</w:t>
            </w:r>
          </w:p>
        </w:tc>
        <w:tc>
          <w:tcPr>
            <w:tcW w:w="10760" w:type="dxa"/>
            <w:vAlign w:val="bottom"/>
            <w:gridSpan w:val="5"/>
          </w:tcPr>
          <w:p>
            <w:pPr>
              <w:ind w:left="340"/>
              <w:spacing w:after="0"/>
              <w:rPr>
                <w:sz w:val="20"/>
                <w:szCs w:val="20"/>
                <w:color w:val="auto"/>
              </w:rPr>
            </w:pPr>
            <w:r>
              <w:rPr>
                <w:rFonts w:ascii="Arial" w:cs="Arial" w:eastAsia="Arial" w:hAnsi="Arial"/>
                <w:sz w:val="18"/>
                <w:szCs w:val="18"/>
                <w:color w:val="auto"/>
                <w:w w:val="99"/>
              </w:rPr>
              <w:t>Executive Director remuneration (170k), Directors fees (81k), Clinical Advisory Board fees (11k), and Bioscience Consultancy (29k).</w:t>
            </w:r>
          </w:p>
        </w:tc>
        <w:tc>
          <w:tcPr>
            <w:tcW w:w="0" w:type="dxa"/>
            <w:vAlign w:val="bottom"/>
          </w:tcPr>
          <w:p>
            <w:pPr>
              <w:spacing w:after="0"/>
              <w:rPr>
                <w:sz w:val="1"/>
                <w:szCs w:val="1"/>
                <w:color w:val="auto"/>
              </w:rPr>
            </w:pPr>
          </w:p>
        </w:tc>
      </w:tr>
      <w:tr>
        <w:trPr>
          <w:trHeight w:val="134"/>
        </w:trPr>
        <w:tc>
          <w:tcPr>
            <w:tcW w:w="8380" w:type="dxa"/>
            <w:vAlign w:val="bottom"/>
            <w:tcBorders>
              <w:bottom w:val="single" w:sz="8" w:color="auto"/>
            </w:tcBorders>
            <w:gridSpan w:val="3"/>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8380" w:type="dxa"/>
            <w:vAlign w:val="bottom"/>
            <w:gridSpan w:val="3"/>
          </w:tcPr>
          <w:p>
            <w:pPr>
              <w:spacing w:after="0" w:line="195" w:lineRule="exact"/>
              <w:rPr>
                <w:sz w:val="20"/>
                <w:szCs w:val="20"/>
                <w:color w:val="auto"/>
              </w:rPr>
            </w:pPr>
            <w:r>
              <w:rPr>
                <w:rFonts w:ascii="Arial" w:cs="Arial" w:eastAsia="Arial" w:hAnsi="Arial"/>
                <w:sz w:val="18"/>
                <w:szCs w:val="18"/>
                <w:color w:val="auto"/>
              </w:rPr>
              <w:t>+   See chapter 19 for defined terms</w:t>
            </w: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Page 3</w:t>
            </w:r>
          </w:p>
        </w:tc>
        <w:tc>
          <w:tcPr>
            <w:tcW w:w="0" w:type="dxa"/>
            <w:vAlign w:val="bottom"/>
          </w:tcPr>
          <w:p>
            <w:pPr>
              <w:spacing w:after="0"/>
              <w:rPr>
                <w:sz w:val="1"/>
                <w:szCs w:val="1"/>
                <w:color w:val="auto"/>
              </w:rPr>
            </w:pPr>
          </w:p>
        </w:tc>
      </w:tr>
      <w:tr>
        <w:trPr>
          <w:trHeight w:val="122"/>
        </w:trPr>
        <w:tc>
          <w:tcPr>
            <w:tcW w:w="2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1</w:t>
            </w:r>
          </w:p>
        </w:tc>
        <w:tc>
          <w:tcPr>
            <w:tcW w:w="8100" w:type="dxa"/>
            <w:vAlign w:val="bottom"/>
            <w:vMerge w:val="restart"/>
          </w:tcPr>
          <w:p>
            <w:pPr>
              <w:ind w:left="60"/>
              <w:spacing w:after="0"/>
              <w:rPr>
                <w:sz w:val="20"/>
                <w:szCs w:val="20"/>
                <w:color w:val="auto"/>
              </w:rPr>
            </w:pPr>
            <w:r>
              <w:rPr>
                <w:rFonts w:ascii="Arial" w:cs="Arial" w:eastAsia="Arial" w:hAnsi="Arial"/>
                <w:sz w:val="18"/>
                <w:szCs w:val="18"/>
                <w:i w:val="1"/>
                <w:iCs w:val="1"/>
                <w:color w:val="auto"/>
              </w:rPr>
              <w:t>September 2016</w:t>
            </w:r>
          </w:p>
        </w:tc>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 w:type="dxa"/>
            <w:vAlign w:val="bottom"/>
            <w:gridSpan w:val="2"/>
            <w:vMerge w:val="continue"/>
          </w:tcPr>
          <w:p>
            <w:pPr>
              <w:spacing w:after="0"/>
              <w:rPr>
                <w:sz w:val="9"/>
                <w:szCs w:val="9"/>
                <w:color w:val="auto"/>
              </w:rPr>
            </w:pPr>
          </w:p>
        </w:tc>
        <w:tc>
          <w:tcPr>
            <w:tcW w:w="81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11" w:name="page12"/>
    <w:bookmarkEnd w:id="11"/>
    <w:p>
      <w:pPr>
        <w:jc w:val="right"/>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4C</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Quarterly report for entities subject to Listing Rule 4.7B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6997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27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980" w:hanging="976"/>
        <w:spacing w:after="0"/>
        <w:tabs>
          <w:tab w:leader="none" w:pos="9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Payments to related entities of the entity and their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699770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7.1</w:t>
            </w:r>
          </w:p>
        </w:tc>
        <w:tc>
          <w:tcPr>
            <w:tcW w:w="7660" w:type="dxa"/>
            <w:vAlign w:val="bottom"/>
          </w:tcPr>
          <w:p>
            <w:pPr>
              <w:ind w:left="380"/>
              <w:spacing w:after="0"/>
              <w:rPr>
                <w:sz w:val="20"/>
                <w:szCs w:val="20"/>
                <w:color w:val="auto"/>
              </w:rPr>
            </w:pPr>
            <w:r>
              <w:rPr>
                <w:rFonts w:ascii="Arial" w:cs="Arial" w:eastAsia="Arial" w:hAnsi="Arial"/>
                <w:sz w:val="18"/>
                <w:szCs w:val="18"/>
                <w:color w:val="auto"/>
              </w:rPr>
              <w:t>Aggregate amount of payments to these parties included in item 1.2</w:t>
            </w:r>
          </w:p>
        </w:tc>
      </w:tr>
      <w:tr>
        <w:trPr>
          <w:trHeight w:val="216"/>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7.2</w:t>
            </w:r>
          </w:p>
        </w:tc>
        <w:tc>
          <w:tcPr>
            <w:tcW w:w="7660" w:type="dxa"/>
            <w:vAlign w:val="bottom"/>
          </w:tcPr>
          <w:p>
            <w:pPr>
              <w:ind w:left="380"/>
              <w:spacing w:after="0"/>
              <w:rPr>
                <w:sz w:val="20"/>
                <w:szCs w:val="20"/>
                <w:color w:val="auto"/>
              </w:rPr>
            </w:pPr>
            <w:r>
              <w:rPr>
                <w:rFonts w:ascii="Arial" w:cs="Arial" w:eastAsia="Arial" w:hAnsi="Arial"/>
                <w:sz w:val="18"/>
                <w:szCs w:val="18"/>
                <w:color w:val="auto"/>
              </w:rPr>
              <w:t>Aggregate amount of cash flow from loans to these parties included in item 2.3</w:t>
            </w:r>
          </w:p>
        </w:tc>
      </w:tr>
      <w:tr>
        <w:trPr>
          <w:trHeight w:val="230"/>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7.3</w:t>
            </w:r>
          </w:p>
        </w:tc>
        <w:tc>
          <w:tcPr>
            <w:tcW w:w="7660" w:type="dxa"/>
            <w:vAlign w:val="bottom"/>
          </w:tcPr>
          <w:p>
            <w:pPr>
              <w:ind w:left="380"/>
              <w:spacing w:after="0"/>
              <w:rPr>
                <w:sz w:val="20"/>
                <w:szCs w:val="20"/>
                <w:color w:val="auto"/>
              </w:rPr>
            </w:pPr>
            <w:r>
              <w:rPr>
                <w:rFonts w:ascii="Arial" w:cs="Arial" w:eastAsia="Arial" w:hAnsi="Arial"/>
                <w:sz w:val="18"/>
                <w:szCs w:val="18"/>
                <w:color w:val="auto"/>
                <w:w w:val="89"/>
              </w:rPr>
              <w:t>Include below any explanation necessary to understand the transactions included in items 7.1 and 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-273685</wp:posOffset>
            </wp:positionV>
            <wp:extent cx="699770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auto"/>
        </w:rPr>
        <w:t>Current quarter</w:t>
      </w:r>
    </w:p>
    <w:p>
      <w:pPr>
        <w:spacing w:after="0" w:line="15"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$A’000</w:t>
      </w:r>
    </w:p>
    <w:p>
      <w:pPr>
        <w:spacing w:after="0" w:line="1051" w:lineRule="exact"/>
        <w:rPr>
          <w:sz w:val="20"/>
          <w:szCs w:val="20"/>
          <w:color w:val="auto"/>
        </w:rPr>
      </w:pPr>
    </w:p>
    <w:p>
      <w:pPr>
        <w:sectPr>
          <w:pgSz w:w="11900" w:h="16838" w:orient="portrait"/>
          <w:cols w:equalWidth="0" w:num="2">
            <w:col w:w="9200" w:space="720"/>
            <w:col w:w="1120"/>
          </w:cols>
          <w:pgMar w:left="440" w:top="270" w:right="419"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ind w:left="980" w:hanging="976"/>
        <w:spacing w:after="0"/>
        <w:tabs>
          <w:tab w:leader="none" w:pos="9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Financing facilities available</w:t>
      </w:r>
    </w:p>
    <w:p>
      <w:pPr>
        <w:spacing w:after="0" w:line="27"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Add notes as necessary for an understanding of the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699770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8.1</w:t>
            </w:r>
          </w:p>
        </w:tc>
        <w:tc>
          <w:tcPr>
            <w:tcW w:w="6420" w:type="dxa"/>
            <w:vAlign w:val="bottom"/>
          </w:tcPr>
          <w:p>
            <w:pPr>
              <w:ind w:left="380"/>
              <w:spacing w:after="0"/>
              <w:rPr>
                <w:sz w:val="20"/>
                <w:szCs w:val="20"/>
                <w:color w:val="auto"/>
              </w:rPr>
            </w:pPr>
            <w:r>
              <w:rPr>
                <w:rFonts w:ascii="Arial" w:cs="Arial" w:eastAsia="Arial" w:hAnsi="Arial"/>
                <w:sz w:val="18"/>
                <w:szCs w:val="18"/>
                <w:color w:val="auto"/>
              </w:rPr>
              <w:t>Loan facilities</w:t>
            </w:r>
          </w:p>
        </w:tc>
      </w:tr>
      <w:tr>
        <w:trPr>
          <w:trHeight w:val="230"/>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8.2</w:t>
            </w:r>
          </w:p>
        </w:tc>
        <w:tc>
          <w:tcPr>
            <w:tcW w:w="6420" w:type="dxa"/>
            <w:vAlign w:val="bottom"/>
          </w:tcPr>
          <w:p>
            <w:pPr>
              <w:ind w:left="380"/>
              <w:spacing w:after="0"/>
              <w:rPr>
                <w:sz w:val="20"/>
                <w:szCs w:val="20"/>
                <w:color w:val="auto"/>
              </w:rPr>
            </w:pPr>
            <w:r>
              <w:rPr>
                <w:rFonts w:ascii="Arial" w:cs="Arial" w:eastAsia="Arial" w:hAnsi="Arial"/>
                <w:sz w:val="18"/>
                <w:szCs w:val="18"/>
                <w:color w:val="auto"/>
              </w:rPr>
              <w:t>Credit standby arrangements</w:t>
            </w:r>
          </w:p>
        </w:tc>
      </w:tr>
      <w:tr>
        <w:trPr>
          <w:trHeight w:val="243"/>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8.3</w:t>
            </w:r>
          </w:p>
        </w:tc>
        <w:tc>
          <w:tcPr>
            <w:tcW w:w="6420" w:type="dxa"/>
            <w:vAlign w:val="bottom"/>
          </w:tcPr>
          <w:p>
            <w:pPr>
              <w:ind w:left="380"/>
              <w:spacing w:after="0"/>
              <w:rPr>
                <w:sz w:val="20"/>
                <w:szCs w:val="20"/>
                <w:color w:val="auto"/>
              </w:rPr>
            </w:pPr>
            <w:r>
              <w:rPr>
                <w:rFonts w:ascii="Arial" w:cs="Arial" w:eastAsia="Arial" w:hAnsi="Arial"/>
                <w:sz w:val="18"/>
                <w:szCs w:val="18"/>
                <w:color w:val="auto"/>
              </w:rPr>
              <w:t>Other (please specify)</w:t>
            </w:r>
          </w:p>
        </w:tc>
      </w:tr>
      <w:tr>
        <w:trPr>
          <w:trHeight w:val="229"/>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8.4</w:t>
            </w:r>
          </w:p>
        </w:tc>
        <w:tc>
          <w:tcPr>
            <w:tcW w:w="6420" w:type="dxa"/>
            <w:vAlign w:val="bottom"/>
          </w:tcPr>
          <w:p>
            <w:pPr>
              <w:ind w:left="380"/>
              <w:spacing w:after="0"/>
              <w:rPr>
                <w:sz w:val="20"/>
                <w:szCs w:val="20"/>
                <w:color w:val="auto"/>
              </w:rPr>
            </w:pPr>
            <w:r>
              <w:rPr>
                <w:rFonts w:ascii="Arial" w:cs="Arial" w:eastAsia="Arial" w:hAnsi="Arial"/>
                <w:sz w:val="18"/>
                <w:szCs w:val="18"/>
                <w:color w:val="auto"/>
                <w:w w:val="91"/>
              </w:rPr>
              <w:t>Include below a description of each facility above, including the lender, interest rate</w:t>
            </w:r>
          </w:p>
        </w:tc>
      </w:tr>
      <w:tr>
        <w:trPr>
          <w:trHeight w:val="230"/>
        </w:trPr>
        <w:tc>
          <w:tcPr>
            <w:tcW w:w="600" w:type="dxa"/>
            <w:vAlign w:val="bottom"/>
          </w:tcPr>
          <w:p>
            <w:pPr>
              <w:spacing w:after="0"/>
              <w:rPr>
                <w:sz w:val="20"/>
                <w:szCs w:val="20"/>
                <w:color w:val="auto"/>
              </w:rPr>
            </w:pPr>
          </w:p>
        </w:tc>
        <w:tc>
          <w:tcPr>
            <w:tcW w:w="6420" w:type="dxa"/>
            <w:vAlign w:val="bottom"/>
          </w:tcPr>
          <w:p>
            <w:pPr>
              <w:ind w:left="380"/>
              <w:spacing w:after="0"/>
              <w:rPr>
                <w:sz w:val="20"/>
                <w:szCs w:val="20"/>
                <w:color w:val="auto"/>
              </w:rPr>
            </w:pPr>
            <w:r>
              <w:rPr>
                <w:rFonts w:ascii="Arial" w:cs="Arial" w:eastAsia="Arial" w:hAnsi="Arial"/>
                <w:sz w:val="18"/>
                <w:szCs w:val="18"/>
                <w:color w:val="auto"/>
                <w:w w:val="89"/>
              </w:rPr>
              <w:t>and whether it is secured or unsecured. If any additional facilities have been entered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-736600</wp:posOffset>
            </wp:positionV>
            <wp:extent cx="699770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-427990</wp:posOffset>
            </wp:positionV>
            <wp:extent cx="699770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980" w:right="360"/>
        <w:spacing w:after="0" w:line="261" w:lineRule="auto"/>
        <w:rPr>
          <w:sz w:val="20"/>
          <w:szCs w:val="20"/>
          <w:color w:val="auto"/>
        </w:rPr>
      </w:pPr>
      <w:r>
        <w:rPr>
          <w:rFonts w:ascii="Arial" w:cs="Arial" w:eastAsia="Arial" w:hAnsi="Arial"/>
          <w:sz w:val="18"/>
          <w:szCs w:val="18"/>
          <w:color w:val="auto"/>
        </w:rPr>
        <w:t>into or are proposed to be entered into after quarter end, include details of those facilities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699770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80"/>
        <w:spacing w:after="0"/>
        <w:rPr>
          <w:sz w:val="20"/>
          <w:szCs w:val="20"/>
          <w:color w:val="auto"/>
        </w:rPr>
      </w:pPr>
      <w:r>
        <w:rPr>
          <w:rFonts w:ascii="Arial" w:cs="Arial" w:eastAsia="Arial" w:hAnsi="Arial"/>
          <w:sz w:val="13"/>
          <w:szCs w:val="13"/>
          <w:b w:val="1"/>
          <w:bCs w:val="1"/>
          <w:color w:val="auto"/>
        </w:rPr>
        <w:t>Total facility amount</w:t>
      </w:r>
    </w:p>
    <w:p>
      <w:pPr>
        <w:spacing w:after="0" w:line="3"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at quarter end</w:t>
      </w:r>
    </w:p>
    <w:p>
      <w:pPr>
        <w:jc w:val="center"/>
        <w:ind w:right="80"/>
        <w:spacing w:after="0"/>
        <w:rPr>
          <w:sz w:val="20"/>
          <w:szCs w:val="20"/>
          <w:color w:val="auto"/>
        </w:rPr>
      </w:pPr>
      <w:r>
        <w:rPr>
          <w:rFonts w:ascii="Arial" w:cs="Arial" w:eastAsia="Arial" w:hAnsi="Arial"/>
          <w:sz w:val="14"/>
          <w:szCs w:val="14"/>
          <w:b w:val="1"/>
          <w:bCs w:val="1"/>
          <w:color w:val="auto"/>
        </w:rPr>
        <w:t>$A’000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408305</wp:posOffset>
            </wp:positionV>
            <wp:extent cx="8147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562610</wp:posOffset>
            </wp:positionV>
            <wp:extent cx="8147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716915</wp:posOffset>
            </wp:positionV>
            <wp:extent cx="8147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80"/>
        <w:spacing w:after="0"/>
        <w:rPr>
          <w:sz w:val="20"/>
          <w:szCs w:val="20"/>
          <w:color w:val="auto"/>
        </w:rPr>
      </w:pPr>
      <w:r>
        <w:rPr>
          <w:rFonts w:ascii="Arial" w:cs="Arial" w:eastAsia="Arial" w:hAnsi="Arial"/>
          <w:sz w:val="14"/>
          <w:szCs w:val="14"/>
          <w:b w:val="1"/>
          <w:bCs w:val="1"/>
          <w:color w:val="auto"/>
        </w:rPr>
        <w:t>Amount drawn at quarter end $A’000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402590</wp:posOffset>
            </wp:positionV>
            <wp:extent cx="7029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556895</wp:posOffset>
            </wp:positionV>
            <wp:extent cx="7029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711200</wp:posOffset>
            </wp:positionV>
            <wp:extent cx="7029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$A’000</w:t>
      </w:r>
    </w:p>
    <w:p>
      <w:pPr>
        <w:spacing w:after="0" w:line="12" w:lineRule="exact"/>
        <w:rPr>
          <w:sz w:val="20"/>
          <w:szCs w:val="20"/>
          <w:color w:val="auto"/>
        </w:rPr>
      </w:pPr>
    </w:p>
    <w:p>
      <w:pPr>
        <w:sectPr>
          <w:pgSz w:w="11900" w:h="16838" w:orient="portrait"/>
          <w:cols w:equalWidth="0" w:num="3">
            <w:col w:w="7060" w:space="720"/>
            <w:col w:w="1360" w:space="720"/>
            <w:col w:w="1180"/>
          </w:cols>
          <w:pgMar w:left="440" w:top="270" w:right="419" w:bottom="1440" w:gutter="0" w:footer="0" w:header="0"/>
          <w:type w:val="continuous"/>
        </w:sectPr>
      </w:pPr>
    </w:p>
    <w:p>
      <w:pPr>
        <w:ind w:right="6280" w:firstLine="51"/>
        <w:spacing w:after="0" w:line="249" w:lineRule="auto"/>
        <w:tabs>
          <w:tab w:leader="none" w:pos="324"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Estimated cash outflows for next quarter </w:t>
      </w:r>
      <w:r>
        <w:rPr>
          <w:rFonts w:ascii="Arial" w:cs="Arial" w:eastAsia="Arial" w:hAnsi="Arial"/>
          <w:sz w:val="18"/>
          <w:szCs w:val="18"/>
          <w:color w:val="auto"/>
        </w:rPr>
        <w:t>9.1 Research and development</w:t>
      </w:r>
    </w:p>
    <w:p>
      <w:pPr>
        <w:spacing w:after="0"/>
        <w:rPr>
          <w:rFonts w:ascii="Arial" w:cs="Arial" w:eastAsia="Arial" w:hAnsi="Arial"/>
          <w:sz w:val="18"/>
          <w:szCs w:val="18"/>
          <w:b w:val="1"/>
          <w:bCs w:val="1"/>
          <w:color w:val="auto"/>
        </w:rPr>
      </w:pPr>
      <w:r>
        <w:rPr>
          <w:rFonts w:ascii="Arial" w:cs="Arial" w:eastAsia="Arial" w:hAnsi="Arial"/>
          <w:sz w:val="16"/>
          <w:szCs w:val="16"/>
          <w:color w:val="auto"/>
        </w:rPr>
        <w:t>9.2 Product manufacturing and operating costs</w:t>
      </w:r>
    </w:p>
    <w:p>
      <w:pPr>
        <w:spacing w:after="0" w:line="32"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9.3 Advertising and marketing</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9.4 Leased assets</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9.5 Staff costs</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9.6 Administration and corporate costs</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9.7 Other (provide details if material)</w:t>
      </w:r>
    </w:p>
    <w:p>
      <w:pPr>
        <w:spacing w:after="0" w:line="2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9.8 Total estimated cash outflows*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-962025</wp:posOffset>
            </wp:positionV>
            <wp:extent cx="699770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-687705</wp:posOffset>
            </wp:positionV>
            <wp:extent cx="699770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-413385</wp:posOffset>
            </wp:positionV>
            <wp:extent cx="699770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-121920</wp:posOffset>
            </wp:positionV>
            <wp:extent cx="699770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1,600</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1,400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2,400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250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5,200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2,100</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5715</wp:posOffset>
            </wp:positionV>
            <wp:extent cx="3517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12,950</w:t>
      </w:r>
    </w:p>
    <w:p>
      <w:pPr>
        <w:spacing w:after="0" w:line="180" w:lineRule="exact"/>
        <w:rPr>
          <w:sz w:val="20"/>
          <w:szCs w:val="20"/>
          <w:color w:val="auto"/>
        </w:rPr>
      </w:pPr>
    </w:p>
    <w:p>
      <w:pPr>
        <w:sectPr>
          <w:pgSz w:w="11900" w:h="16838" w:orient="portrait"/>
          <w:cols w:equalWidth="0" w:num="2">
            <w:col w:w="9760" w:space="720"/>
            <w:col w:w="560"/>
          </w:cols>
          <w:pgMar w:left="440" w:top="270" w:right="419" w:bottom="1440" w:gutter="0" w:footer="0" w:header="0"/>
          <w:type w:val="continuous"/>
        </w:sectPr>
      </w:pPr>
    </w:p>
    <w:p>
      <w:pPr>
        <w:ind w:left="440" w:right="320" w:hanging="436"/>
        <w:spacing w:after="0" w:line="277"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Pertains to outflows only, inflows from customer receipts and government contracts, which totalled $5,237 for the quarter ended 30 September 2019 and are expected to increase in future quarters, are not included.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See chapter 19 for defined terms</w:t>
            </w:r>
          </w:p>
        </w:tc>
        <w:tc>
          <w:tcPr>
            <w:tcW w:w="4420" w:type="dxa"/>
            <w:vAlign w:val="bottom"/>
            <w:tcBorders>
              <w:top w:val="single" w:sz="8" w:color="auto"/>
            </w:tcBorders>
            <w:vMerge w:val="restart"/>
          </w:tcPr>
          <w:p>
            <w:pPr>
              <w:ind w:left="3920"/>
              <w:spacing w:after="0"/>
              <w:rPr>
                <w:sz w:val="20"/>
                <w:szCs w:val="20"/>
                <w:color w:val="auto"/>
              </w:rPr>
            </w:pPr>
            <w:r>
              <w:rPr>
                <w:rFonts w:ascii="Arial" w:cs="Arial" w:eastAsia="Arial" w:hAnsi="Arial"/>
                <w:sz w:val="18"/>
                <w:szCs w:val="18"/>
                <w:color w:val="auto"/>
                <w:w w:val="84"/>
              </w:rPr>
              <w:t>Page 4</w:t>
            </w:r>
          </w:p>
        </w:tc>
        <w:tc>
          <w:tcPr>
            <w:tcW w:w="0" w:type="dxa"/>
            <w:vAlign w:val="bottom"/>
          </w:tcPr>
          <w:p>
            <w:pPr>
              <w:spacing w:after="0"/>
              <w:rPr>
                <w:sz w:val="1"/>
                <w:szCs w:val="1"/>
                <w:color w:val="auto"/>
              </w:rPr>
            </w:pPr>
          </w:p>
        </w:tc>
      </w:tr>
      <w:tr>
        <w:trPr>
          <w:trHeight w:val="122"/>
        </w:trPr>
        <w:tc>
          <w:tcPr>
            <w:tcW w:w="6620" w:type="dxa"/>
            <w:vAlign w:val="bottom"/>
            <w:vMerge w:val="restart"/>
          </w:tcPr>
          <w:p>
            <w:pPr>
              <w:spacing w:after="0"/>
              <w:rPr>
                <w:sz w:val="20"/>
                <w:szCs w:val="20"/>
                <w:color w:val="auto"/>
              </w:rPr>
            </w:pPr>
            <w:r>
              <w:rPr>
                <w:rFonts w:ascii="Arial" w:cs="Arial" w:eastAsia="Arial" w:hAnsi="Arial"/>
                <w:sz w:val="18"/>
                <w:szCs w:val="18"/>
                <w:i w:val="1"/>
                <w:iCs w:val="1"/>
                <w:color w:val="auto"/>
              </w:rPr>
              <w:t>1   September 2016</w:t>
            </w:r>
          </w:p>
        </w:tc>
        <w:tc>
          <w:tcPr>
            <w:tcW w:w="4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620" w:type="dxa"/>
            <w:vAlign w:val="bottom"/>
            <w:vMerge w:val="continue"/>
          </w:tcPr>
          <w:p>
            <w:pPr>
              <w:spacing w:after="0"/>
              <w:rPr>
                <w:sz w:val="9"/>
                <w:szCs w:val="9"/>
                <w:color w:val="auto"/>
              </w:rPr>
            </w:pPr>
          </w:p>
        </w:tc>
        <w:tc>
          <w:tcPr>
            <w:tcW w:w="4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type w:val="continuous"/>
        </w:sectPr>
      </w:pPr>
    </w:p>
    <w:bookmarkStart w:id="12" w:name="page13"/>
    <w:bookmarkEnd w:id="12"/>
    <w:p>
      <w:pPr>
        <w:jc w:val="right"/>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4C</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Quarterly report for entities subject to Listing Rule 4.7B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97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9120"/>
        <w:spacing w:after="0"/>
        <w:tabs>
          <w:tab w:leader="none" w:pos="10380" w:val="left"/>
        </w:tabs>
        <w:rPr>
          <w:sz w:val="20"/>
          <w:szCs w:val="20"/>
          <w:color w:val="auto"/>
        </w:rPr>
      </w:pPr>
      <w:r>
        <w:rPr>
          <w:rFonts w:ascii="Arial" w:cs="Arial" w:eastAsia="Arial" w:hAnsi="Arial"/>
          <w:sz w:val="13"/>
          <w:szCs w:val="13"/>
          <w:b w:val="1"/>
          <w:bCs w:val="1"/>
          <w:u w:val="single" w:color="auto"/>
          <w:color w:val="auto"/>
        </w:rPr>
        <w:t>Acquisitions</w:t>
      </w:r>
      <w:r>
        <w:rPr>
          <w:sz w:val="20"/>
          <w:szCs w:val="20"/>
          <w:color w:val="auto"/>
        </w:rPr>
        <w:tab/>
      </w:r>
      <w:r>
        <w:rPr>
          <w:rFonts w:ascii="Arial" w:cs="Arial" w:eastAsia="Arial" w:hAnsi="Arial"/>
          <w:sz w:val="13"/>
          <w:szCs w:val="13"/>
          <w:b w:val="1"/>
          <w:bCs w:val="1"/>
          <w:u w:val="single" w:color="auto"/>
          <w:color w:val="auto"/>
        </w:rPr>
        <w:t>Disposals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699770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3" w:lineRule="exact"/>
        <w:rPr>
          <w:sz w:val="20"/>
          <w:szCs w:val="20"/>
          <w:color w:val="auto"/>
        </w:rPr>
      </w:pPr>
    </w:p>
    <w:p>
      <w:pPr>
        <w:ind w:left="800" w:hanging="796"/>
        <w:spacing w:after="0"/>
        <w:tabs>
          <w:tab w:leader="none" w:pos="8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disposals of business entities (items 2.1(b) and 2.2(b) above)</w:t>
      </w:r>
    </w:p>
    <w:p>
      <w:pPr>
        <w:spacing w:after="0" w:line="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10.1</w:t>
      </w:r>
      <w:r>
        <w:rPr>
          <w:rFonts w:ascii="Arial" w:cs="Arial" w:eastAsia="Arial" w:hAnsi="Arial"/>
          <w:sz w:val="16"/>
          <w:szCs w:val="16"/>
          <w:color w:val="auto"/>
        </w:rPr>
        <w:t>Name of entity</w:t>
      </w:r>
    </w:p>
    <w:p>
      <w:pPr>
        <w:spacing w:after="0" w:line="2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10.2</w:t>
      </w:r>
      <w:r>
        <w:rPr>
          <w:rFonts w:ascii="Arial" w:cs="Arial" w:eastAsia="Arial" w:hAnsi="Arial"/>
          <w:sz w:val="16"/>
          <w:szCs w:val="16"/>
          <w:color w:val="auto"/>
        </w:rPr>
        <w:t>Place of incorporation or registration</w:t>
      </w:r>
    </w:p>
    <w:p>
      <w:pPr>
        <w:spacing w:after="0" w:line="36"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10.3</w:t>
      </w:r>
      <w:r>
        <w:rPr>
          <w:rFonts w:ascii="Arial" w:cs="Arial" w:eastAsia="Arial" w:hAnsi="Arial"/>
          <w:sz w:val="16"/>
          <w:szCs w:val="16"/>
          <w:color w:val="auto"/>
        </w:rPr>
        <w:t>Consideration for acquisition or disposal</w:t>
      </w:r>
    </w:p>
    <w:p>
      <w:pPr>
        <w:spacing w:after="0" w:line="36"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10.4</w:t>
      </w:r>
      <w:r>
        <w:rPr>
          <w:rFonts w:ascii="Arial" w:cs="Arial" w:eastAsia="Arial" w:hAnsi="Arial"/>
          <w:sz w:val="15"/>
          <w:szCs w:val="15"/>
          <w:color w:val="auto"/>
        </w:rPr>
        <w:t>Total net assets</w:t>
      </w:r>
    </w:p>
    <w:p>
      <w:pPr>
        <w:spacing w:after="0" w:line="36"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10.5</w:t>
      </w:r>
      <w:r>
        <w:rPr>
          <w:rFonts w:ascii="Arial" w:cs="Arial" w:eastAsia="Arial" w:hAnsi="Arial"/>
          <w:sz w:val="16"/>
          <w:szCs w:val="16"/>
          <w:color w:val="auto"/>
        </w:rPr>
        <w:t>Nature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6997700" cy="4718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7700" cy="471805"/>
                    </a:xfrm>
                    <a:prstGeom prst="rect">
                      <a:avLst/>
                    </a:prstGeom>
                    <a:noFill/>
                  </pic:spPr>
                </pic:pic>
              </a:graphicData>
            </a:graphic>
          </wp:anchor>
        </w:drawing>
        <w:drawing>
          <wp:anchor simplePos="0" relativeHeight="251657728" behindDoc="1" locked="0" layoutInCell="0" allowOverlap="1">
            <wp:simplePos x="0" y="0"/>
            <wp:positionH relativeFrom="column">
              <wp:posOffset>6610350</wp:posOffset>
            </wp:positionH>
            <wp:positionV relativeFrom="paragraph">
              <wp:posOffset>14605</wp:posOffset>
            </wp:positionV>
            <wp:extent cx="3689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statement</w:t>
      </w:r>
    </w:p>
    <w:p>
      <w:pPr>
        <w:spacing w:after="0" w:line="135" w:lineRule="exact"/>
        <w:rPr>
          <w:sz w:val="20"/>
          <w:szCs w:val="20"/>
          <w:color w:val="auto"/>
        </w:rPr>
      </w:pPr>
    </w:p>
    <w:p>
      <w:pPr>
        <w:ind w:left="440" w:hanging="436"/>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statement has been prepared in accordance with accounting standards and policies which comply with Listing Rule 19.11A.</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w:t>
      </w:r>
      <w:r>
        <w:rPr>
          <w:rFonts w:ascii="Arial" w:cs="Arial" w:eastAsia="Arial" w:hAnsi="Arial"/>
          <w:sz w:val="16"/>
          <w:szCs w:val="16"/>
          <w:color w:val="auto"/>
        </w:rPr>
        <w:t>This statement gives a true and fair view of the matters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246380</wp:posOffset>
            </wp:positionV>
            <wp:extent cx="1252220" cy="274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522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Timothy Rooney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Administrative Officer and Interim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October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35" w:lineRule="exact"/>
        <w:rPr>
          <w:sz w:val="20"/>
          <w:szCs w:val="20"/>
          <w:color w:val="auto"/>
        </w:rPr>
      </w:pPr>
    </w:p>
    <w:p>
      <w:pPr>
        <w:jc w:val="both"/>
        <w:ind w:left="440" w:right="160" w:hanging="436"/>
        <w:spacing w:after="0" w:line="264" w:lineRule="auto"/>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quarterly report provides a basis for informing the market how the entity’s activities have been financed for the past quarter and the effect on its cash position. An entity that wishes to disclose additional information is encouraged to do so, in a note or notes included in or attached to this report.</w:t>
      </w:r>
    </w:p>
    <w:p>
      <w:pPr>
        <w:spacing w:after="0" w:line="86" w:lineRule="exact"/>
        <w:rPr>
          <w:rFonts w:ascii="Arial" w:cs="Arial" w:eastAsia="Arial" w:hAnsi="Arial"/>
          <w:sz w:val="18"/>
          <w:szCs w:val="18"/>
          <w:color w:val="auto"/>
        </w:rPr>
      </w:pPr>
    </w:p>
    <w:p>
      <w:pPr>
        <w:jc w:val="both"/>
        <w:ind w:left="440" w:right="240" w:hanging="436"/>
        <w:spacing w:after="0" w:line="286" w:lineRule="auto"/>
        <w:tabs>
          <w:tab w:leader="none" w:pos="4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If this quarterly report has been prepared in accordance with Australian Accounting Standards, the definitions in, and provisions of, </w:t>
      </w:r>
      <w:r>
        <w:rPr>
          <w:rFonts w:ascii="Arial" w:cs="Arial" w:eastAsia="Arial" w:hAnsi="Arial"/>
          <w:sz w:val="17"/>
          <w:szCs w:val="17"/>
          <w:i w:val="1"/>
          <w:iCs w:val="1"/>
          <w:color w:val="auto"/>
        </w:rPr>
        <w:t>AASB 107:</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Statement of Cash Flows </w:t>
      </w:r>
      <w:r>
        <w:rPr>
          <w:rFonts w:ascii="Arial" w:cs="Arial" w:eastAsia="Arial" w:hAnsi="Arial"/>
          <w:sz w:val="17"/>
          <w:szCs w:val="17"/>
          <w:color w:val="auto"/>
        </w:rPr>
        <w:t>apply to this report. If this quarterly report has been prepared in accordance with other accounting standards agreed by</w:t>
      </w:r>
      <w:r>
        <w:rPr>
          <w:rFonts w:ascii="Arial" w:cs="Arial" w:eastAsia="Arial" w:hAnsi="Arial"/>
          <w:sz w:val="17"/>
          <w:szCs w:val="17"/>
          <w:i w:val="1"/>
          <w:iCs w:val="1"/>
          <w:color w:val="auto"/>
        </w:rPr>
        <w:t xml:space="preserve"> </w:t>
      </w:r>
      <w:r>
        <w:rPr>
          <w:rFonts w:ascii="Arial" w:cs="Arial" w:eastAsia="Arial" w:hAnsi="Arial"/>
          <w:sz w:val="17"/>
          <w:szCs w:val="17"/>
          <w:color w:val="auto"/>
        </w:rPr>
        <w:t>ASX pursuant to Listing Rule 19.11A, the corresponding equivalent standard applies to this report.</w:t>
      </w:r>
    </w:p>
    <w:p>
      <w:pPr>
        <w:spacing w:after="0" w:line="70" w:lineRule="exact"/>
        <w:rPr>
          <w:rFonts w:ascii="Arial" w:cs="Arial" w:eastAsia="Arial" w:hAnsi="Arial"/>
          <w:sz w:val="17"/>
          <w:szCs w:val="17"/>
          <w:color w:val="auto"/>
        </w:rPr>
      </w:pPr>
    </w:p>
    <w:p>
      <w:pPr>
        <w:ind w:left="440" w:right="520" w:hanging="436"/>
        <w:spacing w:after="0" w:line="277" w:lineRule="auto"/>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Dividends received may be classified either as cash flows from operating activities or cash flows from investing activities, depending on the accounting policy of the entity.</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See chapter 19 for defined terms</w:t>
            </w:r>
          </w:p>
        </w:tc>
        <w:tc>
          <w:tcPr>
            <w:tcW w:w="4420" w:type="dxa"/>
            <w:vAlign w:val="bottom"/>
            <w:tcBorders>
              <w:top w:val="single" w:sz="8" w:color="auto"/>
            </w:tcBorders>
            <w:vMerge w:val="restart"/>
          </w:tcPr>
          <w:p>
            <w:pPr>
              <w:ind w:left="3920"/>
              <w:spacing w:after="0"/>
              <w:rPr>
                <w:sz w:val="20"/>
                <w:szCs w:val="20"/>
                <w:color w:val="auto"/>
              </w:rPr>
            </w:pPr>
            <w:r>
              <w:rPr>
                <w:rFonts w:ascii="Arial" w:cs="Arial" w:eastAsia="Arial" w:hAnsi="Arial"/>
                <w:sz w:val="18"/>
                <w:szCs w:val="18"/>
                <w:color w:val="auto"/>
                <w:w w:val="84"/>
              </w:rPr>
              <w:t>Page 5</w:t>
            </w:r>
          </w:p>
        </w:tc>
        <w:tc>
          <w:tcPr>
            <w:tcW w:w="0" w:type="dxa"/>
            <w:vAlign w:val="bottom"/>
          </w:tcPr>
          <w:p>
            <w:pPr>
              <w:spacing w:after="0"/>
              <w:rPr>
                <w:sz w:val="1"/>
                <w:szCs w:val="1"/>
                <w:color w:val="auto"/>
              </w:rPr>
            </w:pPr>
          </w:p>
        </w:tc>
      </w:tr>
      <w:tr>
        <w:trPr>
          <w:trHeight w:val="122"/>
        </w:trPr>
        <w:tc>
          <w:tcPr>
            <w:tcW w:w="6620" w:type="dxa"/>
            <w:vAlign w:val="bottom"/>
            <w:vMerge w:val="restart"/>
          </w:tcPr>
          <w:p>
            <w:pPr>
              <w:spacing w:after="0"/>
              <w:rPr>
                <w:sz w:val="20"/>
                <w:szCs w:val="20"/>
                <w:color w:val="auto"/>
              </w:rPr>
            </w:pPr>
            <w:r>
              <w:rPr>
                <w:rFonts w:ascii="Arial" w:cs="Arial" w:eastAsia="Arial" w:hAnsi="Arial"/>
                <w:sz w:val="18"/>
                <w:szCs w:val="18"/>
                <w:i w:val="1"/>
                <w:iCs w:val="1"/>
                <w:color w:val="auto"/>
              </w:rPr>
              <w:t>1   September 2016</w:t>
            </w:r>
          </w:p>
        </w:tc>
        <w:tc>
          <w:tcPr>
            <w:tcW w:w="4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620" w:type="dxa"/>
            <w:vAlign w:val="bottom"/>
            <w:vMerge w:val="continue"/>
          </w:tcPr>
          <w:p>
            <w:pPr>
              <w:spacing w:after="0"/>
              <w:rPr>
                <w:sz w:val="9"/>
                <w:szCs w:val="9"/>
                <w:color w:val="auto"/>
              </w:rPr>
            </w:pPr>
          </w:p>
        </w:tc>
        <w:tc>
          <w:tcPr>
            <w:tcW w:w="4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
      <w:numFmt w:val="bullet"/>
      <w:start w:val="1"/>
    </w:lvl>
  </w:abstractNum>
  <w:abstractNum w:abstractNumId="1">
    <w:nsid w:val="12200854"/>
    <w:multiLevelType w:val="hybridMultilevel"/>
    <w:lvl w:ilvl="0">
      <w:lvlJc w:val="left"/>
      <w:lvlText w:val="•"/>
      <w:numFmt w:val="bullet"/>
      <w:start w:val="1"/>
    </w:lvl>
    <w:lvl w:ilvl="1">
      <w:lvlJc w:val="left"/>
      <w:lvlText w:val="•"/>
      <w:numFmt w:val="bullet"/>
      <w:start w:val="1"/>
    </w:lvl>
  </w:abstractNum>
  <w:abstractNum w:abstractNumId="2">
    <w:nsid w:val="4DB127F8"/>
    <w:multiLevelType w:val="hybridMultilevel"/>
    <w:lvl w:ilvl="0">
      <w:lvlJc w:val="left"/>
      <w:lvlText w:val="•"/>
      <w:numFmt w:val="bullet"/>
      <w:start w:val="1"/>
    </w:lvl>
    <w:lvl w:ilvl="1">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i"/>
      <w:numFmt w:val="bullet"/>
      <w:start w:val="1"/>
    </w:lvl>
  </w:abstractNum>
  <w:abstractNum w:abstractNumId="5">
    <w:nsid w:val="1190CDE7"/>
    <w:multiLevelType w:val="hybridMultilevel"/>
    <w:lvl w:ilvl="0">
      <w:lvlJc w:val="left"/>
      <w:lvlText w:val="%1"/>
      <w:numFmt w:val="lowerRoman"/>
      <w:start w:val="2"/>
    </w:lvl>
  </w:abstractNum>
  <w:abstractNum w:abstractNumId="6">
    <w:nsid w:val="66EF438D"/>
    <w:multiLevelType w:val="hybridMultilevel"/>
    <w:lvl w:ilvl="0">
      <w:lvlJc w:val="left"/>
      <w:lvlText w:val="%1."/>
      <w:numFmt w:val="decimal"/>
      <w:start w:val="2"/>
    </w:lvl>
  </w:abstractNum>
  <w:abstractNum w:abstractNumId="7">
    <w:nsid w:val="140E0F76"/>
    <w:multiLevelType w:val="hybridMultilevel"/>
    <w:lvl w:ilvl="0">
      <w:lvlJc w:val="left"/>
      <w:lvlText w:val="%1."/>
      <w:numFmt w:val="decimal"/>
      <w:start w:val="3"/>
    </w:lvl>
  </w:abstractNum>
  <w:abstractNum w:abstractNumId="8">
    <w:nsid w:val="3352255A"/>
    <w:multiLevelType w:val="hybridMultilevel"/>
    <w:lvl w:ilvl="0">
      <w:lvlJc w:val="left"/>
      <w:lvlText w:val="%1."/>
      <w:numFmt w:val="decimal"/>
      <w:start w:val="4"/>
    </w:lvl>
  </w:abstractNum>
  <w:abstractNum w:abstractNumId="9">
    <w:nsid w:val="109CF92E"/>
    <w:multiLevelType w:val="hybridMultilevel"/>
    <w:lvl w:ilvl="0">
      <w:lvlJc w:val="left"/>
      <w:lvlText w:val="%1."/>
      <w:numFmt w:val="decimal"/>
      <w:start w:val="5"/>
    </w:lvl>
  </w:abstractNum>
  <w:abstractNum w:abstractNumId="10">
    <w:nsid w:val="DED7263"/>
    <w:multiLevelType w:val="hybridMultilevel"/>
    <w:lvl w:ilvl="0">
      <w:lvlJc w:val="left"/>
      <w:lvlText w:val="%1."/>
      <w:numFmt w:val="decimal"/>
      <w:start w:val="7"/>
    </w:lvl>
  </w:abstractNum>
  <w:abstractNum w:abstractNumId="11">
    <w:nsid w:val="7FDCC233"/>
    <w:multiLevelType w:val="hybridMultilevel"/>
    <w:lvl w:ilvl="0">
      <w:lvlJc w:val="left"/>
      <w:lvlText w:val="%1."/>
      <w:numFmt w:val="decimal"/>
      <w:start w:val="8"/>
    </w:lvl>
  </w:abstractNum>
  <w:abstractNum w:abstractNumId="12">
    <w:nsid w:val="1BEFD79F"/>
    <w:multiLevelType w:val="hybridMultilevel"/>
    <w:lvl w:ilvl="0">
      <w:lvlJc w:val="left"/>
      <w:lvlText w:val="%1."/>
      <w:numFmt w:val="decimal"/>
      <w:start w:val="9"/>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0"/>
    </w:lvl>
  </w:abstractNum>
  <w:abstractNum w:abstractNumId="15">
    <w:nsid w:val="4E6AFB66"/>
    <w:multiLevelType w:val="hybridMultilevel"/>
    <w:lvl w:ilvl="0">
      <w:lvlJc w:val="left"/>
      <w:lvlText w:val="1"/>
      <w:numFmt w:val="bullet"/>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2020-01-09T06:20:06Z</dcterms:created>
  <dcterms:modified xsi:type="dcterms:W3CDTF">2020-01-09T06:20:06Z</dcterms:modified>
</cp:coreProperties>
</file>