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June 30, 2020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1414780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428625</wp:posOffset>
            </wp:positionV>
            <wp:extent cx="1482725" cy="762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82725" cy="762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61"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61" w:orient="portrait"/>
          <w:cols w:equalWidth="0" w:num="2">
            <w:col w:w="7300" w:space="720"/>
            <w:col w:w="3120"/>
          </w:cols>
          <w:pgMar w:left="320" w:top="230" w:right="4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61" w:orient="portrait"/>
          <w:cols w:equalWidth="0" w:num="2">
            <w:col w:w="7180" w:space="720"/>
            <w:col w:w="3240"/>
          </w:cols>
          <w:pgMar w:left="320" w:top="230" w:right="439" w:bottom="0" w:gutter="0" w:footer="0" w:header="0"/>
          <w:type w:val="continuous"/>
        </w:sectPr>
      </w:pP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28159 Avenue Stanford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Suite 220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Valencia, CA 91355</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861" w:orient="portrait"/>
          <w:cols w:equalWidth="0" w:num="1">
            <w:col w:w="11140"/>
          </w:cols>
          <w:pgMar w:left="320" w:top="230" w:right="439" w:bottom="0" w:gutter="0" w:footer="0" w:header="0"/>
          <w:type w:val="continuous"/>
        </w:sectPr>
      </w:pPr>
    </w:p>
    <w:p>
      <w:pPr>
        <w:spacing w:after="0" w:line="21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(661) 367-9170</w:t>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61" w:orient="portrait"/>
          <w:cols w:equalWidth="0" w:num="1">
            <w:col w:w="11140"/>
          </w:cols>
          <w:pgMar w:left="320" w:top="230" w:right="439" w:bottom="0" w:gutter="0" w:footer="0" w:header="0"/>
          <w:type w:val="continuous"/>
        </w:sectPr>
      </w:pPr>
    </w:p>
    <w:p>
      <w:pPr>
        <w:spacing w:after="0" w:line="200" w:lineRule="exact"/>
        <w:rPr>
          <w:sz w:val="24"/>
          <w:szCs w:val="24"/>
          <w:color w:val="auto"/>
        </w:rPr>
      </w:pPr>
    </w:p>
    <w:p>
      <w:pPr>
        <w:spacing w:after="0" w:line="37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61" w:orient="portrait"/>
          <w:cols w:equalWidth="0" w:num="5">
            <w:col w:w="8560" w:space="180"/>
            <w:col w:w="260" w:space="80"/>
            <w:col w:w="160" w:space="200"/>
            <w:col w:w="200" w:space="100"/>
            <w:col w:w="1400"/>
          </w:cols>
          <w:pgMar w:left="320" w:top="230" w:right="439" w:bottom="0" w:gutter="0" w:footer="0" w:header="0"/>
          <w:type w:val="continuous"/>
        </w:sectPr>
      </w:pPr>
    </w:p>
    <w:p>
      <w:pPr>
        <w:spacing w:after="0" w:line="4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61" w:orient="portrait"/>
          <w:cols w:equalWidth="0" w:num="5">
            <w:col w:w="8720" w:space="160"/>
            <w:col w:w="280" w:space="80"/>
            <w:col w:w="160" w:space="180"/>
            <w:col w:w="220" w:space="140"/>
            <w:col w:w="1200"/>
          </w:cols>
          <w:pgMar w:left="320" w:top="230" w:right="439" w:bottom="0" w:gutter="0" w:footer="0" w:header="0"/>
          <w:type w:val="continuous"/>
        </w:sectPr>
      </w:pPr>
    </w:p>
    <w:p>
      <w:pPr>
        <w:spacing w:after="0" w:line="37"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ectPr>
          <w:pgSz w:w="11900" w:h="16861" w:orient="portrait"/>
          <w:cols w:equalWidth="0" w:num="1">
            <w:col w:w="11140"/>
          </w:cols>
          <w:pgMar w:left="320" w:top="230" w:right="439" w:bottom="0" w:gutter="0" w:footer="0" w:header="0"/>
          <w:type w:val="continuous"/>
        </w:sectPr>
      </w:pPr>
    </w:p>
    <w:bookmarkStart w:id="1" w:name="page2"/>
    <w:bookmarkEnd w:id="1"/>
    <w:p>
      <w:pPr>
        <w:spacing w:after="0" w:line="207" w:lineRule="exact"/>
        <w:tabs>
          <w:tab w:leader="none" w:pos="600" w:val="left"/>
          <w:tab w:leader="none" w:pos="130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was approximately $963,450,796 on December 31, 2019, using the closing price on that day of $45.5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$0.0001 par value common stock outstanding as of August 20, 2020 was 21,468,494.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84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2"/>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FORWARD LOOKING STATEMENTS</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8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1</w:t>
              </w:r>
            </w:hyperlink>
          </w:p>
        </w:tc>
        <w:tc>
          <w:tcPr>
            <w:tcW w:w="98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1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1B.</w:t>
            </w:r>
          </w:p>
        </w:tc>
        <w:tc>
          <w:tcPr>
            <w:tcW w:w="9840" w:type="dxa"/>
            <w:vAlign w:val="bottom"/>
          </w:tcPr>
          <w:p>
            <w:pPr>
              <w:ind w:left="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Unresolved Staff Comments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Properties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Mine Safety Disclosures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PART II</w:t>
              </w:r>
            </w:hyperlink>
          </w:p>
        </w:tc>
        <w:tc>
          <w:tcPr>
            <w:tcW w:w="98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tcPr>
          <w:p>
            <w:pPr>
              <w:ind w:left="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Selected Financial Data</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7.</w:t>
            </w:r>
          </w:p>
        </w:tc>
        <w:tc>
          <w:tcPr>
            <w:tcW w:w="9840" w:type="dxa"/>
            <w:vAlign w:val="bottom"/>
          </w:tcPr>
          <w:p>
            <w:pPr>
              <w:ind w:left="1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Management’s Discussion and Analysis of Financial Condition and Results of Operations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7A.</w:t>
            </w:r>
          </w:p>
        </w:tc>
        <w:tc>
          <w:tcPr>
            <w:tcW w:w="9840" w:type="dxa"/>
            <w:vAlign w:val="bottom"/>
          </w:tcPr>
          <w:p>
            <w:pPr>
              <w:ind w:left="1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Quantitative and Qualitative Disclosures About Market Risk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8.</w:t>
            </w:r>
          </w:p>
        </w:tc>
        <w:tc>
          <w:tcPr>
            <w:tcW w:w="9840" w:type="dxa"/>
            <w:vAlign w:val="bottom"/>
          </w:tcPr>
          <w:p>
            <w:pPr>
              <w:ind w:left="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Financial Statements and Supplementary Data</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9.</w:t>
            </w:r>
          </w:p>
        </w:tc>
        <w:tc>
          <w:tcPr>
            <w:tcW w:w="9840" w:type="dxa"/>
            <w:vAlign w:val="bottom"/>
          </w:tcPr>
          <w:p>
            <w:pPr>
              <w:ind w:left="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Changes in and Disagreements with Accountants on Accounting and Financial Disclosure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9A.</w:t>
            </w:r>
          </w:p>
        </w:tc>
        <w:tc>
          <w:tcPr>
            <w:tcW w:w="9840" w:type="dxa"/>
            <w:vAlign w:val="bottom"/>
          </w:tcPr>
          <w:p>
            <w:pPr>
              <w:ind w:left="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Controls and Procedures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9B.</w:t>
            </w:r>
          </w:p>
        </w:tc>
        <w:tc>
          <w:tcPr>
            <w:tcW w:w="9840" w:type="dxa"/>
            <w:vAlign w:val="bottom"/>
          </w:tcPr>
          <w:p>
            <w:pPr>
              <w:ind w:left="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Other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8"/>
        </w:trPr>
        <w:tc>
          <w:tcPr>
            <w:tcW w:w="82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PART III</w:t>
              </w:r>
            </w:hyperlink>
          </w:p>
        </w:tc>
        <w:tc>
          <w:tcPr>
            <w:tcW w:w="98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10.</w:t>
            </w:r>
          </w:p>
        </w:tc>
        <w:tc>
          <w:tcPr>
            <w:tcW w:w="9840" w:type="dxa"/>
            <w:vAlign w:val="bottom"/>
          </w:tcPr>
          <w:p>
            <w:pPr>
              <w:ind w:left="1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Directors, Executive Officers and Corporate Governance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11.</w:t>
            </w:r>
          </w:p>
        </w:tc>
        <w:tc>
          <w:tcPr>
            <w:tcW w:w="9840" w:type="dxa"/>
            <w:vAlign w:val="bottom"/>
          </w:tcPr>
          <w:p>
            <w:pPr>
              <w:ind w:left="1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Executive Compensation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12.</w:t>
            </w:r>
          </w:p>
        </w:tc>
        <w:tc>
          <w:tcPr>
            <w:tcW w:w="9840" w:type="dxa"/>
            <w:vAlign w:val="bottom"/>
          </w:tcPr>
          <w:p>
            <w:pPr>
              <w:ind w:left="1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Security Ownership of Certain Beneficial Owners and Management and Related Stockholder Matters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13.</w:t>
            </w:r>
          </w:p>
        </w:tc>
        <w:tc>
          <w:tcPr>
            <w:tcW w:w="9840" w:type="dxa"/>
            <w:vAlign w:val="bottom"/>
          </w:tcPr>
          <w:p>
            <w:pPr>
              <w:ind w:left="1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Certain Relationships and Related Party Transactions, and Director Independence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14.</w:t>
            </w:r>
          </w:p>
        </w:tc>
        <w:tc>
          <w:tcPr>
            <w:tcW w:w="9840" w:type="dxa"/>
            <w:vAlign w:val="bottom"/>
          </w:tcPr>
          <w:p>
            <w:pPr>
              <w:ind w:left="1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Principal Accounting Fees and Services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8"/>
        </w:trPr>
        <w:tc>
          <w:tcPr>
            <w:tcW w:w="82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PART IV</w:t>
              </w:r>
            </w:hyperlink>
          </w:p>
        </w:tc>
        <w:tc>
          <w:tcPr>
            <w:tcW w:w="98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Item 15.</w:t>
            </w:r>
          </w:p>
        </w:tc>
        <w:tc>
          <w:tcPr>
            <w:tcW w:w="9840" w:type="dxa"/>
            <w:vAlign w:val="bottom"/>
          </w:tcPr>
          <w:p>
            <w:pPr>
              <w:ind w:left="1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Exhibits, Financial Statement and Schedules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16.</w:t>
            </w:r>
          </w:p>
        </w:tc>
        <w:tc>
          <w:tcPr>
            <w:tcW w:w="9840" w:type="dxa"/>
            <w:vAlign w:val="bottom"/>
          </w:tcPr>
          <w:p>
            <w:pPr>
              <w:ind w:left="1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Form 10-K Summary</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32"/>
        </w:trPr>
        <w:tc>
          <w:tcPr>
            <w:tcW w:w="1066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SIGNATURES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64"/>
        </w:trPr>
        <w:tc>
          <w:tcPr>
            <w:tcW w:w="820" w:type="dxa"/>
            <w:vAlign w:val="bottom"/>
          </w:tcPr>
          <w:p>
            <w:pPr>
              <w:spacing w:after="0"/>
              <w:rPr>
                <w:sz w:val="24"/>
                <w:szCs w:val="24"/>
                <w:color w:val="auto"/>
              </w:rPr>
            </w:pPr>
          </w:p>
        </w:tc>
        <w:tc>
          <w:tcPr>
            <w:tcW w:w="9840" w:type="dxa"/>
            <w:vAlign w:val="bottom"/>
          </w:tcPr>
          <w:p>
            <w:pPr>
              <w:ind w:left="466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i w:val="1"/>
          <w:iCs w:val="1"/>
          <w:color w:val="auto"/>
        </w:rPr>
        <w:t>This Annual Report on Form 10-K (this “Annual Report”) and our other public filings contain forward-looking statements within the meaning of the Private Securities Litigation Reform Act of 1995. Forward-looking statements give expectations or forecasts of future events. Forward-looking statements can sometimes, but not always, be identified by words such as “believe,” “expect,” “anticipate,” “estimate,” “project,” “plan,” “should,” “intend,” “may,” “will,” “would,” “potential” and similar expressions to future periods. Forward-looking statements are not based on historical facts but rather represent current expectations and assumptions. Forward-looking statements include statements we make about matters such as: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future employment and contributions of personnel; effects on the global economy of the COVID-19 virus; tax and interest rates; productivity, business process, rationalization, investment, acquisition and acquisition integrations, consulting, operational, tax, financial and capital projects and initiatives; changes in the legal or regulatory environment; and future working capital, costs, revenues, business opportunities, cash flows, margins, earnings and growth.</w:t>
      </w:r>
    </w:p>
    <w:p>
      <w:pPr>
        <w:spacing w:after="0" w:line="17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i w:val="1"/>
          <w:iCs w:val="1"/>
          <w:color w:val="auto"/>
        </w:rPr>
        <w:t>Forward-looking statements relate to the future and are subject to many risks, assumptions and uncertainties, including those risks set forth in this Annual Report in Part I, Item IA Risk Factors and elsewhere. Although we believe the expectations reflected in the forward-looking statements are reasonable, actual results, developments and business decisions could differ materially from those contemplated by such forward-looking statements. The environment in which we operate is highly competitive, highly regulated and rapidly changing and it is not possible for our management to predict all risks, as new risks emerge from time to time.</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All subsequent written and oral forward-looking statements by or attributable to us or persons acting on our behalf are expressly qualified in their entirety by these factors. We undertake no obligation to publicly update or revise any forward-looking statements whether as a result of new information, future developments or otherwise, except as may be required by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In this Annual Report, all references to “dollars” or “$” are to the currency of the United States, and all references to “Australian dollars”, “A$” or “AUD$” are to the currency of Australia.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Redomicile Share Exchange</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On June 29, 2020, we completed a redomicile transaction (“</w:t>
      </w:r>
      <w:r>
        <w:rPr>
          <w:rFonts w:ascii="Arial" w:cs="Arial" w:eastAsia="Arial" w:hAnsi="Arial"/>
          <w:sz w:val="17"/>
          <w:szCs w:val="17"/>
          <w:b w:val="1"/>
          <w:bCs w:val="1"/>
          <w:color w:val="auto"/>
        </w:rPr>
        <w:t>Redomicle Transaction</w:t>
      </w:r>
      <w:r>
        <w:rPr>
          <w:rFonts w:ascii="Arial" w:cs="Arial" w:eastAsia="Arial" w:hAnsi="Arial"/>
          <w:sz w:val="17"/>
          <w:szCs w:val="17"/>
          <w:color w:val="auto"/>
        </w:rPr>
        <w:t>”), as a result of which the location of incorporation of the parent of the AVITA Group (as defined herein) was moved from Australia to the State of Delaware. On the effective date of the Redomicile Transaction, all of the issued and outstanding ordinary shares of AVITA Medical Limited (AVITA Medical), the former parent of the AVITA Group and the predecessor entity of AVITA Therapeutics, Inc. (“</w:t>
      </w:r>
      <w:r>
        <w:rPr>
          <w:rFonts w:ascii="Arial" w:cs="Arial" w:eastAsia="Arial" w:hAnsi="Arial"/>
          <w:sz w:val="17"/>
          <w:szCs w:val="17"/>
          <w:b w:val="1"/>
          <w:bCs w:val="1"/>
          <w:color w:val="auto"/>
        </w:rPr>
        <w:t>AVITA Therapeutics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were exchanged for newly issued shares of common stock of the Company, on the basis of one share of the Company’s common stock for every 100 ordinary shares of AVITA Medical. Holders of Avita Medical’s American Depository Shares (“</w:t>
      </w:r>
      <w:r>
        <w:rPr>
          <w:rFonts w:ascii="Arial" w:cs="Arial" w:eastAsia="Arial" w:hAnsi="Arial"/>
          <w:sz w:val="17"/>
          <w:szCs w:val="17"/>
          <w:b w:val="1"/>
          <w:bCs w:val="1"/>
          <w:color w:val="auto"/>
        </w:rPr>
        <w:t>ADSs</w:t>
      </w:r>
      <w:r>
        <w:rPr>
          <w:rFonts w:ascii="Arial" w:cs="Arial" w:eastAsia="Arial" w:hAnsi="Arial"/>
          <w:sz w:val="17"/>
          <w:szCs w:val="17"/>
          <w:color w:val="auto"/>
        </w:rPr>
        <w:t>”) (each of which represented 20 ordinary shares of AVITA Medical) received one share of the Company’s common stock for every five ADSs held. Pursuant to the Redomicile Transaction, we are the successor issuer to AVITA Medical as provided by Rule 12g-3(a) of the Securities Exchange Act of 1934, as amended (the “Exchange Act”).</w:t>
      </w:r>
    </w:p>
    <w:p>
      <w:pPr>
        <w:spacing w:after="0" w:line="17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All share and per share information in this Annual Report have been retroactively adjusted to reflect the effect of the Redomicile Transaction for all periods presented, unless otherwise indicated.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left="120" w:right="120"/>
        <w:spacing w:after="0" w:line="274" w:lineRule="auto"/>
        <w:rPr>
          <w:sz w:val="20"/>
          <w:szCs w:val="20"/>
          <w:color w:val="auto"/>
        </w:rPr>
      </w:pPr>
      <w:r>
        <w:rPr>
          <w:rFonts w:ascii="Arial" w:cs="Arial" w:eastAsia="Arial" w:hAnsi="Arial"/>
          <w:sz w:val="17"/>
          <w:szCs w:val="17"/>
          <w:color w:val="auto"/>
        </w:rPr>
        <w:t>The AVITA group of companies (comprising AVITA Therapeutics, Inc. (“</w:t>
      </w:r>
      <w:r>
        <w:rPr>
          <w:rFonts w:ascii="Arial" w:cs="Arial" w:eastAsia="Arial" w:hAnsi="Arial"/>
          <w:sz w:val="17"/>
          <w:szCs w:val="17"/>
          <w:b w:val="1"/>
          <w:bCs w:val="1"/>
          <w:color w:val="auto"/>
        </w:rPr>
        <w:t>AVITA Therapeutics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its subsidiaries, including AVITA Medical Limited (“</w:t>
      </w:r>
      <w:r>
        <w:rPr>
          <w:rFonts w:ascii="Arial" w:cs="Arial" w:eastAsia="Arial" w:hAnsi="Arial"/>
          <w:sz w:val="17"/>
          <w:szCs w:val="17"/>
          <w:b w:val="1"/>
          <w:bCs w:val="1"/>
          <w:color w:val="auto"/>
        </w:rPr>
        <w:t>AVITA Medical</w:t>
      </w:r>
      <w:r>
        <w:rPr>
          <w:rFonts w:ascii="Arial" w:cs="Arial" w:eastAsia="Arial" w:hAnsi="Arial"/>
          <w:sz w:val="17"/>
          <w:szCs w:val="17"/>
          <w:color w:val="auto"/>
        </w:rPr>
        <w:t>”)) (collectively, “</w:t>
      </w:r>
      <w:r>
        <w:rPr>
          <w:rFonts w:ascii="Arial" w:cs="Arial" w:eastAsia="Arial" w:hAnsi="Arial"/>
          <w:sz w:val="17"/>
          <w:szCs w:val="17"/>
          <w:b w:val="1"/>
          <w:bCs w:val="1"/>
          <w:color w:val="auto"/>
        </w:rPr>
        <w:t>AVITA Group</w:t>
      </w:r>
      <w:r>
        <w:rPr>
          <w:rFonts w:ascii="Arial" w:cs="Arial" w:eastAsia="Arial" w:hAnsi="Arial"/>
          <w:sz w:val="17"/>
          <w:szCs w:val="17"/>
          <w:color w:val="auto"/>
        </w:rPr>
        <w:t>” or “we”, “us”, or “our”) is a regenerative medicine group with a technology platform positioned to address unmet medical needs in burn injuries, trauma injuries, chronic wounds, and dermatological and aesthetics indications, including vitiligo. Our patented and proprietary platform technology provides innovative treatment solutions derived from the regenerative properties of a patient’s own skin. Our medical device works by preparing Spray-On Skin</w:t>
      </w:r>
      <w:r>
        <w:rPr>
          <w:rFonts w:ascii="Arial" w:cs="Arial" w:eastAsia="Arial" w:hAnsi="Arial"/>
          <w:sz w:val="14"/>
          <w:szCs w:val="14"/>
          <w:color w:val="auto"/>
        </w:rPr>
        <w:t>™</w:t>
      </w:r>
      <w:r>
        <w:rPr>
          <w:rFonts w:ascii="Arial" w:cs="Arial" w:eastAsia="Arial" w:hAnsi="Arial"/>
          <w:sz w:val="17"/>
          <w:szCs w:val="17"/>
          <w:color w:val="auto"/>
        </w:rPr>
        <w:t xml:space="preserve"> Cells, an autologous cellular suspension comprised of the patient’s skin cells, which is then sprayed on the patient in order to regenerate natural healthy epidermis.</w:t>
      </w:r>
    </w:p>
    <w:p>
      <w:pPr>
        <w:spacing w:after="0" w:line="173"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first United States (“</w:t>
      </w:r>
      <w:r>
        <w:rPr>
          <w:rFonts w:ascii="Arial" w:cs="Arial" w:eastAsia="Arial" w:hAnsi="Arial"/>
          <w:sz w:val="16"/>
          <w:szCs w:val="16"/>
          <w:b w:val="1"/>
          <w:bCs w:val="1"/>
          <w:color w:val="auto"/>
        </w:rPr>
        <w:t>U.S.</w:t>
      </w:r>
      <w:r>
        <w:rPr>
          <w:rFonts w:ascii="Arial" w:cs="Arial" w:eastAsia="Arial" w:hAnsi="Arial"/>
          <w:sz w:val="16"/>
          <w:szCs w:val="16"/>
          <w:color w:val="auto"/>
        </w:rPr>
        <w:t>”)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in September 2018 for the treatment of acute thermal burn injuries in patients 18 years and older. 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transplants”, known as split-thickness skin autografts, depending on the depth of the burn injury. The pivotal studies leading to the RECELL System’s FDA premarket approval (“</w:t>
      </w:r>
      <w:r>
        <w:rPr>
          <w:rFonts w:ascii="Arial" w:cs="Arial" w:eastAsia="Arial" w:hAnsi="Arial"/>
          <w:sz w:val="16"/>
          <w:szCs w:val="16"/>
          <w:b w:val="1"/>
          <w:bCs w:val="1"/>
          <w:color w:val="auto"/>
        </w:rPr>
        <w:t>PMA</w:t>
      </w:r>
      <w:r>
        <w:rPr>
          <w:rFonts w:ascii="Arial" w:cs="Arial" w:eastAsia="Arial" w:hAnsi="Arial"/>
          <w:sz w:val="16"/>
          <w:szCs w:val="16"/>
          <w:color w:val="auto"/>
        </w:rPr>
        <w:t>”)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compelling data from prospective,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Following receipt of our PMA, we commenced commercializing the RECELL System in January 2019 in the U.S., and we expect the dominant focus of our commercial efforts to be directed towards the U.S. market going forward.</w:t>
      </w:r>
    </w:p>
    <w:p>
      <w:pPr>
        <w:spacing w:after="0" w:line="166" w:lineRule="exact"/>
        <w:rPr>
          <w:sz w:val="20"/>
          <w:szCs w:val="20"/>
          <w:color w:val="auto"/>
        </w:rPr>
      </w:pPr>
    </w:p>
    <w:p>
      <w:pPr>
        <w:jc w:val="both"/>
        <w:ind w:left="120" w:right="180"/>
        <w:spacing w:after="0" w:line="266" w:lineRule="auto"/>
        <w:rPr>
          <w:sz w:val="20"/>
          <w:szCs w:val="20"/>
          <w:color w:val="auto"/>
        </w:rPr>
      </w:pPr>
      <w:r>
        <w:rPr>
          <w:rFonts w:ascii="Arial" w:cs="Arial" w:eastAsia="Arial" w:hAnsi="Arial"/>
          <w:sz w:val="18"/>
          <w:szCs w:val="18"/>
          <w:color w:val="auto"/>
        </w:rPr>
        <w:t>The RECELL System is Therapeutic Goods Administration (“</w:t>
      </w:r>
      <w:r>
        <w:rPr>
          <w:rFonts w:ascii="Arial" w:cs="Arial" w:eastAsia="Arial" w:hAnsi="Arial"/>
          <w:sz w:val="18"/>
          <w:szCs w:val="18"/>
          <w:b w:val="1"/>
          <w:bCs w:val="1"/>
          <w:color w:val="auto"/>
        </w:rPr>
        <w:t>TGA</w:t>
      </w:r>
      <w:r>
        <w:rPr>
          <w:rFonts w:ascii="Arial" w:cs="Arial" w:eastAsia="Arial" w:hAnsi="Arial"/>
          <w:sz w:val="18"/>
          <w:szCs w:val="18"/>
          <w:color w:val="auto"/>
        </w:rPr>
        <w:t>”)-registered in Australia cleared for use in the treatment of burns, acute wounds, scars and repigmentation (vitiligo). In Europe, the RECELL System received CE-mark approval for the treatment of burns, chronic wounds, scars and vitiligo.</w:t>
      </w:r>
    </w:p>
    <w:p>
      <w:pPr>
        <w:spacing w:after="0" w:line="18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website address is www.avitamedical.com. Information contained on our website is not part of or incorporated into this report. We make our periodic reports, together with any amendments, available on our website, free of charge, as soon as reasonably practicable after we electronically file or furnish the reports with the Securities and Exchange Commission, or SEC or with the Australian Securities Exchange, or ASX. The SEC maintains an internet site, www.sec.gov, which contains reports, proxy and information statements, and other information regarding issuers that file electronically with the SEC. Copies of announcements made by the Company to the ASX are available on ASX’s website (www.asx.com.au).</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AVITA Therapeutics, a Delaware corporation, was originally formed in April 2020. The former parent company of the AVITA Group, AVITA Medical , was formed under the laws of the Commonwealth of Australia in December of 1992, and has operated as AVITA Medical since 2008. AVITA Medical’s ordinary shares originally began trading in Australia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on August 9, 1993. AVITA Medical’s ordinary shares, in the form of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began trading on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on October 1, 2019 under the ticker symbol “RCEL”.</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With effect from June 29, 2020, a statutory scheme of arrangement was implemented under Australian law to change the domicile of the AVITA Group from Australia to the U.S.. Under the scheme of arrangement, AVITA Therapeutics, being a company incorporated in the State of Delaware in the U.S., became the new parent company of the AVITA Group, and all ordinary shares in AVITA Medical (including ordinary shares represented by ADSs) held by securityholders were exchanged for shares of common stock or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As a result, the existing listing of AVITA Medical on the ASX (as its primary listing) and on NASDAQ (as its secondary listing) was inverted and replaced with a new listing of AVITA Therapeutics on NASDAQ (as its primary listing) under the existing ticker symbol, “RCEL”, and on the ASX (as its secondary listing) under the existing ticker symbol, “AVH”. AVITA Therapeutics’ shares of common stock trade on NASDAQ and its CDIs trade on ASX (with five CDIs trading on ASX representing one share of common stock on NASDAQ).</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Markets and Limitations of Standard of Care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Acute Thermal Burns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Acute thermal burns are life-threatening and debilitating injuries that are among the most challenging and expensive traumatic injuries to manage. These injuries require complex surgical procedures, long and costly hospitalization, potential for clinical complications, rehabilitation and scar treatment. In the U.S., the largest market for the treatment of burns, approximately 486,000 people, seek treatment for burns each year. Of these, at least 40,000 have burn injuries severe enough to require hospital admission, and it is estimated that 3,300 die each year. The majority of patients treated on an in-patient basis in the U.S. are treated in specialized burn centers. Countries outside the U.S. are smaller, disaggregated, markets for the treatment of burns and thus we do not devote significant commercial resources to those countries.</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severity of the burn injury is generally assessed based on the area burned, and the depth of the injury. The area of the patient’s burn injury is typically described in terms of percent of total body surface area, or “TBSA.” For example, a burn covering an average sized adult arm (circumferential) would be roughly 9% TBSA, while a burn covering an entire leg (circumferential) would be roughly 18% TBSA. The depth of the burn, referred to in terms of “degree” is generally classified into four categories:</w:t>
      </w:r>
    </w:p>
    <w:p>
      <w:pPr>
        <w:spacing w:after="0" w:line="92" w:lineRule="exact"/>
        <w:rPr>
          <w:sz w:val="20"/>
          <w:szCs w:val="20"/>
          <w:color w:val="auto"/>
        </w:rPr>
      </w:pPr>
    </w:p>
    <w:p>
      <w:pPr>
        <w:ind w:left="1080" w:right="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First-degree or superficial burns: Burns that do not penetrate through the outer layer of the skin, known as the epidermis, and typically heal naturally (e.g. severe sunburn).</w:t>
      </w:r>
    </w:p>
    <w:p>
      <w:pPr>
        <w:spacing w:after="0" w:line="75"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Second-degree or partial-thickness burns: Characterized by extending through the epidermis and including varying amounts of damage to the underlying dermis. This type of burn can further be subdivided into superficial dermal, mid-dermal and deep partial-thickness burns.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Third-degree or full-thickness burns: Characterized by injury to the entire dermal tissue down to the subcutaneous fat.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Fourth-degree burns: Such burns extend beyond the subcutaneous fat tissue into the underlying structures, such as muscle or bone.</w:t>
      </w:r>
    </w:p>
    <w:p>
      <w:pPr>
        <w:spacing w:after="0" w:line="23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Burn treatment is determined in large by the area and depth of the injury. Deeper (e.g., deep partial-thickness) burns are commonly treated with autologous split-thickness skin grafts (“</w:t>
      </w:r>
      <w:r>
        <w:rPr>
          <w:rFonts w:ascii="Arial" w:cs="Arial" w:eastAsia="Arial" w:hAnsi="Arial"/>
          <w:sz w:val="16"/>
          <w:szCs w:val="16"/>
          <w:b w:val="1"/>
          <w:bCs w:val="1"/>
          <w:color w:val="auto"/>
        </w:rPr>
        <w:t>STSGs</w:t>
      </w:r>
      <w:r>
        <w:rPr>
          <w:rFonts w:ascii="Arial" w:cs="Arial" w:eastAsia="Arial" w:hAnsi="Arial"/>
          <w:sz w:val="16"/>
          <w:szCs w:val="16"/>
          <w:color w:val="auto"/>
        </w:rPr>
        <w:t>”) to achieve definitive closure of the burn wound. In a STSG, or autograft, donor skin is harvested from a healthy area of the patient using a device called a dermatome as detailed in the pictures below. The donor skin is then typically perforated into a mesh-like structure that can be expanded and transferred to the burn injury that has been prepared to remove all pre-existing necrotic or infected tissue.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Harvesting of Donor Skin for Use in Autografting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171450</wp:posOffset>
            </wp:positionV>
            <wp:extent cx="6060440" cy="1731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044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Treatment with STSG generates additional trauma for the patient due to the creation of a new wound via the harvesting of healthy donor skin. Although the use of STSG has been a standard treatment for more than 50 years, autografting is associated with significant pain, itching, infection, dyschromia, dyspigmentation, delayed healing, and hypertrophic scarring of the donor site.</w:t>
      </w:r>
    </w:p>
    <w:p>
      <w:pPr>
        <w:spacing w:after="0" w:line="184"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The clinical benefits of earlier intervention for burn wounds are well recognized and include increased survival, reduced hospital length of stay, decreased pain duration, and reduced infection-related complications. However, in large TBSA injuries, the patient may not have enough donor skin available to allow for immediate treatment of the entire area of burn injury with traditional grafting techniques. The lack of available healthy donor skin in patients with high TBSA burn injuries is often the central problem impacting time to autografting and definitive closure of the wounds. In severely burned patients, doctors often must wait until the donor sites have healed so that they can reharvest from the site, resulting in delays in treatment and healing, requiring multiple procedures and extended hospital time. While waiting for donor skin the burn wounds may be temporarily covered by allogeneic skin graft, for example allograft (cadaver skin) or xenograft (typically pig skin). The overall cost of treatment with STSG is expensive, for example it would cost approximately $579,000 and require 59.4 days in hospital for a patient with a 40% TBSA mixed or full-thickness burn.</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To address the limitations associated with high TBSA injuries, notably lack of donor skin available for harvest, researchers have developed alternatives such as cultured epidermal autografts (“</w:t>
      </w:r>
      <w:r>
        <w:rPr>
          <w:rFonts w:ascii="Arial" w:cs="Arial" w:eastAsia="Arial" w:hAnsi="Arial"/>
          <w:sz w:val="18"/>
          <w:szCs w:val="18"/>
          <w:b w:val="1"/>
          <w:bCs w:val="1"/>
          <w:color w:val="auto"/>
        </w:rPr>
        <w:t>CEA</w:t>
      </w:r>
      <w:r>
        <w:rPr>
          <w:rFonts w:ascii="Arial" w:cs="Arial" w:eastAsia="Arial" w:hAnsi="Arial"/>
          <w:sz w:val="18"/>
          <w:szCs w:val="18"/>
          <w:color w:val="auto"/>
        </w:rPr>
        <w:t>”) in which a full-thickness skin biopsy is taken from a patient and the cells are grown into sheets of skin in a laboratory and then returned for autografting onto the patient. Limitations associated with CEAs, including Epicel</w:t>
      </w:r>
      <w:r>
        <w:rPr>
          <w:rFonts w:ascii="Arial" w:cs="Arial" w:eastAsia="Arial" w:hAnsi="Arial"/>
          <w:sz w:val="15"/>
          <w:szCs w:val="15"/>
          <w:color w:val="auto"/>
        </w:rPr>
        <w:t>®</w:t>
      </w:r>
      <w:r>
        <w:rPr>
          <w:rFonts w:ascii="Arial" w:cs="Arial" w:eastAsia="Arial" w:hAnsi="Arial"/>
          <w:sz w:val="18"/>
          <w:szCs w:val="18"/>
          <w:color w:val="auto"/>
        </w:rPr>
        <w:t xml:space="preserve"> from Vericel Corporation, includes the time it takes to grow the sheets of skin (approximately three weeks), the lack of melanocytes that provide pigmentation, and the high cost. As a result, CEAs have been lifesaving in patients hospitalized with very severe large surface area burns where there is often no other alternative for treatment.</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Trauma Wounds (Soft Tissue Injuries)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Trauma wounds or soft tissue injuries include abrasions, lacerations, punctures, gunshot wounds, crush wounds, and degloving. These injuries may be caused by trauma, infectious disease, or even surgery itself. Similar to burns, soft tissue repair is associated with areas of skin loss. While minor skin defects may be primarily closed with standard wound care, larger open defects often require more complicated approaches including use of skin grafts, tissue flaps or dermal matrices. Open wounds associated with traumatic injuries caused 4.5 million hospital visits in the United States in 2017 and are therefore the largest opportunity for the RECELL System.</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believe that the RECELL System will have clinical applications beyond skin graft patients, particularly for the treatment of open wounds greater than 5% TBSA. Relevantly, patients treated for open wounds are often treated in trauma centers in hospitals by plastic surgeons. Approximately half of the surgeons treating patients with severe burns requiring autografting in the United States also treat trauma patients requiring autografting. Soft tissue injuries also utilize the same treatment protocol as burns and the RECELL System has already demonstrated positive outcomes in soft tissue repair both in the United States, and internationally. We believe the soft tissue injury market is highly complementary to our existing commercialization efforts related to the United States burn market.</w:t>
      </w:r>
    </w:p>
    <w:p>
      <w:pPr>
        <w:spacing w:after="0" w:line="188" w:lineRule="exact"/>
        <w:rPr>
          <w:sz w:val="20"/>
          <w:szCs w:val="20"/>
          <w:color w:val="auto"/>
        </w:rPr>
      </w:pPr>
    </w:p>
    <w:p>
      <w:pPr>
        <w:ind w:left="120" w:right="80"/>
        <w:spacing w:after="0" w:line="261" w:lineRule="auto"/>
        <w:rPr>
          <w:sz w:val="20"/>
          <w:szCs w:val="20"/>
          <w:color w:val="auto"/>
        </w:rPr>
      </w:pPr>
      <w:r>
        <w:rPr>
          <w:rFonts w:ascii="Arial" w:cs="Arial" w:eastAsia="Arial" w:hAnsi="Arial"/>
          <w:sz w:val="18"/>
          <w:szCs w:val="18"/>
          <w:color w:val="auto"/>
        </w:rPr>
        <w:t>On October 30, 2019, the FDA approved the Company’s Investigational Device Exemption (“</w:t>
      </w:r>
      <w:r>
        <w:rPr>
          <w:rFonts w:ascii="Arial" w:cs="Arial" w:eastAsia="Arial" w:hAnsi="Arial"/>
          <w:sz w:val="18"/>
          <w:szCs w:val="18"/>
          <w:b w:val="1"/>
          <w:bCs w:val="1"/>
          <w:color w:val="auto"/>
        </w:rPr>
        <w:t>IDE</w:t>
      </w:r>
      <w:r>
        <w:rPr>
          <w:rFonts w:ascii="Arial" w:cs="Arial" w:eastAsia="Arial" w:hAnsi="Arial"/>
          <w:sz w:val="18"/>
          <w:szCs w:val="18"/>
          <w:color w:val="auto"/>
        </w:rPr>
        <w:t>”) application to conduct a pivotal trial evaluating the safety and effectiveness of the RECELL System in combination with meshed autografting for the treatment of acute full-thickness skin defects, such as degloving (a type of injury where the skin is ripped from the underlying tissue), crush wounds (a break in the external surface of the body), abrasions, lacerations, and surgical wounds.</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March 2, 2020 and, pursuant to the abovementioned IDE, we initiated a prospective, multi-center, randomized controlled study to compare the clinical performance of conventional skin grafting with and without the use of the RECELL System on acute non-burn full-thickness skin defects. Each patient will have a control wound treated with conventional skin grafting and a wound treated with expanded skin grafting in combination with the RECELL System. The study’s two primary effectiveness endpoints are:</w:t>
      </w:r>
    </w:p>
    <w:p>
      <w:pPr>
        <w:spacing w:after="0" w:line="9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Incidence of healing by eight weeks post treatment.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Donor skin sparing, evaluated by comparing the ratios of donor skin required to treat the wounds.</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Healing will be evaluated by a qualified clinician blinded to the treatment allocation. Additional long-term safety and effectiveness data collected over the course of the study will include blinded evaluation of scar outcomes and patient treatment preference.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Vitiligo and Other Dermatological Indications</w:t>
      </w:r>
    </w:p>
    <w:p>
      <w:pPr>
        <w:spacing w:after="0" w:line="11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Vitiligo is a disease that causes the loss of skin pigmentation or color in patches which tend to increase in size over time. The extent and rate of color loss from vitiligo is unpredictable, can affect the skin on any part of the body, and may also affect hair and the inside of the mouth. Non-segmental vitiligo is the most common variant and impacts the majority of patients and is characterized by symmetrical patches that appear on both sides of the body, such as on hands and knees.</w:t>
      </w:r>
    </w:p>
    <w:p>
      <w:pPr>
        <w:spacing w:after="0" w:line="18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The condition is not life-threatening or physically painful but can significantly alter physical appearance, have negative emotional and psychological consequences, and impair quality of life.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Vitiligo cannot be cured at present, and medical treatments generally fall into one of two categories:</w:t>
      </w:r>
    </w:p>
    <w:p>
      <w:pPr>
        <w:spacing w:after="0" w:line="131" w:lineRule="exact"/>
        <w:rPr>
          <w:sz w:val="20"/>
          <w:szCs w:val="20"/>
          <w:color w:val="auto"/>
        </w:rPr>
      </w:pPr>
    </w:p>
    <w:p>
      <w:pPr>
        <w:ind w:left="1080" w:right="12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Treatments to arrest the spread of vitiligo, such as steroid creams and non-steroidal anti-inflammatory creams. There are also a number of therapies under development designed to target the underlying autoimmune disease. One challenge in terms of achieving the desired patient outcome is that stopping the spread of vitiligo may not restore pigmentation to the areas already damaged.</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Treatments to restore pigmentation including makeup and coverups, dermabrasion, laser, phototherapy combinations, and autografts.</w:t>
      </w:r>
    </w:p>
    <w:p>
      <w:pPr>
        <w:spacing w:after="0" w:line="24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Survey results reveal a low level of patient satisfaction with current treatment options. The majority of vitiligo patients in the United States are treated by dermatologists. It is estimated that worldwide vitiligo prevalence is between 0.5-2% of the population. China accounts for the highest population of vitiligo patients with an estimated 12.5 million cases, followed by the United States with 6.5 million cases, the European Union (“</w:t>
      </w:r>
      <w:r>
        <w:rPr>
          <w:rFonts w:ascii="Arial" w:cs="Arial" w:eastAsia="Arial" w:hAnsi="Arial"/>
          <w:sz w:val="18"/>
          <w:szCs w:val="18"/>
          <w:b w:val="1"/>
          <w:bCs w:val="1"/>
          <w:color w:val="auto"/>
        </w:rPr>
        <w:t>EU</w:t>
      </w:r>
      <w:r>
        <w:rPr>
          <w:rFonts w:ascii="Arial" w:cs="Arial" w:eastAsia="Arial" w:hAnsi="Arial"/>
          <w:sz w:val="18"/>
          <w:szCs w:val="18"/>
          <w:color w:val="auto"/>
        </w:rPr>
        <w:t>”) with 5.3 million, and Japan with 2 million.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On December 23, 2019, the FDA approved our IDE application to conduct a </w:t>
      </w:r>
      <w:r>
        <w:rPr>
          <w:rFonts w:ascii="Arial" w:cs="Arial" w:eastAsia="Arial" w:hAnsi="Arial"/>
          <w:sz w:val="16"/>
          <w:szCs w:val="16"/>
          <w:u w:val="single" w:color="auto"/>
          <w:color w:val="auto"/>
        </w:rPr>
        <w:t>feasibility</w:t>
      </w:r>
      <w:r>
        <w:rPr>
          <w:rFonts w:ascii="Arial" w:cs="Arial" w:eastAsia="Arial" w:hAnsi="Arial"/>
          <w:sz w:val="16"/>
          <w:szCs w:val="16"/>
          <w:color w:val="auto"/>
        </w:rPr>
        <w:t xml:space="preserve"> study evaluating the safety and effectiveness of the RECELL System for repigmentation of depigmented lesions associated with stable vitiligo. The randomized controlled study’s primary effectiveness measure is the percent area of repigmented skin 24 weeks after treatment, as evaluated by a clinician blinded to the treatment assignment. Additional effectiveness data cofllected over the course of the 24-week study will include blinded evaluator categorization of treatment success and patient rating of repigmentation. The Company expects to commence enrollment in the vitiligo feasibility study in the second half of the 2020 calendar year.</w:t>
      </w:r>
    </w:p>
    <w:p>
      <w:pPr>
        <w:spacing w:after="0" w:line="16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 xml:space="preserve">In addition, on July 1, 2020, the FDA separately approved our IDE application for a </w:t>
      </w:r>
      <w:r>
        <w:rPr>
          <w:rFonts w:ascii="Arial" w:cs="Arial" w:eastAsia="Arial" w:hAnsi="Arial"/>
          <w:sz w:val="16"/>
          <w:szCs w:val="16"/>
          <w:u w:val="single" w:color="auto"/>
          <w:color w:val="auto"/>
        </w:rPr>
        <w:t>pivotal</w:t>
      </w:r>
      <w:r>
        <w:rPr>
          <w:rFonts w:ascii="Arial" w:cs="Arial" w:eastAsia="Arial" w:hAnsi="Arial"/>
          <w:sz w:val="16"/>
          <w:szCs w:val="16"/>
          <w:color w:val="auto"/>
        </w:rPr>
        <w:t xml:space="preserve"> study in vitiligo which is titled “A Prospective Multi-Arm Blinded-Evaluator Within-Subject Randomized Controlled Clinical Study to Investigate the Safety and Effectiveness of RECELL for Repigmentation of Stable Vitiligo.” The Company expects to commence enrollment in the vitiligo pivotal study in the second half of the 2020 calendar year.</w:t>
      </w:r>
    </w:p>
    <w:p>
      <w:pPr>
        <w:spacing w:after="0" w:line="14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Company continues to have a high degree of confidence that the RECELL System can be an effective therapeutic offering for patients with stable vitiligo. More than 1,000 patients have been treated with the RECELL System for vitiligo outside of the United States, and to date there are eight (8) publications demonstrating the benefits of the RECELL System in vitiligo.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Sponsored Research</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RECELL System has been studied in a wide variety of indications and has been shown to enable patients to regenerate natural healthy skin in instances where the patient’s outer skin covering, or epidermis, has been lost or damaged due to injury, defects or other flaws. In addition to these existing applications of the RECELL System, we are interested in pursuing related opportunities where the RECELL System’s ability to harness the natural healing capabilities of the body could be supplemented with genetically modified cells in patients suffering from certain genetic skin disorders. In this way, the RECELL System could potentially be used as a “delivery vehicle” for other therapeutic offerings.</w:t>
      </w:r>
    </w:p>
    <w:p>
      <w:pPr>
        <w:spacing w:after="0" w:line="176"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color w:val="auto"/>
        </w:rPr>
        <w:t>In November 2019, we entered into a research collaboration with the Gates Center for Regenerative Medicine at the University of Colorado School of Medicine (“</w:t>
      </w:r>
      <w:r>
        <w:rPr>
          <w:rFonts w:ascii="Arial" w:cs="Arial" w:eastAsia="Arial" w:hAnsi="Arial"/>
          <w:sz w:val="17"/>
          <w:szCs w:val="17"/>
          <w:b w:val="1"/>
          <w:bCs w:val="1"/>
          <w:color w:val="auto"/>
        </w:rPr>
        <w:t>Gates Center</w:t>
      </w:r>
      <w:r>
        <w:rPr>
          <w:rFonts w:ascii="Arial" w:cs="Arial" w:eastAsia="Arial" w:hAnsi="Arial"/>
          <w:sz w:val="17"/>
          <w:szCs w:val="17"/>
          <w:color w:val="auto"/>
        </w:rPr>
        <w:t>”) for the purposes of seeking to establish proof-of-concept and explore further development of a spray-on treatment of genetically modified cells for patients with epidermolysis bullosa (“</w:t>
      </w:r>
      <w:r>
        <w:rPr>
          <w:rFonts w:ascii="Arial" w:cs="Arial" w:eastAsia="Arial" w:hAnsi="Arial"/>
          <w:sz w:val="17"/>
          <w:szCs w:val="17"/>
          <w:b w:val="1"/>
          <w:bCs w:val="1"/>
          <w:color w:val="auto"/>
        </w:rPr>
        <w:t>EB</w:t>
      </w:r>
      <w:r>
        <w:rPr>
          <w:rFonts w:ascii="Arial" w:cs="Arial" w:eastAsia="Arial" w:hAnsi="Arial"/>
          <w:sz w:val="17"/>
          <w:szCs w:val="17"/>
          <w:color w:val="auto"/>
        </w:rPr>
        <w:t>”). Pursuant to this collaboration, we will pair the RECELL System Spray-On Skin</w:t>
      </w:r>
      <w:r>
        <w:rPr>
          <w:rFonts w:ascii="Arial" w:cs="Arial" w:eastAsia="Arial" w:hAnsi="Arial"/>
          <w:sz w:val="14"/>
          <w:szCs w:val="14"/>
          <w:color w:val="auto"/>
        </w:rPr>
        <w:t>™</w:t>
      </w:r>
      <w:r>
        <w:rPr>
          <w:rFonts w:ascii="Arial" w:cs="Arial" w:eastAsia="Arial" w:hAnsi="Arial"/>
          <w:sz w:val="17"/>
          <w:szCs w:val="17"/>
          <w:color w:val="auto"/>
        </w:rPr>
        <w:t xml:space="preserve"> Cells technology and expertise with the Gates Center’s innovative, patent pending combined reprogramming and gene editing technology to allow cells to function properly. Under the arrangement with the Gates Center, we retain the option to exclusively license technologies emerging from the partnership for further development and commercialization. EB is a group of rare and incurable skin disorders caused by mutations in genes encoding structural proteins resulting in skin fragility and blistering, leading to chronic wounds and, in some sub-types, an increased risk of squamous cell carcinoma or death. There are no approved curative therapies, and current treatment is palliative—focused primarily on pain and nutritional management, itching relief, wound care, and bandaging.</w:t>
      </w:r>
    </w:p>
    <w:p>
      <w:pPr>
        <w:spacing w:after="0" w:line="18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Beyond EB, we are pursing an additional research collaboration for application of the RECELL System within the aesthetics markets, estimated to be a $10 billion market in the United States alone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Chronic Wounds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chronic and other hard-to-heal wound market consists of a broad population of more than 6 million patients in the United States suffering from conditions such as venous leg ulcers, diabetic foot ulcers, pressure ulcers and non-healing surgical wounds. Chronic and other hard-to-heal wounds represent a $25 billion burden to the U.S. healthcare system. Chronic and hard-to-heal wounds are caused by impairment in the biochemical and cellular healing processes due to local or systemic (physciological) conditions and generally can take weeks or months to heal, if not longer. Such wounds can lead to significant morbidity, including pain, infection, impaired mobility, hospitalization, reduced productivity, amputation and mortality.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The RECELL System has been used to treat venous leg ulcers and diabetic foot ulcers outside of the United States, and there are numerous peer-reviewed journals illustrating associated benefits to patients with those health challenges. The Company is considering, though has not sought FDA approval, commencing a pivotal study in one or both of the indications mentioned above. The Company expects to make a determination to proceed with a pivotal study towards the end of the 2020 calendar year, or early in the 2021 calendar year.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Venous Leg Ulcers:</w:t>
      </w:r>
    </w:p>
    <w:p>
      <w:pPr>
        <w:spacing w:after="0" w:line="113"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Venous leg ulcers (“</w:t>
      </w:r>
      <w:r>
        <w:rPr>
          <w:rFonts w:ascii="Arial" w:cs="Arial" w:eastAsia="Arial" w:hAnsi="Arial"/>
          <w:sz w:val="18"/>
          <w:szCs w:val="18"/>
          <w:b w:val="1"/>
          <w:bCs w:val="1"/>
          <w:color w:val="auto"/>
        </w:rPr>
        <w:t>VLUs</w:t>
      </w:r>
      <w:r>
        <w:rPr>
          <w:rFonts w:ascii="Arial" w:cs="Arial" w:eastAsia="Arial" w:hAnsi="Arial"/>
          <w:sz w:val="18"/>
          <w:szCs w:val="18"/>
          <w:color w:val="auto"/>
        </w:rPr>
        <w:t>”) are associated with poor venous return (ischemia), primarily occurring as a result of age, obesity, previous leg injuries, deep venous thrombosis, and phlebitis. Venous ulcers are often recurrent, and an open ulcer can persist for weeks to many years. Treatment options for venous ulcers include leg elevation, compression therapy, advanced wound dressings, pentoxifylline, and aspirin therapy. Surgical management, inclusive of skin grafting, is indicated for ulcers that are large, of prolonged duration, or refractory to conservative measures. The refractory nature of these ulcers increases the risk of morbidity and mortality and they have a significant impact on patient quality of life. The financial burden of venous ulcers is estimated to be $2 billion per year in the United States.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Diabetic Foot Ulcers:</w:t>
      </w:r>
    </w:p>
    <w:p>
      <w:pPr>
        <w:spacing w:after="0" w:line="113"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auto"/>
        </w:rPr>
        <w:t>A diabetic foot ulcer (“</w:t>
      </w:r>
      <w:r>
        <w:rPr>
          <w:rFonts w:ascii="Arial" w:cs="Arial" w:eastAsia="Arial" w:hAnsi="Arial"/>
          <w:sz w:val="16"/>
          <w:szCs w:val="16"/>
          <w:b w:val="1"/>
          <w:bCs w:val="1"/>
          <w:color w:val="auto"/>
        </w:rPr>
        <w:t>DFU</w:t>
      </w:r>
      <w:r>
        <w:rPr>
          <w:rFonts w:ascii="Arial" w:cs="Arial" w:eastAsia="Arial" w:hAnsi="Arial"/>
          <w:sz w:val="16"/>
          <w:szCs w:val="16"/>
          <w:color w:val="auto"/>
        </w:rPr>
        <w:t>”) is an open sore or wound and is commonly located on the bottom of the foot. Approximately 5% to 7% of people with diabetes currently have or previously had a DFU, and approximately 25% will develop a DFU in their lifetime. Of those who develop a foot ulcer, 6% will be hospitalized due to infection or other ulcer-related complication. DFUs are the leading cause of non-traumatic lower extremity amputations in the United States. In the United States, it is estimated that approximately 1.3 million people have a DFU, and over $15 billion was spent on the care of this condition. Current standard of care for DFUs includes offloading therapy to help redistribute foot pressure away from the ulcer, and moist wound therapy. For DFUs non-responsive to standard of care, surgical closureutilizing autografts, skin substitutes, or biologics is often required.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RECELL System</w:t>
      </w:r>
    </w:p>
    <w:p>
      <w:pPr>
        <w:spacing w:after="0" w:line="117"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color w:val="auto"/>
        </w:rPr>
        <w:t>The 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System (“</w:t>
      </w:r>
      <w:r>
        <w:rPr>
          <w:rFonts w:ascii="Arial" w:cs="Arial" w:eastAsia="Arial" w:hAnsi="Arial"/>
          <w:sz w:val="18"/>
          <w:szCs w:val="18"/>
          <w:b w:val="1"/>
          <w:bCs w:val="1"/>
          <w:color w:val="auto"/>
        </w:rPr>
        <w:t>RECELL System</w:t>
      </w:r>
      <w:r>
        <w:rPr>
          <w:rFonts w:ascii="Arial" w:cs="Arial" w:eastAsia="Arial" w:hAnsi="Arial"/>
          <w:sz w:val="18"/>
          <w:szCs w:val="18"/>
          <w:color w:val="auto"/>
        </w:rPr>
        <w:t>”) allows for the preparation of Spray-On Skin</w:t>
      </w:r>
      <w:r>
        <w:rPr>
          <w:rFonts w:ascii="Arial" w:cs="Arial" w:eastAsia="Arial" w:hAnsi="Arial"/>
          <w:sz w:val="15"/>
          <w:szCs w:val="15"/>
          <w:color w:val="auto"/>
        </w:rPr>
        <w:t>™</w:t>
      </w:r>
      <w:r>
        <w:rPr>
          <w:rFonts w:ascii="Arial" w:cs="Arial" w:eastAsia="Arial" w:hAnsi="Arial"/>
          <w:sz w:val="18"/>
          <w:szCs w:val="18"/>
          <w:color w:val="auto"/>
        </w:rPr>
        <w:t xml:space="preserve"> Cells, an autologous cellular suspension comprised of the patient’s own skin cells necessary to regenerate natural healthy epidermis. These Spray-On Skin Cells are prepared at the point of care in as little as 30 minutes, providing a new way to treat thermal burns and other wounds, skin injuries or defects of the skin. The regenerative skin cell suspension includes keratinocytes, fibroblasts, and melanocytes, all of which play critical roles in wound healing. The ability of the RECELL System to retain melanocytes in the cell suspension is notable as these cells are critical for the restoration of natural pigmentation to the area treated.</w:t>
      </w:r>
    </w:p>
    <w:p>
      <w:pPr>
        <w:spacing w:after="0" w:line="19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RECELL System is a single use (disposable), stand-alone, battery operated, autologous cell harvesting device containing enzymatic and buffer solutions, sterile surgical instruments, and actuators to achieve the disaggregation and delivery of skin cells. A small skin sample from a patient is enzymatically and mechanically processed in the RECELL System at the point of care to isolate skin cells and to produce a suspension of Spray-On Skin Cells for immediate delivery onto a prepared wound bed. The RECELL System can be used to prepare enough suspension to treat a wound up to 80 times the size of the donor skin sample. For example, a skin sample approximately the size of a credit card can be used to treat a wound that covers an adult patient’s entire back.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Preparation and Application of Spray-On Skin Cells Using the RECELL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171450</wp:posOffset>
            </wp:positionV>
            <wp:extent cx="5572125" cy="1877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212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In the United States, the RECELL System is approved by the FDA for use in the treatment of acute thermal burn wounds in patients 18 years of age and older. The RECELL System is approved for use by appropriately-licensed healthcare professionals at the patient’s point of care to prepare autologous Spray-On Skin Cells for direct application to acute partial-thickness burns, or application in combination with meshed autografting for acute full-thickness burns. In the United States, the RECELL System is produced in a configuration that allows preparation of up to 24 ml of cell suspension which can be used to cover an acute wound area up to 1,920 cm², or approximately 10% of a patient’s body.</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Australia, the RECELL System is TGA-registered for the treatment of burns, acute wounds, scars and vitiligo. The RECELL System is produced in a configuration that allows for treatment of up to 320 cm² for the markets in Australia. In the European Union, the RECELL System received CE-mark approval for the treatment of burns, chronic wounds, scars and vitiligo. Together with our local Japanese partner, Cosmotec Co. Ltd. (COSMOTEC), we are also pursuing Pharmaceuticals and Medical Devices Act (“</w:t>
      </w:r>
      <w:r>
        <w:rPr>
          <w:rFonts w:ascii="Arial" w:cs="Arial" w:eastAsia="Arial" w:hAnsi="Arial"/>
          <w:sz w:val="18"/>
          <w:szCs w:val="18"/>
          <w:b w:val="1"/>
          <w:bCs w:val="1"/>
          <w:color w:val="auto"/>
        </w:rPr>
        <w:t>JPMDA</w:t>
      </w:r>
      <w:r>
        <w:rPr>
          <w:rFonts w:ascii="Arial" w:cs="Arial" w:eastAsia="Arial" w:hAnsi="Arial"/>
          <w:sz w:val="18"/>
          <w:szCs w:val="18"/>
          <w:color w:val="auto"/>
        </w:rPr>
        <w:t>”) application for approval to market the RECELL System in Japan for use in the treatment of burns and potentially other applications.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RECELL System Clinical Results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September 2018 FDA approval of the RECELL System for use in the treatment of acute thermal burns in patients 18 years and older was supported by two prospective, randomized, controlled pivotal clinical trials, one in deep partial-thickness (second-degree) burns and one in mixed and full-thickness (third-degree) burns. The randomized, controlled trials demonstrated that treatment using the RECELL System requires substantially less donor skin than required with conventional split-thickness autografts to achieve closure of burn wounds. Reduction in donor skin requirements provides key clinical benefits to patients and significant reductions in the cost of treatment. The results of these clinical studies have been published in peer-reviewed journals and have been presented at burn focused meetings and other major medical conferences. Presentations by key opinion leaders on the clinical use of RECELL have been made at over 20 medical conferences in 2018 and 2019, many of which include highlighting the pivotal clinical trial results as well as use of the RECELL System in the treatment of burns in specific subgroups of patients and types of burn injuries, including facial burns and large TBSA burns. Patients included in many of these presentations were treated as part of the FDA-approved IDE Compassionate Use and Continued Access research programs made available prior to receipt of PMA from the FDA.</w:t>
      </w:r>
    </w:p>
    <w:p>
      <w:pPr>
        <w:spacing w:after="0" w:line="168" w:lineRule="exact"/>
        <w:rPr>
          <w:sz w:val="20"/>
          <w:szCs w:val="20"/>
          <w:color w:val="auto"/>
        </w:rPr>
      </w:pPr>
    </w:p>
    <w:p>
      <w:pPr>
        <w:jc w:val="both"/>
        <w:ind w:left="120" w:right="160"/>
        <w:spacing w:after="0" w:line="342" w:lineRule="auto"/>
        <w:rPr>
          <w:sz w:val="20"/>
          <w:szCs w:val="20"/>
          <w:color w:val="auto"/>
        </w:rPr>
      </w:pPr>
      <w:r>
        <w:rPr>
          <w:rFonts w:ascii="Arial" w:cs="Arial" w:eastAsia="Arial" w:hAnsi="Arial"/>
          <w:sz w:val="16"/>
          <w:szCs w:val="16"/>
          <w:color w:val="auto"/>
        </w:rPr>
        <w:t>In addition to an extensive clinical trial program in acute thermal burns in adults, earlier-stage clinical studies have been conducted in pediatric burns, scald injuries, treatment of donor sites, vitiligo, chronic wounds (venous leg ulcers and diabetic foot ulcers), scar hypopigmentation, and acute trauma.</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The RECELL System Clinical Results in Thermal Burns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RECELL Pivotal Clinical Trial in Second-Degree Acute Thermal Burns</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One of the two randomized, controlled clinical trials of the RECELL System supporting the September 2018 FDA approval was a study of patients with partial thickness (second-degree burns) conducted at 12 U.S. burn centers. The pivotal trial evaluated 101 adult patients with thermal, partial-thickness burns covering 1% to 20% of their total body surface area. Patients served as their own control, and two comparable burn sites were selected for comparative testing on each patient. One burn site on each patient was treated with Spray-On-Skin Cells prepared using the RECELL System, while the other burn site was treated with the standard treatment, consisting of meshed autograft expanded 2:1.</w:t>
      </w:r>
    </w:p>
    <w:p>
      <w:pPr>
        <w:spacing w:after="0" w:line="17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During the pivotal trial, the patient donor skin required to be harvested to treat burn sites using the RECELL System was 97.5% less than the amount harvested to treat burn sites with the standard of care (p&lt;0.001). Despite the statistically significant reduction in donor skin required to treat with the RECELL System, burn sites treated using the RECELL System achieved definitive closure and long-term outcomes, including durability, comparable to the burn sites treated with standard of care.</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171450</wp:posOffset>
            </wp:positionV>
            <wp:extent cx="6257925" cy="24771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5792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4800" w:type="dxa"/>
            <w:vAlign w:val="bottom"/>
          </w:tcPr>
          <w:p>
            <w:pPr>
              <w:jc w:val="center"/>
              <w:ind w:left="650"/>
              <w:spacing w:after="0"/>
              <w:rPr>
                <w:sz w:val="20"/>
                <w:szCs w:val="20"/>
                <w:color w:val="auto"/>
              </w:rPr>
            </w:pPr>
            <w:r>
              <w:rPr>
                <w:rFonts w:ascii="Arial" w:cs="Arial" w:eastAsia="Arial" w:hAnsi="Arial"/>
                <w:sz w:val="18"/>
                <w:szCs w:val="18"/>
                <w:color w:val="auto"/>
                <w:w w:val="92"/>
              </w:rPr>
              <w:t>Comparison of donor skin requirement for participant in</w:t>
            </w:r>
          </w:p>
        </w:tc>
      </w:tr>
      <w:tr>
        <w:trPr>
          <w:trHeight w:val="216"/>
        </w:trPr>
        <w:tc>
          <w:tcPr>
            <w:tcW w:w="4820" w:type="dxa"/>
            <w:vAlign w:val="bottom"/>
          </w:tcPr>
          <w:p>
            <w:pPr>
              <w:jc w:val="center"/>
              <w:ind w:right="670"/>
              <w:spacing w:after="0"/>
              <w:rPr>
                <w:sz w:val="20"/>
                <w:szCs w:val="20"/>
                <w:color w:val="auto"/>
              </w:rPr>
            </w:pPr>
            <w:r>
              <w:rPr>
                <w:rFonts w:ascii="Arial" w:cs="Arial" w:eastAsia="Arial" w:hAnsi="Arial"/>
                <w:sz w:val="18"/>
                <w:szCs w:val="18"/>
                <w:color w:val="auto"/>
                <w:w w:val="93"/>
              </w:rPr>
              <w:t>Statistically significant reduction in donor skin</w:t>
            </w:r>
          </w:p>
        </w:tc>
        <w:tc>
          <w:tcPr>
            <w:tcW w:w="4800" w:type="dxa"/>
            <w:vAlign w:val="bottom"/>
          </w:tcPr>
          <w:p>
            <w:pPr>
              <w:jc w:val="center"/>
              <w:ind w:left="650"/>
              <w:spacing w:after="0"/>
              <w:rPr>
                <w:sz w:val="20"/>
                <w:szCs w:val="20"/>
                <w:color w:val="auto"/>
              </w:rPr>
            </w:pPr>
            <w:r>
              <w:rPr>
                <w:rFonts w:ascii="Arial" w:cs="Arial" w:eastAsia="Arial" w:hAnsi="Arial"/>
                <w:sz w:val="18"/>
                <w:szCs w:val="18"/>
                <w:color w:val="auto"/>
                <w:w w:val="92"/>
              </w:rPr>
              <w:t>clinical trial. Requirement for 2:1 mesh autograft</w:t>
            </w:r>
          </w:p>
        </w:tc>
      </w:tr>
      <w:tr>
        <w:trPr>
          <w:trHeight w:val="216"/>
        </w:trPr>
        <w:tc>
          <w:tcPr>
            <w:tcW w:w="4820" w:type="dxa"/>
            <w:vAlign w:val="bottom"/>
          </w:tcPr>
          <w:p>
            <w:pPr>
              <w:jc w:val="center"/>
              <w:ind w:right="670"/>
              <w:spacing w:after="0"/>
              <w:rPr>
                <w:sz w:val="20"/>
                <w:szCs w:val="20"/>
                <w:color w:val="auto"/>
              </w:rPr>
            </w:pPr>
            <w:r>
              <w:rPr>
                <w:rFonts w:ascii="Arial" w:cs="Arial" w:eastAsia="Arial" w:hAnsi="Arial"/>
                <w:sz w:val="18"/>
                <w:szCs w:val="18"/>
                <w:color w:val="auto"/>
                <w:w w:val="90"/>
              </w:rPr>
              <w:t>requirement for use of the RECELL System in treatment</w:t>
            </w:r>
          </w:p>
        </w:tc>
        <w:tc>
          <w:tcPr>
            <w:tcW w:w="4800" w:type="dxa"/>
            <w:vAlign w:val="bottom"/>
          </w:tcPr>
          <w:p>
            <w:pPr>
              <w:jc w:val="center"/>
              <w:ind w:left="650"/>
              <w:spacing w:after="0"/>
              <w:rPr>
                <w:sz w:val="20"/>
                <w:szCs w:val="20"/>
                <w:color w:val="auto"/>
              </w:rPr>
            </w:pPr>
            <w:r>
              <w:rPr>
                <w:rFonts w:ascii="Arial" w:cs="Arial" w:eastAsia="Arial" w:hAnsi="Arial"/>
                <w:sz w:val="18"/>
                <w:szCs w:val="18"/>
                <w:color w:val="auto"/>
                <w:w w:val="90"/>
              </w:rPr>
              <w:t>(STSG) versus requirement for treatment using the</w:t>
            </w:r>
          </w:p>
        </w:tc>
      </w:tr>
      <w:tr>
        <w:trPr>
          <w:trHeight w:val="230"/>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88"/>
              </w:rPr>
              <w:t>versus standard 2:1 meshed autograft</w:t>
            </w:r>
          </w:p>
        </w:tc>
        <w:tc>
          <w:tcPr>
            <w:tcW w:w="4800" w:type="dxa"/>
            <w:vAlign w:val="bottom"/>
          </w:tcPr>
          <w:p>
            <w:pPr>
              <w:jc w:val="center"/>
              <w:ind w:left="650"/>
              <w:spacing w:after="0"/>
              <w:rPr>
                <w:sz w:val="20"/>
                <w:szCs w:val="20"/>
                <w:color w:val="auto"/>
              </w:rPr>
            </w:pPr>
            <w:r>
              <w:rPr>
                <w:rFonts w:ascii="Arial" w:cs="Arial" w:eastAsia="Arial" w:hAnsi="Arial"/>
                <w:sz w:val="18"/>
                <w:szCs w:val="18"/>
                <w:color w:val="auto"/>
                <w:w w:val="93"/>
              </w:rPr>
              <w:t>RECELL System</w:t>
            </w: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Secondary endpoints measured in the trial highlighted additional clinical benefits of the significant reduction in donor skin harvested for treatment using the RECELL System, including:</w:t>
      </w:r>
    </w:p>
    <w:p>
      <w:pPr>
        <w:spacing w:after="0" w:line="76"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Significantly less donor-site pain up to Week 8 (p£0.0025)</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Significantly higher patient satisfaction with donor-site appearance at long term study endpoints (p£0.0025)</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Significantly better donor-site scarring results (p£0.0025)</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Significantly greater incidence of donor-site healing at one and two weeks (p&lt;0.001), with an odds ratio of 4:3 at two weeks</w:t>
      </w:r>
    </w:p>
    <w:p>
      <w:pPr>
        <w:spacing w:after="0" w:line="225"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 xml:space="preserve">In the clinical trial, use of the RECELL System in the trial was safe and well tolerated with adverse experiences typical for the type of burn injury sustained. The results of this trial were published in a peer-reviewed scientific publication, the </w:t>
      </w:r>
      <w:r>
        <w:rPr>
          <w:rFonts w:ascii="Arial" w:cs="Arial" w:eastAsia="Arial" w:hAnsi="Arial"/>
          <w:sz w:val="16"/>
          <w:szCs w:val="16"/>
          <w:i w:val="1"/>
          <w:iCs w:val="1"/>
          <w:color w:val="auto"/>
        </w:rPr>
        <w:t>Journal of Burn Care &amp; Research</w:t>
      </w:r>
      <w:r>
        <w:rPr>
          <w:rFonts w:ascii="Arial" w:cs="Arial" w:eastAsia="Arial" w:hAnsi="Arial"/>
          <w:sz w:val="16"/>
          <w:szCs w:val="16"/>
          <w:color w:val="auto"/>
        </w:rPr>
        <w:t>, in September 2018.</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RECELL Pivotal Clinical Trial in Third-Degree Acute Thermal Burns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second randomized, controlled clinical trial of the RECELL System supporting the September 2018 FDA approval was a study of patients with mixed and full-thickness burn wounds (third-degree burns) conducted at seven U.S. burn centers. The pivotal trial evaluated 30 patients ranging in age from nine to 68 years old with thermal, mixed-thickness burns, including full-thickness burns, covering 5% to 46% of their total body surface area. Patients served as their own control, and two comparable burn sites were selected for comparative testing on each patient. One burn site was treated with the standard treatment, meshed autograft, while the other was treated with Spray-On-Skin Cells prepared using the RECELL System combined with more widely meshed autografts (for example, if a 2:1 meshed autograft was used to treat the control burn site, then a 3:1 meshed autograft used in combination with Spray-On Skin Cells was used to treat the RECELL site). The co-primary endpoints of the pivotal trial were reduction in donor skin requirements and non-inferiority for complete, definitive wound closure.</w:t>
      </w:r>
    </w:p>
    <w:p>
      <w:pPr>
        <w:spacing w:after="0" w:line="17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pivotal clinical trial achieved its co-primary endpoints, demonstrating a statistically significant reduction in donor skin requirements versus standard of care while achieving comparable definitive wound closure. Treatment using the RECELL System achieved comparable healing, long-term scar and patient satisfaction outcomes using significantly less donor skin with no safety concerns. During the pivotal trial, the patient mean donor skin required to be harvested to treat burn sites with the RECELL System was 32% less than the amount harvested to treat burn sites with the standard of care (p&lt;0.001). Despite the statistically significant reduction in donor skin required to treat using the RECELL System, eight weeks post treatment 92% of the burn sites treated using the RECELL System achieved complete healing versus 85% for the sites treated with the standard of care, demonstrating non-inferiority.</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171450</wp:posOffset>
            </wp:positionV>
            <wp:extent cx="2657475" cy="2606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74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 xml:space="preserve">Use of the RECELL System was safe and well tolerated with no device-related adverse events. The results of this trial were published online ahead of print in the peer-reviewed scientific publication, </w:t>
      </w:r>
      <w:r>
        <w:rPr>
          <w:rFonts w:ascii="Arial" w:cs="Arial" w:eastAsia="Arial" w:hAnsi="Arial"/>
          <w:sz w:val="18"/>
          <w:szCs w:val="18"/>
          <w:i w:val="1"/>
          <w:iCs w:val="1"/>
          <w:color w:val="auto"/>
        </w:rPr>
        <w:t>Burns</w:t>
      </w:r>
      <w:r>
        <w:rPr>
          <w:rFonts w:ascii="Arial" w:cs="Arial" w:eastAsia="Arial" w:hAnsi="Arial"/>
          <w:sz w:val="18"/>
          <w:szCs w:val="18"/>
          <w:color w:val="auto"/>
        </w:rPr>
        <w:t>, in December 2018, and appeared in print in June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BEACON Cost-Effectiveness Model Demonstrates Costs Savings Associated with use of RECELL System in Treatment of Severe Burns</w:t>
      </w:r>
    </w:p>
    <w:p>
      <w:pPr>
        <w:spacing w:after="0" w:line="117"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To investigate the value proposition and potential transformative health economic impact of the RECELL System in burn care, a hospital-perspective cost-effectiveness model was developed by IQVIA</w:t>
      </w:r>
      <w:r>
        <w:rPr>
          <w:rFonts w:ascii="Arial" w:cs="Arial" w:eastAsia="Arial" w:hAnsi="Arial"/>
          <w:sz w:val="15"/>
          <w:szCs w:val="15"/>
          <w:color w:val="auto"/>
        </w:rPr>
        <w:t>™</w:t>
      </w:r>
      <w:r>
        <w:rPr>
          <w:rFonts w:ascii="Arial" w:cs="Arial" w:eastAsia="Arial" w:hAnsi="Arial"/>
          <w:sz w:val="18"/>
          <w:szCs w:val="18"/>
          <w:color w:val="auto"/>
        </w:rPr>
        <w:t>, the Biomedical Advanced Research and Development Authority (“</w:t>
      </w:r>
      <w:r>
        <w:rPr>
          <w:rFonts w:ascii="Arial" w:cs="Arial" w:eastAsia="Arial" w:hAnsi="Arial"/>
          <w:sz w:val="18"/>
          <w:szCs w:val="18"/>
          <w:b w:val="1"/>
          <w:bCs w:val="1"/>
          <w:color w:val="auto"/>
        </w:rPr>
        <w:t>BARDA</w:t>
      </w:r>
      <w:r>
        <w:rPr>
          <w:rFonts w:ascii="Arial" w:cs="Arial" w:eastAsia="Arial" w:hAnsi="Arial"/>
          <w:sz w:val="18"/>
          <w:szCs w:val="18"/>
          <w:color w:val="auto"/>
        </w:rPr>
        <w:t>”), and AVITA Medical. The Burn-MCM (Medical Counter Measure) Effectiveness Assessment Cost Outcomes Nexus (“</w:t>
      </w:r>
      <w:r>
        <w:rPr>
          <w:rFonts w:ascii="Arial" w:cs="Arial" w:eastAsia="Arial" w:hAnsi="Arial"/>
          <w:sz w:val="18"/>
          <w:szCs w:val="18"/>
          <w:b w:val="1"/>
          <w:bCs w:val="1"/>
          <w:color w:val="auto"/>
        </w:rPr>
        <w:t>BEACON</w:t>
      </w:r>
      <w:r>
        <w:rPr>
          <w:rFonts w:ascii="Arial" w:cs="Arial" w:eastAsia="Arial" w:hAnsi="Arial"/>
          <w:sz w:val="18"/>
          <w:szCs w:val="18"/>
          <w:color w:val="auto"/>
        </w:rPr>
        <w:t>”) model evaluates how practice patterns, interventions and patient characteristics interact across all phases of care (wound assessment, debridement/excision, temporary coverage and permanent closure) to understand how patient and burn center outcomes change given the incorporation of a new burn care treatment, such as the RECELL System.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 xml:space="preserve">As described in a peer-reviewed scientific publication in </w:t>
      </w:r>
      <w:r>
        <w:rPr>
          <w:rFonts w:ascii="Arial" w:cs="Arial" w:eastAsia="Arial" w:hAnsi="Arial"/>
          <w:sz w:val="17"/>
          <w:szCs w:val="17"/>
          <w:i w:val="1"/>
          <w:iCs w:val="1"/>
          <w:color w:val="auto"/>
        </w:rPr>
        <w:t>Advances in Therapy</w:t>
      </w:r>
      <w:r>
        <w:rPr>
          <w:rFonts w:ascii="Arial" w:cs="Arial" w:eastAsia="Arial" w:hAnsi="Arial"/>
          <w:sz w:val="17"/>
          <w:szCs w:val="17"/>
          <w:color w:val="auto"/>
        </w:rPr>
        <w:t>, published in May 2019, the BEACON model uses sequential decision trees to depict the acute care pathway for burn patients, and then predicts how the RECELL System would modify treatment for patients with burns ranging from 10% to 40% TBSA. Clinical inputs were derived from randomized controlled trials, burn surgeon surveys and interviews, and the American Burn Association National Burn Repository. An accompanying budget impact model builds on the cost-effectiveness calculations to evaluate overall cost impact to a burn center or payor associated with incorporation of the RECELL System into patient care.</w:t>
      </w:r>
    </w:p>
    <w:p>
      <w:pPr>
        <w:spacing w:after="0" w:line="17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BEACON model shows that treatment using the RECELL System for deep partial-thickness burns reduces total treatment costs by an average of 26%, or approximately $37,000, for patients with 10% TBSA and approximately $150,000, for patients with 40% TBSA. For full-thickness burns, treatment using the RECELL System reduced total treatment cost by 3%, or approximately $6,000 for patients with 10% TBSA, and by 42% or approximately $243,000, for patients with 40% TBSA. The cost reductions are attributed to decreasing the length of hospital stay, the number of procedures required to close the burn wound, the donor site size and associated wound care, and number of downstream contracture release procedures. All cost savings estimates are net of the cost of the RECELL System.</w:t>
      </w:r>
    </w:p>
    <w:p>
      <w:pPr>
        <w:spacing w:after="0" w:line="192"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The budget impact model was also used to calculate the annual budget impact of current standard of care for the treatment of burns versus treatment using the RECELL System for a burn center with 200 patients. The model determined that treatment using the RECELL System would reduce annual total treatment costs from approximately $39.4 million to $32.6 million, saving 17% or approximately $6.8 million.</w:t>
      </w:r>
    </w:p>
    <w:p>
      <w:pPr>
        <w:spacing w:after="0" w:line="16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BEACON model may be run for the specific demographics of an individual burn center or territory, allowing the burn institution or region to evaluate the potential benefits of the RECELL System within their specific population of burn patients. As described by researchers at a presentation at the American Burn Association 51</w:t>
      </w:r>
      <w:r>
        <w:rPr>
          <w:rFonts w:ascii="Arial" w:cs="Arial" w:eastAsia="Arial" w:hAnsi="Arial"/>
          <w:sz w:val="15"/>
          <w:szCs w:val="15"/>
          <w:color w:val="auto"/>
        </w:rPr>
        <w:t>st</w:t>
      </w:r>
      <w:r>
        <w:rPr>
          <w:rFonts w:ascii="Arial" w:cs="Arial" w:eastAsia="Arial" w:hAnsi="Arial"/>
          <w:sz w:val="18"/>
          <w:szCs w:val="18"/>
          <w:color w:val="auto"/>
        </w:rPr>
        <w:t xml:space="preserve"> Annual Meeting in April 2019, the patient characteristics for the Arizona Burn Center (for example, age, burn depth, TBSA) were input into the BEACON model based on the 800 patients with 10% TBSA and greater burns treated in 2018 at the institution, and demonstrated the following:</w:t>
      </w:r>
    </w:p>
    <w:p>
      <w:pPr>
        <w:spacing w:after="0" w:line="93" w:lineRule="exact"/>
        <w:rPr>
          <w:sz w:val="20"/>
          <w:szCs w:val="20"/>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Arizona Burn Center would save approximately $28 million (16%) per year using the RECELL System versus the current standard of care (net of the cost of the RECELL System)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largest driver of the predicted cost savings is reduction in length of stay per patient, comprising 70% of the savings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contributing to the estimated cost savings is an approximate 67% less autografting procedures, with reduction in operating room time contributing another 13% to the estimated cost savings</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 similar presentation was made by researchers at the 31st Annual Southern Region Burn Conference in November 2018 which described the application of the BEACON model to the patient characteristics for the Firefighter Burn Center, Memphis, Tennessee, and University of Tennessee Health Science Center. The model determined that treating patients with the RECELL System alone, or in combination with widely spaced skin grafts, could reduce the burn center’s costs by up to $21 million per year compared to conventional treatment.</w:t>
      </w:r>
    </w:p>
    <w:p>
      <w:pPr>
        <w:spacing w:after="0" w:line="17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Major drivers of the cost savings included a decrease in length of hospital stay and a reduction in the number of surgeries and related resources (blood transfusions and dressings).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Additional RECELL Clinical Results Outside of Pivotal Data</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 series of clinical outcomes have been presented at medical conferences and evaluated multiple patient categories and burn types in more than 150 burn patients that were treated under FDA-approved IDE Compassionate Use and Continued Access programs made available to patients prior to receipt of PMA from the FDA.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RECELL in Treatment of Facial Burns (interim review of Compassionate Use)</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Deep partial-thickness facial burns present a challenge in reconstructive surgery. Standard of care typically includes excision and allograft followed by split-thickness autografting. Limitations of the current treatment regimen includes dyspigmentation at the sites of the skin grafts and hypertrophic scarring at the seams of the grafts, resulting in substantial patient dissatisfaction with the outcome.</w:t>
      </w:r>
    </w:p>
    <w:p>
      <w:pPr>
        <w:spacing w:after="0" w:line="18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 xml:space="preserve">As described in a peer-reviewed scientific publication in </w:t>
      </w:r>
      <w:r>
        <w:rPr>
          <w:rFonts w:ascii="Arial" w:cs="Arial" w:eastAsia="Arial" w:hAnsi="Arial"/>
          <w:sz w:val="17"/>
          <w:szCs w:val="17"/>
          <w:i w:val="1"/>
          <w:iCs w:val="1"/>
          <w:color w:val="auto"/>
        </w:rPr>
        <w:t>Journal of Burn Care and Research,</w:t>
      </w:r>
      <w:r>
        <w:rPr>
          <w:rFonts w:ascii="Arial" w:cs="Arial" w:eastAsia="Arial" w:hAnsi="Arial"/>
          <w:sz w:val="17"/>
          <w:szCs w:val="17"/>
          <w:color w:val="auto"/>
        </w:rPr>
        <w:t xml:space="preserve"> published in March 2020, researchers provided a retrospective review of clinical outcomes obtained in the treatment with the RECELL System of five patients with acute deep partial-thickness facial burn injuries under the Compassionate Use IDE program. Patients in the facial burn case studies ranged from 2.1 to 40.7 years of age and had burns covering 35% to 62% TBSA. Researchers reported that in this small study, treatment using the RECELL System provided equivalent or superior results to current treatments in facial burn care in terms of wound healing, and excellent cosmetic outcomes.</w:t>
      </w:r>
    </w:p>
    <w:p>
      <w:pPr>
        <w:spacing w:after="0" w:line="176"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A representative patient in the study was a 12-year-old girl with 2nd-degree facial burn and widespread 3rd-degree burns, with total injuries encompassing a 62% TBSA. The patient had insufficient donor skin available for standard autografts. The healing of the patient’s facial burns is highlighted in the progressions of photographs included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Facial Burn Case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306060" cy="1791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0606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Researchers observed that the reintroduction of melanocytes as part of the cellular suspension prepared using the RECELL System resulted in an excellent cosmetic outcome. The patient did not require surgical revisions for facial contractures and was discharged from the hospital in 24 days.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RECELL in Treatment of Pediatric Patients (interim review of Continued Access and Compassionate Use)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patients with extensive burn injuries, lack of available donor skin is a major limitation achieving permanent closure, and the longer a wound remains open the more susceptible a patient is to infection. In the United States, one-third of burn injuries occur in children, and the availability of donor skin for traditional meshed autografts is even more limited in pediatric patients with extensive injuries. The use of the RECELL System, a donor skin sparing technology that enables rapid definitive closure of burn wounds, has the potential to improve patient outcomes.</w:t>
      </w:r>
    </w:p>
    <w:p>
      <w:pPr>
        <w:spacing w:after="0" w:line="17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Interim results describing clinical outcomes for pediatric patients treated using the RECELL System were presented at the American Burn Association (“</w:t>
      </w:r>
      <w:r>
        <w:rPr>
          <w:rFonts w:ascii="Arial" w:cs="Arial" w:eastAsia="Arial" w:hAnsi="Arial"/>
          <w:sz w:val="18"/>
          <w:szCs w:val="18"/>
          <w:b w:val="1"/>
          <w:bCs w:val="1"/>
          <w:color w:val="auto"/>
        </w:rPr>
        <w:t>ABA</w:t>
      </w:r>
      <w:r>
        <w:rPr>
          <w:rFonts w:ascii="Arial" w:cs="Arial" w:eastAsia="Arial" w:hAnsi="Arial"/>
          <w:sz w:val="18"/>
          <w:szCs w:val="18"/>
          <w:color w:val="auto"/>
        </w:rPr>
        <w:t>”) 51st Annual Meeting in April 2019. Under the FDA IDE Compassionate Use and Continued Access Program, 33 pediatric patients with mixed-depth and full-thickness (third-degree) were treated with Spray-On Skin Cells. The age range of patients was from 0.8 to 14.2 years and mean TBSA was 46% (range 20-90%). The presentation was selected as a “Best of the Best Abstract” out of more than 500 abstract submissions to the ABA meeting.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this review of pediatric patients which included those with life-threatening thermal burn injuries, Spray-On Skin Cells prepared using the RECELL System were applied in combination with widely meshed split-thickness autografts to achieve definitive closure using minimal donor skin. Healing data at 4 weeks post-treatment showed that 88.1% of the wounds were healed and at 8 weeks 92.4% of the wounds were healed. Researchers discussed the use of RECELL as a promising treatment option for pediatric burn patients.</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 randomized, controlled clinical trial using the RECELL System in the treatment of pediatric patients with 2</w:t>
      </w:r>
      <w:r>
        <w:rPr>
          <w:rFonts w:ascii="Arial" w:cs="Arial" w:eastAsia="Arial" w:hAnsi="Arial"/>
          <w:sz w:val="15"/>
          <w:szCs w:val="15"/>
          <w:color w:val="auto"/>
        </w:rPr>
        <w:t>nd</w:t>
      </w:r>
      <w:r>
        <w:rPr>
          <w:rFonts w:ascii="Arial" w:cs="Arial" w:eastAsia="Arial" w:hAnsi="Arial"/>
          <w:sz w:val="18"/>
          <w:szCs w:val="18"/>
          <w:color w:val="auto"/>
        </w:rPr>
        <w:t>-degree (partial-thickness) burn wounds is currently underway.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RECELL Treatment of Donor Sites (interim review of Compassionate Use)</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 large TBSA injuries a patient may not have enough donor skin available to allow for immediate treatment of the entire area of burn injuries with traditional autografting techniques. In severely burned patients with extensive injuries, surgeons often must wait until the donor sites have healed so that they can reharvest from the site, resulting in delays in treatment and healing and the need for multiple procedures and extended hospital time.</w:t>
      </w:r>
    </w:p>
    <w:p>
      <w:pPr>
        <w:spacing w:after="0" w:line="14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Interim results describing clinical outcomes associated with the treatment of donor sites using the RECELL System in patients with large TBSA burn were presented at the American Burn Association 51st Annual Meeting in April 2019 (the presentation was awarded Best in Category at the meeting). In the prospective observational study of 73 subjects with life-threatening thermal burn injuries treated under the Compassionate Use program, 430 donor sites wounds were treated with Spray-On Skin Cells prepared using the RECELL System. The mean TBSA of the patients in the study was 54.1% with 32% of subjects having a Baux score greater than 100. Two weeks after treatment, 91% of the donor sites had healed in this vulnerable patient population. No infection or delayed healing were reported for donor sites treated with Spray-On Skin Cells. Researchers noted that the ability to reharvest additional donor skin from a site treated using the RECELL System is extremely beneficial in this population of patients with extensive life-threatening injuries and limited available donor skin.</w:t>
      </w:r>
    </w:p>
    <w:p>
      <w:pPr>
        <w:spacing w:after="0" w:line="17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 representative patient in the study was a 16-month-old female with a 30% TBSA mixed depth thermal burn with donor sites taken from her back. Spray-On Skin Cells were applied to her donor site wound. The donor sites were 100% re-epithelialized by within two weeks of treatment. At one-year follow-up the donor site wound had matching color, pigment, and texture to the surrounding skin. Treatment and healing of the patient’s donor site is highlighted in the photographs included below.</w:t>
      </w:r>
    </w:p>
    <w:p>
      <w:pPr>
        <w:spacing w:after="0" w:line="18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Donor Site Case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471545" cy="2237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15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RECELL in Treatment of Patients with Extensive Burns (Large TBSA Patients, interim review of Compassionate Use)</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patients with extensive burn injuries, lack of available donor skin is a major limitation in achieving permanent closure, and the longer a wound remains open the more susceptible a patient is to infection. At the American Burn Association 51st Annual Meeting in April 2019 researchers presented data showing that the use of the RECELL System in combination with meshed autografts achieves definitive closure for patients with burn injuries greater than 50% TBSA and achieved comparable outcomes to patients with less severe injuries.</w:t>
      </w:r>
    </w:p>
    <w:p>
      <w:pPr>
        <w:spacing w:after="0" w:line="18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this review of 22 patients with life-threatening thermal burn injuries, Spray-On Skin Cells was applied in combination with widely meshed split-thickness autografts to achieve definitive closure using minimal donor skin. For patients with greater than 50% TBSA burns, 150 burn wounds were treated with the combination of Spray-On Skin Cells and widely meshed split-thickness autografts, with 96% of the wounds achieving complete wound closure two months after treatment. Data was compared to pivotal RCT data in which patients with equal to or less than 50% TBSA burns, were treated with the same combination (n=53 burn wounds) and the rate of healing was similar to the large TBSA patients, with 87.2% of wounds achieving full healing two months after treatment. Researchers reported that there were no device-related adverse events.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The RECELL System Clinical Results in Vitiligo</w:t>
      </w:r>
    </w:p>
    <w:p>
      <w:pPr>
        <w:spacing w:after="0" w:line="11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 xml:space="preserve">Small pilot studies investigating the use of the RECELL System in the treatment of vitiligo have been the subject of multiple peer-reviewed scientific publications and presentations at medical conferences. A representative pilot study was published in the </w:t>
      </w:r>
      <w:r>
        <w:rPr>
          <w:rFonts w:ascii="Arial" w:cs="Arial" w:eastAsia="Arial" w:hAnsi="Arial"/>
          <w:sz w:val="18"/>
          <w:szCs w:val="18"/>
          <w:i w:val="1"/>
          <w:iCs w:val="1"/>
          <w:color w:val="auto"/>
        </w:rPr>
        <w:t>Journal of the American Academy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Dermatology </w:t>
      </w:r>
      <w:r>
        <w:rPr>
          <w:rFonts w:ascii="Arial" w:cs="Arial" w:eastAsia="Arial" w:hAnsi="Arial"/>
          <w:sz w:val="18"/>
          <w:szCs w:val="18"/>
          <w:color w:val="auto"/>
        </w:rPr>
        <w:t>in July 2015. A total of ten patients with hypopigmentation were included in the study, five with stable segmental vitiligo, and five with</w:t>
      </w:r>
      <w:r>
        <w:rPr>
          <w:rFonts w:ascii="Arial" w:cs="Arial" w:eastAsia="Arial" w:hAnsi="Arial"/>
          <w:sz w:val="18"/>
          <w:szCs w:val="18"/>
          <w:i w:val="1"/>
          <w:iCs w:val="1"/>
          <w:color w:val="auto"/>
        </w:rPr>
        <w:t xml:space="preserve"> </w:t>
      </w:r>
      <w:r>
        <w:rPr>
          <w:rFonts w:ascii="Arial" w:cs="Arial" w:eastAsia="Arial" w:hAnsi="Arial"/>
          <w:sz w:val="18"/>
          <w:szCs w:val="18"/>
          <w:color w:val="auto"/>
        </w:rPr>
        <w:t>piebaldism (a disorder of melanocyte development). The study was a randomized, intra-patient-controlled pilot study in which three depigmented sites were randomly allocated to be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w:t>
      </w:r>
    </w:p>
    <w:p>
      <w:pPr>
        <w:spacing w:after="0" w:line="19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median repigmentation six months after treatment was 78% in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compared to zero median repigmentation in the control groups consisting of treatment with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 The repigmentation for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was assessed as good or excellent by 70% of the patients. No adverse effects or long-term side effects were seen in the recipient sites. Researchers concluded that treatment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resulted in a high percentage of repigmentation and was well tolerated in both stable segmental vitiligo and piebaldism patients. Photographs before and after treatment for a patient participating in the study are included below.</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Vitiligo Patient Pre- and Six-Months Post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171450</wp:posOffset>
            </wp:positionV>
            <wp:extent cx="4037330" cy="22542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3733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Similar results were described by researchers in a publication in the </w:t>
      </w:r>
      <w:r>
        <w:rPr>
          <w:rFonts w:ascii="Arial" w:cs="Arial" w:eastAsia="Arial" w:hAnsi="Arial"/>
          <w:sz w:val="18"/>
          <w:szCs w:val="18"/>
          <w:i w:val="1"/>
          <w:iCs w:val="1"/>
          <w:color w:val="auto"/>
        </w:rPr>
        <w:t>British Journal of Dermatology</w:t>
      </w:r>
      <w:r>
        <w:rPr>
          <w:rFonts w:ascii="Arial" w:cs="Arial" w:eastAsia="Arial" w:hAnsi="Arial"/>
          <w:sz w:val="18"/>
          <w:szCs w:val="18"/>
          <w:color w:val="auto"/>
        </w:rPr>
        <w:t xml:space="preserve"> in November 2017. In addition to studies which have already been the subject of peer-reviewed publication, the RECELL System has been used extensively in the treatment of vitiligo patients in countries in which the product is approved for treatment. In May 2019 use of the RECELL System in the treatment of vitiligo patients in China was the subject of two presentations at a European medical conference.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Stable Vitiligo Pivotal Study:</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On June 2, 2020 the Company announced that it had submitted an IDE supplement to the FDA to support the initiation of a pivotal clinical trial to investigate the RECELL System for the treatment of stable vitiligo. On July 1, 2020, the FDA approved the IDE application for the pivotal study which is titled “A Prospective Multi-Arm Blinded-Evaluator Within-Subject Randomized Controlled Clinical Study to Investigate the Safety and Effectiveness of RECELL for Repigmentation of Stable Vitiligo.” The Company expects to initiate this study in the second half of the 2020 calendar year, and has already commenced interactions with potential study sites and associated investigational review boards.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Stable Vitiligo Feasibility Study:</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Separate to the abovementioned pivotal study, we confirmed on December 30, 2019 that the FDA approved the Company’s IDE application to conduct a feasibility study evaluating the safety and effectiveness of the RECELL System for repigmentation of depigmented lesions associated with stable vitiligo.</w:t>
      </w:r>
    </w:p>
    <w:p>
      <w:pPr>
        <w:spacing w:after="0" w:line="18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This study is a single site study being conducted at the University of Massachusetts Medical School in ten (10) patients that have had stable vitiligo for at least one year. Areas of the vitiligo lesion will be randomly treated with slightly varying cell suspensions prepared using RECELL to confirm response rates and optimal suspension parameters. The randomized controlled study’s primary effectiveness measure is the percent area of repigmented skin 24 weeks after treatment, as evaluated by a clinician blinded to the treatment assignment. Additional effectiveness data collected over the course of the 24-week study will include blinded evaluator categorization of treatment success and patient rating of repigmentation. This study is expected to deliver additional clinical and investigative data, in addition to that derived in relation to the pivotal study.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The RECELL System Clinical Results in Chronic Wounds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Small pilot studies using the RECELL System in the treatment of chronic wounds, particularly venous leg ulcers and diabetic foot ulcers, have been the subject of multiple peer-reviewed scientific publications and presentations at medical conferences. In addition to studies which have already been the subject of peer-reviewed publication, the RECELL System has been used in the treatment of chronic wound patients in countries in which the product is approved for treatment.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 xml:space="preserve">A study published in the </w:t>
      </w:r>
      <w:r>
        <w:rPr>
          <w:rFonts w:ascii="Arial" w:cs="Arial" w:eastAsia="Arial" w:hAnsi="Arial"/>
          <w:sz w:val="18"/>
          <w:szCs w:val="18"/>
          <w:i w:val="1"/>
          <w:iCs w:val="1"/>
          <w:color w:val="auto"/>
        </w:rPr>
        <w:t>Acta Vulnologica</w:t>
      </w:r>
      <w:r>
        <w:rPr>
          <w:rFonts w:ascii="Arial" w:cs="Arial" w:eastAsia="Arial" w:hAnsi="Arial"/>
          <w:sz w:val="18"/>
          <w:szCs w:val="18"/>
          <w:color w:val="auto"/>
        </w:rPr>
        <w:t xml:space="preserve"> in September 2012 included seven patients with 12 vascular ulcers which had remained open for more than 12 months. Each wound was prepared and then treated with Spray-On Skin Cells prepared using the RECELL System. Ulcer volume and depth decreased 50% to 80% within four weeks of treatment, and six of the wounds that had remained unhealed for more than one year were completely closed within 24 weeks of treatment. Researchers concluded that treatment with the RECELL System allowed the repair process to restart in all 12 wounds, and that patients reported reduced pain within days of treatment.</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 xml:space="preserve">In a study published in the </w:t>
      </w:r>
      <w:r>
        <w:rPr>
          <w:rFonts w:ascii="Arial" w:cs="Arial" w:eastAsia="Arial" w:hAnsi="Arial"/>
          <w:sz w:val="18"/>
          <w:szCs w:val="18"/>
          <w:i w:val="1"/>
          <w:iCs w:val="1"/>
          <w:color w:val="auto"/>
        </w:rPr>
        <w:t>British Journal of Surgery</w:t>
      </w:r>
      <w:r>
        <w:rPr>
          <w:rFonts w:ascii="Arial" w:cs="Arial" w:eastAsia="Arial" w:hAnsi="Arial"/>
          <w:sz w:val="18"/>
          <w:szCs w:val="18"/>
          <w:color w:val="auto"/>
        </w:rPr>
        <w:t xml:space="preserve"> in January 2015, 88 patients with chronic wounds that had not healed for at least four weeks were evaluated. Patients were randomized to receive treatment with the combination of Spray-On Skin Cells and split-thickness autografts, or autografts alone. Results of the randomized, controlled study were as follows:</w:t>
      </w:r>
    </w:p>
    <w:p>
      <w:pPr>
        <w:spacing w:after="0" w:line="89" w:lineRule="exact"/>
        <w:rPr>
          <w:sz w:val="20"/>
          <w:szCs w:val="20"/>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Incidence of complete wound healing in the group of patients treated using the RECELL System was significantly higher (p=0.035) than in the control group (41 versus 34, respectively)</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 to healing was significantly (p=0.001) shorter in the RECELL System group versus the control group (14 versus 20 days,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Significantly fewer complications (p=0.047) were seen in the RECELL System group versus the control group (4 versus 11, respectively)</w:t>
      </w:r>
    </w:p>
    <w:p>
      <w:pPr>
        <w:spacing w:after="0" w:line="153"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RECELL System group had good elasticity and texture, similar color, and less scar tissue growth at borders between normal and grafted skin versus control group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Scarring was significantly less (p=0.005) in the RECELL System group versus the control group</w:t>
      </w:r>
    </w:p>
    <w:p>
      <w:pPr>
        <w:spacing w:after="0" w:line="130"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Patients had no recurrent ulcers in the RECELL System group but there were three new wounds in control group (one diabetic wound, one pressure wound, and one vascular wound). Secondary surgical intervention was required for these patients.</w:t>
      </w:r>
    </w:p>
    <w:p>
      <w:pPr>
        <w:spacing w:after="0" w:line="146"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Researchers concluded that the combination of Spray-On Skin Cell and autografts is more effective and safer than autografts alone. Although the study involved treatment of a mix of chronic wounds, many were diabetic foot ulcers. The researchers suggest that the results show a broad range of potential applicability for the use of the RECELL System.</w:t>
      </w:r>
    </w:p>
    <w:p>
      <w:pPr>
        <w:spacing w:after="0" w:line="18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 xml:space="preserve">In a study published in the </w:t>
      </w:r>
      <w:r>
        <w:rPr>
          <w:rFonts w:ascii="Arial" w:cs="Arial" w:eastAsia="Arial" w:hAnsi="Arial"/>
          <w:sz w:val="18"/>
          <w:szCs w:val="18"/>
          <w:i w:val="1"/>
          <w:iCs w:val="1"/>
          <w:color w:val="auto"/>
        </w:rPr>
        <w:t>International Wound Journal</w:t>
      </w:r>
      <w:r>
        <w:rPr>
          <w:rFonts w:ascii="Arial" w:cs="Arial" w:eastAsia="Arial" w:hAnsi="Arial"/>
          <w:sz w:val="18"/>
          <w:szCs w:val="18"/>
          <w:color w:val="auto"/>
        </w:rPr>
        <w:t xml:space="preserve"> (Hayes PD, Harding KG, Johnson SM, McCollum C, Téot L, Mercer K, Russell D. A pilot multi-centre prospective randomised controlled trial of RECELL for the treatment of venous leg ulcers. International Wound Journal. 2020 Jun;17(3):742-52.), 52 patients with venous leg ulcers were evaluated as part of a prospective, randomized, controlled trial. Patients enrolled in the study had a venous leg ulcer for longer than 4 weeks and were randomized to a Treatment group that received RECELL and compression therapy or a Control group that received compression therapy alone. At Week 14, patients treated with RECELL had a statistically greater decrease in their ulcer area compared to the Control (p&lt;0.05). When ulcers were broken out into groups by size, ulcers &gt;10-80 cm</w:t>
      </w:r>
      <w:r>
        <w:rPr>
          <w:rFonts w:ascii="Arial" w:cs="Arial" w:eastAsia="Arial" w:hAnsi="Arial"/>
          <w:sz w:val="15"/>
          <w:szCs w:val="15"/>
          <w:color w:val="auto"/>
        </w:rPr>
        <w:t>2</w:t>
      </w:r>
      <w:r>
        <w:rPr>
          <w:rFonts w:ascii="Arial" w:cs="Arial" w:eastAsia="Arial" w:hAnsi="Arial"/>
          <w:sz w:val="18"/>
          <w:szCs w:val="18"/>
          <w:color w:val="auto"/>
        </w:rPr>
        <w:t xml:space="preserve"> achieved a significantly higher mean percentage of re-epithelialization over Control (p&lt;0.05), whereas ulcers 2-10 cm</w:t>
      </w:r>
      <w:r>
        <w:rPr>
          <w:rFonts w:ascii="Arial" w:cs="Arial" w:eastAsia="Arial" w:hAnsi="Arial"/>
          <w:sz w:val="15"/>
          <w:szCs w:val="15"/>
          <w:color w:val="auto"/>
        </w:rPr>
        <w:t>2</w:t>
      </w:r>
      <w:r>
        <w:rPr>
          <w:rFonts w:ascii="Arial" w:cs="Arial" w:eastAsia="Arial" w:hAnsi="Arial"/>
          <w:sz w:val="18"/>
          <w:szCs w:val="18"/>
          <w:color w:val="auto"/>
        </w:rPr>
        <w:t xml:space="preserve"> showed no significant difference (both at Week 14). Overall, patients reported significant improvements in pain and consistent improvements in quality of life for the RECELL group compared to the Control. There were no differences in the safety-related events between the RECELL and Control groups aligning with the already-established favorable safety profile associated with the device.</w:t>
      </w:r>
    </w:p>
    <w:p>
      <w:pPr>
        <w:spacing w:after="0" w:line="19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In a study presented to the </w:t>
      </w:r>
      <w:r>
        <w:rPr>
          <w:rFonts w:ascii="Arial" w:cs="Arial" w:eastAsia="Arial" w:hAnsi="Arial"/>
          <w:sz w:val="16"/>
          <w:szCs w:val="16"/>
          <w:i w:val="1"/>
          <w:iCs w:val="1"/>
          <w:color w:val="auto"/>
        </w:rPr>
        <w:t>European Wound Management Association</w:t>
      </w:r>
      <w:r>
        <w:rPr>
          <w:rFonts w:ascii="Arial" w:cs="Arial" w:eastAsia="Arial" w:hAnsi="Arial"/>
          <w:sz w:val="16"/>
          <w:szCs w:val="16"/>
          <w:color w:val="auto"/>
        </w:rPr>
        <w:t>, (P Hayes, K Harding, S Johnson, C McCollum, K Mercer, D Russell, L Teot. The effectiveness of autologous cell suspensions to elicit positive changes in quality of life in patients with venous leg ulcers. European Wound Management Association; 2016 May 11-13; Bremen, Germany), 52 patients with venous leg ulcers were evaluated as part of a prospective, randomized, controlled trial. Patients enrolled in the study had a venous leg ulcer for longer than 4 weeks and were randomized to a Treatment group that received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RECELL and compression therapy or a Control group that received compression therapy alone. At Week 14, patients treated with RECELL had a statistically greater decrease in their ulcer area compared to the Control group. When ulcers were broken out into groups by size, ulcers &gt;10-80 cm</w:t>
      </w:r>
      <w:r>
        <w:rPr>
          <w:rFonts w:ascii="Arial" w:cs="Arial" w:eastAsia="Arial" w:hAnsi="Arial"/>
          <w:sz w:val="15"/>
          <w:szCs w:val="15"/>
          <w:color w:val="auto"/>
        </w:rPr>
        <w:t>2</w:t>
      </w:r>
      <w:r>
        <w:rPr>
          <w:rFonts w:ascii="Arial" w:cs="Arial" w:eastAsia="Arial" w:hAnsi="Arial"/>
          <w:sz w:val="18"/>
          <w:szCs w:val="18"/>
          <w:color w:val="auto"/>
        </w:rPr>
        <w:t xml:space="preserve"> achieved a significantly higher incidence of healing, whereas ulcers 2-10 cm</w:t>
      </w:r>
      <w:r>
        <w:rPr>
          <w:rFonts w:ascii="Arial" w:cs="Arial" w:eastAsia="Arial" w:hAnsi="Arial"/>
          <w:sz w:val="15"/>
          <w:szCs w:val="15"/>
          <w:color w:val="auto"/>
        </w:rPr>
        <w:t>2</w:t>
      </w:r>
      <w:r>
        <w:rPr>
          <w:rFonts w:ascii="Arial" w:cs="Arial" w:eastAsia="Arial" w:hAnsi="Arial"/>
          <w:sz w:val="18"/>
          <w:szCs w:val="18"/>
          <w:color w:val="auto"/>
        </w:rPr>
        <w:t xml:space="preserve"> showed no significant difference from the Control group. Overall, patients reported significant improvements in pain and consistent improvements in quality of life for the RECELL group compared to the Control group. There were no differences in the safety-related events between the RECELL and Control groups aligning with the already-established favorable safety profile associated with the device.</w:t>
      </w:r>
    </w:p>
    <w:p>
      <w:pPr>
        <w:spacing w:after="0" w:line="19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In a feasibility study accepted for publication in </w:t>
      </w:r>
      <w:r>
        <w:rPr>
          <w:rFonts w:ascii="Arial" w:cs="Arial" w:eastAsia="Arial" w:hAnsi="Arial"/>
          <w:sz w:val="17"/>
          <w:szCs w:val="17"/>
          <w:i w:val="1"/>
          <w:iCs w:val="1"/>
          <w:color w:val="auto"/>
        </w:rPr>
        <w:t>Wound Repair and Regeneration</w:t>
      </w:r>
      <w:r>
        <w:rPr>
          <w:rFonts w:ascii="Arial" w:cs="Arial" w:eastAsia="Arial" w:hAnsi="Arial"/>
          <w:sz w:val="17"/>
          <w:szCs w:val="17"/>
          <w:color w:val="auto"/>
        </w:rPr>
        <w:t xml:space="preserve"> (Rashid ST, Cavale N, Bowling FL. A pilot feasibility study of non-cultured autologous skin cell suspension for healing diabetic foot ulcers. Wound Repair and Regeneration. 2020 Jul), 16 patients with diabetic foot ulcers greater than 3 weeks duration were enrolled in the prospective case series. Their ulcers, ranging in severity, were treated with Spray-On Skin Cells prepared using the RECELL System. The ulcers ranged in size from 3.0 cm</w:t>
      </w:r>
      <w:r>
        <w:rPr>
          <w:rFonts w:ascii="Arial" w:cs="Arial" w:eastAsia="Arial" w:hAnsi="Arial"/>
          <w:sz w:val="14"/>
          <w:szCs w:val="14"/>
          <w:color w:val="auto"/>
        </w:rPr>
        <w:t>2</w:t>
      </w:r>
      <w:r>
        <w:rPr>
          <w:rFonts w:ascii="Arial" w:cs="Arial" w:eastAsia="Arial" w:hAnsi="Arial"/>
          <w:sz w:val="17"/>
          <w:szCs w:val="17"/>
          <w:color w:val="auto"/>
        </w:rPr>
        <w:t xml:space="preserve"> to 29.5 cm</w:t>
      </w:r>
      <w:r>
        <w:rPr>
          <w:rFonts w:ascii="Arial" w:cs="Arial" w:eastAsia="Arial" w:hAnsi="Arial"/>
          <w:sz w:val="14"/>
          <w:szCs w:val="14"/>
          <w:color w:val="auto"/>
        </w:rPr>
        <w:t>2</w:t>
      </w:r>
      <w:r>
        <w:rPr>
          <w:rFonts w:ascii="Arial" w:cs="Arial" w:eastAsia="Arial" w:hAnsi="Arial"/>
          <w:sz w:val="17"/>
          <w:szCs w:val="17"/>
          <w:color w:val="auto"/>
        </w:rPr>
        <w:t>, included a range of depths, including those with exposed tendon, and had a mean duration of 60.4 weeks. Comparable healing outcomes were obtained independent of ulcer duration, depth, or presence of infection. All ulcers reduced in size after RECELL System treatment and 46% of ulcers with complete healing data (n=13) were fully healed in 26 weeks. Adverse events observed were typical for the diabetic foot ulcer patient population.</w:t>
      </w:r>
    </w:p>
    <w:p>
      <w:pPr>
        <w:spacing w:after="0" w:line="17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are not presently pursuing an IDE application to commence additional clinical investigations in the United States, but may elect to do so in the near future subject to resources, capital and broader economic factors, including the impact of the COVID-19 pandemic.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Pediatric Early Intervention Pediatric Study:</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In March 2020, we initiated a randomized, controlled clinical study to investigate the safety and effectiveness of Spray-On Skin Cells, prepared with the RECELL System, compared to standard of care dressings for treatment of partial-thickness burns in pediatric patients (infants, children and adolescents aged one to 16 years). The study will evaluate 160 patients in up to 18 U.S. burn centers with burns of 5% to 30% TBSA. Half of the patients will be randomized to be treated using Spray-On Skin Cells. The other half will be randomized to serve in the control group and will be treated using standard dressings. Enrollment of this study is ongoing, with the first patient being treated in March 2020.</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primary measure of effectiveness is healing ten days after treatment, as assessed by a blinded evaluator. Secondary endpoints include:</w:t>
      </w:r>
    </w:p>
    <w:p>
      <w:pPr>
        <w:spacing w:after="0" w:line="142"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Incidence of healing on or before Day 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area requiring autografting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Incidence of conventional autografting to achieve healing</w:t>
      </w:r>
    </w:p>
    <w:p>
      <w:pPr>
        <w:spacing w:after="0" w:line="22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Patients will be followed for one year after treatment. The pediatric early intervention study is being funded by BARDA under the ongoing program. This study is intended to support U.S. regulatory approval for marketing of the RECELL System for patients ages 1–16 with partial-thickness thermal burn injuries.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The RECELL System in Trauma Injuries (Soft-Tissue Reconstruction)</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Case reports of the use of the RECELL System in the treatment of trauma injuries (soft-tissue reconstruction) have been the subject of peer-reviewed scientific publications and presentations at medical conferences that cover a wider range of injuries or wounds of the skin. Patients with trauma injuries have also been treated using the RECELL System under the U.S. Compassionate Use program and in countries in which the product is approved for treatment.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Trauma (Soft-Tissue Reconstruction) Study:</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announced on September 17, 2019 that the FDA approved an IDE application to conduct a trauma (soft-tissue reconstruction) pivotal clinical trial. Subsequently, in March 2020, we initiated the pivotal study for soft tissue reconstruction with the enrollment of the first patient at the Arizona Burn Center at Valleywise Medical Health Center in Phoenix, AZ. This study will evaluate the safety and effectiveness of the RECELL System when used as an adjunct to meshed autografts in patients undergoing reconstruction of skin defects not associated with a burn injury. The primary measure of effectiveness is non-inferior healing at (or prior to) 8 weeks following treatment, with healing defined as complete closure characterized by 100% skin re-epithelialization without drainage confirmed at two consecutive visits at least two weeks apart, thickness thermal burn injuries. Enrollment of this pivotal study is ongoing.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BARDA Contract</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have a contract with BARDA, under the Assistant Secretary for Preparedness and Response, within the U.S. Department of Health and Human Services, valued at least $53.4 million. The contract provides funding for the development of the RECELL System and future use of the product as a medical countermeasure to assist disaster preparedness and response in the United States for mass casualties involving burn injuries. We entered into the contract on September 29, 2015, and the scope was expanded as a result of amendments entered into as of June 24, 2016, September 18, 2017 and June 30, 2020. The options to the contract terminate between September 28, 2022 and December 31, 2023, and may be terminated earlier at the option of BARDA.</w:t>
      </w:r>
    </w:p>
    <w:p>
      <w:pPr>
        <w:spacing w:after="0" w:line="192"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Under the contract, BARDA has provided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has exercised a contract option to fund a randomized, controlled clinical trial for a pediatric early intervention study which commenced enrollment in March 2020. Also included in the BARDA contract is provision for the future procurement of the RECELL System by BARDA under a vendor managed inventory system to bolster, at BARDA’s option, disaster preparedness in the amount of $7.6 million, although BARDA also has the option of increasing the amount of the procurement. On July 13, 2020, we announced that BARDA will procure the RECELL System and agreed to the purchase, storage and delivery of RECELL Systems utilizing a vendor-managed inventory (“</w:t>
      </w:r>
      <w:r>
        <w:rPr>
          <w:rFonts w:ascii="Arial" w:cs="Arial" w:eastAsia="Arial" w:hAnsi="Arial"/>
          <w:sz w:val="17"/>
          <w:szCs w:val="17"/>
          <w:b w:val="1"/>
          <w:bCs w:val="1"/>
          <w:color w:val="auto"/>
        </w:rPr>
        <w:t>VMI</w:t>
      </w:r>
      <w:r>
        <w:rPr>
          <w:rFonts w:ascii="Arial" w:cs="Arial" w:eastAsia="Arial" w:hAnsi="Arial"/>
          <w:sz w:val="17"/>
          <w:szCs w:val="17"/>
          <w:color w:val="auto"/>
        </w:rPr>
        <w:t>”) plan valued at $7.6 million. Further, BARDA has expanded the awarded contract to provide supplemental funding of $1.6 million to support emergency deployment of RECELL Systems for use in mass casualty or other emergency situations. Delivery of RECELL Systems under the VMI plan is expected to commence in the second half of the 2020 calendar year. As of June 30, 2020, we had received cumulative payments of $24.4 million under the BARDA contract.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research and development efforts are focused on:</w:t>
      </w:r>
    </w:p>
    <w:p>
      <w:pPr>
        <w:spacing w:after="0" w:line="131" w:lineRule="exact"/>
        <w:rPr>
          <w:sz w:val="20"/>
          <w:szCs w:val="20"/>
          <w:color w:val="auto"/>
        </w:rPr>
      </w:pPr>
    </w:p>
    <w:p>
      <w:pPr>
        <w:ind w:left="1080" w:right="24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clinical development of the RECELL System in additional indications such as pediatric burns, trauma wounds, vitiligo, and, potentially, chronic wounds. These activities are generally characterized by additional pivotal studies such as the studies for which FDA has issued us with na IDE (e.g. pediatric scalds, sofft tissue reconstruction and vitiligo).</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research and characterization of the characteristics of the RECELL System, the composition and activity of the Spray-On Skin Cells suspension, and the design of the device to support further development of the platform in other injuries and defects of the skin, and to expand the existing intellectual property estate.</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the technology platform underlying the RECELL System, including combining the platform with other technologies, to allow development of the platform in other indications including orphan indications.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Supply and Production</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operate a production plant in Ventura, California, in a 23,040 square foot facility that we have leased through September 30, 2021. We have the right to extend the lease, at our sole option, as a result of three, three-year, options that allow us to extend the lease up to an additional nine years in total. We produce the RECELL System in this facility under the current Good Manufacturing Practices (cGMP) requirements of the FDA and the regulatory agencies of other jurisdictions in which we sell the RECELL System. As we seek regulatory approval in Japan for the RECELL System or endeavor to maintain our existing foreign regulatory approvals, foreign regulatory authorities of these counties are likely to review our manufacturing process, inspect our plant, and confirm that we meet all regulatory requirements. Any material future changes to our production processes for the RECELL System will have to be approved by the FDA and regulatory authorities in other jurisdictions.</w:t>
      </w:r>
    </w:p>
    <w:p>
      <w:pPr>
        <w:spacing w:after="0" w:line="17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All production requirements for the RECELL System, including devices required for U.S. and international sales and clinical trial requirements, have been manufactured at the Ventura facility since 2009. Up until June 30, 2018, the RECELL System was produced in the Ventura facility on our behalf by a Fortune 500 contract manufacturer who produced multiple GMP products for third parties. Due to a consolidation of facilities by the contract manufacturer, effective July 1, 2018 we entered into a series of agreements to take control of the Ventura plant and leased the facility.</w:t>
      </w:r>
    </w:p>
    <w:p>
      <w:pPr>
        <w:spacing w:after="0" w:line="17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Within the Ventura facility we perform the final manufacturing, assembly, packaging and warehousing of the RECELL System. Also included within the Ventura facility is a controlled warehouse that will need to meet the vendor-managed inventory requirements of the BARDA program. We source multiple components, sub-assemblies and materials from third-party suppliers, who are required to meet our quality specifications. Included among the items procured from suppliers is porcine-derived trypsin, which is the enzyme key to the skin cell disaggregation performed using the RECELL System. Although we endeavor to have multiple sources of supply for key components, subassemblies and materials, some critical raw materials are procured from single source suppliers. We continue to evaluate methods of removing risk from the supply chain for the RECELL System.</w:t>
      </w:r>
    </w:p>
    <w:p>
      <w:pPr>
        <w:spacing w:after="0" w:line="16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believe that our current manufacturing capacity at the Ventura facility is sufficient to meet the expected commercial demand for the RECELL System for burns and other indications currently under development.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Sales and Distribution</w:t>
      </w:r>
    </w:p>
    <w:p>
      <w:pPr>
        <w:spacing w:after="0" w:line="12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We sell the RECELL System in the United States through our own commercial organization consisting of 21 field sales personnel (consisting of Regenerative Tissue Specialists, Clinical Training specialists and regional directors) and the field sales team is supported by centralized marketing, reimbursement, sales operations and leadership personnel, and also receives clinical and scientific support from our Medical Affairs team. The field sales team was recruited and hired subsequent to the September 2018 FDA premarket approval and were trained prior to our U.S. market launch of the RECELL System in January 2019. Each of the clinical training specialists responsible for training the surgeons and other medical personnel within the burn centers are experienced burn nurses.</w:t>
      </w:r>
    </w:p>
    <w:p>
      <w:pPr>
        <w:spacing w:after="0" w:line="19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market for the treatment of burns in the United States is highly concentrated, with approximately 134 burn centers and approximately 300 burn surgeons. Accordingly, we believe that our sales organization is generally of an appropriate size to reach the burn surgeons and other key decision makers associated with our current target market of patients treated on an in-patient basis within U.S. burn centers. As a result of the concentrated nature of the U.S. burn market, we do not have an external (permanent) distribution or warehousing structure and ship the RECELL System directly from our Ventura facility to U.S. burn centers. From time-to-time we also store small quantities of the RECELL System at satellite distribution sites on the east or west coast of the United States so as to support access of the RECELL System to our customers.</w:t>
      </w:r>
    </w:p>
    <w:p>
      <w:pPr>
        <w:spacing w:after="0" w:line="17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objective of our field sales team is to build upon burn community awareness resulting from the extensive series of burn conference presentations and scientific publications to further expand the interest in clinical and economic benefits of the RECELL System among burn surgeons and other professionals who are not already experienced with the product.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addition, we have generally set a policy of not providing the RECELL System to a burn center or other institution until their site has been certified by us, which includes training in the use of the product and in the proper aftercare of the patient. In general, we expect most U.S. burn centers will follow the industry standard process of evaluating the RECELL System and then taking it through their hospital’s Value Analysis Committees (“</w:t>
      </w:r>
      <w:r>
        <w:rPr>
          <w:rFonts w:ascii="Arial" w:cs="Arial" w:eastAsia="Arial" w:hAnsi="Arial"/>
          <w:sz w:val="16"/>
          <w:szCs w:val="16"/>
          <w:b w:val="1"/>
          <w:bCs w:val="1"/>
          <w:color w:val="auto"/>
        </w:rPr>
        <w:t>VAC</w:t>
      </w:r>
      <w:r>
        <w:rPr>
          <w:rFonts w:ascii="Arial" w:cs="Arial" w:eastAsia="Arial" w:hAnsi="Arial"/>
          <w:sz w:val="16"/>
          <w:szCs w:val="16"/>
          <w:color w:val="auto"/>
        </w:rPr>
        <w:t>”) prior to purchasing the product. This process can sometimes be a lengthy one taking six months or more to complete. As a result of the training requirements and the VAC process, we expect that the adoption of the RECELL System among U.S. burn centers will occur on a gradual basis over multiple years.</w:t>
      </w:r>
    </w:p>
    <w:p>
      <w:pPr>
        <w:spacing w:after="0" w:line="16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the United States, hospital and physician reimbursement associated with in-patient treatment using the RECELL System was in place prior to the commencement of commercial sales. For in-patient treatment of burn patients, U.S. hospitals are reimbursed under DRG (Diagnosis Related Group) Codes based on diagnosis of a patient’s injuries. For physicians, CPT (Current Procedural Terminology) codes for use in procedures using the RECELL System were recommended by the American Burn Association within one week of FDA approval. Future expansion of the use of the RECELL System for the treatment of burns in the outpatient setting will require us to successfully obtain incremental reimbursement coverage for use of the RECELL System in that setting. In August 2020, we filed a Transitional Pass-through Payment Application (“</w:t>
      </w:r>
      <w:r>
        <w:rPr>
          <w:rFonts w:ascii="Arial" w:cs="Arial" w:eastAsia="Arial" w:hAnsi="Arial"/>
          <w:sz w:val="17"/>
          <w:szCs w:val="17"/>
          <w:b w:val="1"/>
          <w:bCs w:val="1"/>
          <w:color w:val="auto"/>
        </w:rPr>
        <w:t>TPT</w:t>
      </w:r>
      <w:r>
        <w:rPr>
          <w:rFonts w:ascii="Arial" w:cs="Arial" w:eastAsia="Arial" w:hAnsi="Arial"/>
          <w:sz w:val="17"/>
          <w:szCs w:val="17"/>
          <w:color w:val="auto"/>
        </w:rPr>
        <w:t>”) with The Centers for Medicare &amp; Medicaid Services (“</w:t>
      </w:r>
      <w:r>
        <w:rPr>
          <w:rFonts w:ascii="Arial" w:cs="Arial" w:eastAsia="Arial" w:hAnsi="Arial"/>
          <w:sz w:val="17"/>
          <w:szCs w:val="17"/>
          <w:b w:val="1"/>
          <w:bCs w:val="1"/>
          <w:color w:val="auto"/>
        </w:rPr>
        <w:t>CMS</w:t>
      </w:r>
      <w:r>
        <w:rPr>
          <w:rFonts w:ascii="Arial" w:cs="Arial" w:eastAsia="Arial" w:hAnsi="Arial"/>
          <w:sz w:val="17"/>
          <w:szCs w:val="17"/>
          <w:color w:val="auto"/>
        </w:rPr>
        <w:t>”) to support separate additional Medicare payment for the RECELL System. If approved CMS would create a new “C code” and would allow the RECELL System to be billed and paid separately in hospital outpatient facilities and ambulatory surgical centers. The Company presently expects to be informed of CMS’s decision on our TPT submission during December 2020, or early 2021.</w:t>
      </w:r>
    </w:p>
    <w:p>
      <w:pPr>
        <w:spacing w:after="0" w:line="18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February 2019 we entered into a collaboration with COSMOTEC, an M3 Group company, to market and distribute the RECELL System for the treatment of burns and other wounds in Japan. We continue to work with COSMOTEC to advance our application for approval to market the RECELL System in Japan pursuant to Japan’s Pharmaceuticals and Medical Devices Act.</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Given the size and concentration of the U.S. Market, our commercialization efforts are almost exclusively focused on that market. Our highly limited commercialization efforts in other regions in which the RECELL System is approved for sale is based on our assessment that the acute burn market in many countries is proportionately less than the market in the United States, and the investments in a full marketing and sales resources and the effort to obtain reimbursement are not justified until we have obtained pivotal clinical results in additional indications. In Australia and Europe we no longer actively promote the RECELL System and have limited our commercialization efforts to filling sales orders as received from a small group of customers who have already been trained to use the product. As additional pivotal trial data for the RECELL System is generated in additional indications, we may seek to commercialize the RECELL System in countries outside the United States through a combination of collaborations and direct efforts, depending upon the territory and the indication.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and distribution programs to advance our products and product candidates, and to expand our intellectual property rights. As of June 30, 2020, we have been granted a total of 50 patents and have 17 pending patent applications worldwide.</w:t>
      </w:r>
    </w:p>
    <w:p>
      <w:pPr>
        <w:spacing w:after="0" w:line="176"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The U.S. patents and patent applications provide coverage with expected expiration dates ranging from 2022 to 2034. U.S. patents covering the composition of matter related to the current RECELL</w:t>
      </w:r>
      <w:r>
        <w:rPr>
          <w:rFonts w:ascii="Arial" w:cs="Arial" w:eastAsia="Arial" w:hAnsi="Arial"/>
          <w:sz w:val="14"/>
          <w:szCs w:val="14"/>
          <w:color w:val="auto"/>
        </w:rPr>
        <w:t>®</w:t>
      </w:r>
      <w:r>
        <w:rPr>
          <w:rFonts w:ascii="Arial" w:cs="Arial" w:eastAsia="Arial" w:hAnsi="Arial"/>
          <w:sz w:val="17"/>
          <w:szCs w:val="17"/>
          <w:color w:val="auto"/>
        </w:rPr>
        <w:t xml:space="preserve"> System expire in 2022. We have filed a Patent Term Extension (PTE) application with the U.S. Patent and Trademark Office requesting an extension of the patent term of U.S. Patent No. 9,029,140, “Cell suspension preparation technique and device” as a result of the time required for the FDA regulatory process. If the term extension requested in the PTE application is approved, the patent term of U.S. Patent No. 9,029,140 will be extended to April 9, 2024. We expect that further research and characterization of the characteristics of the RECELL System, the composition and activity of the Spray-On Skin</w:t>
      </w:r>
      <w:r>
        <w:rPr>
          <w:rFonts w:ascii="Arial" w:cs="Arial" w:eastAsia="Arial" w:hAnsi="Arial"/>
          <w:sz w:val="14"/>
          <w:szCs w:val="14"/>
          <w:color w:val="auto"/>
        </w:rPr>
        <w:t>™</w:t>
      </w:r>
      <w:r>
        <w:rPr>
          <w:rFonts w:ascii="Arial" w:cs="Arial" w:eastAsia="Arial" w:hAnsi="Arial"/>
          <w:sz w:val="17"/>
          <w:szCs w:val="17"/>
          <w:color w:val="auto"/>
        </w:rPr>
        <w:t xml:space="preserve"> Cells solution, and the design of the device currently underway may provide additional claims, including composition of matter, for which we will be able to pursue additional U.S. and international patent applications in key international markets, parallel to those in the U.S.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to patent protection, we also rely on trade secrets, including unpatented know-how, technology innovation, drawings, technical specifications and other proprietary information in attempting to develop and maintain our competitive position. We also rely on protection available under trademark laws, and we currently hold various registered trademarks and pending trademark applications, including the “RECELL,” “Spray-On Skin” Cells, “REGENERATIVE EPITHELIAL SUSPENSION,” and “RES,” in the U.S. and international markets.</w:t>
      </w:r>
    </w:p>
    <w:p>
      <w:pPr>
        <w:spacing w:after="0" w:line="18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While our policy is to obtain patents by application, license or otherwise, to maintain trade secrets and to seek to operate without infringing on the intellectual property rights of third parties, technologies related to our business have been rapidly developing in recent years. Additionally, patent applications that we may file or license from third parties may not result in the issuance of patents, and our issued patents and any issued patents that we may receive in the future may be challenged, invalidated or circumvented. For example, we cannot predict the extent of claims that may be allowed or enforced in our patents nor be certain of the priority of inventions covered by pending third-party patent applications. If third parties prepare and file patent applications that also claim technology or therapeutics to which we have rights, we may have to participate in proceedings to determine priority of invention, which could result in substantial costs to us, even if the eventual outcome is favorable to us. Moreover, because of the extensive time required for clinical development and regulatory review of a product we may develop, it is possible that, before the RECELL System can be commercialized in additional indications or jurisdictions and/or before any of our future products can be commercialized, related patents will have expired or will expire a short period following commercialization, thereby reducing the advantage of such patent. Loss or invalidation of certain of our patents, or a finding of unenforceability or limited scope of certain of our intellectual property, could have a material adverse effect on us. See “</w:t>
      </w:r>
      <w:r>
        <w:rPr>
          <w:rFonts w:ascii="Arial" w:cs="Arial" w:eastAsia="Arial" w:hAnsi="Arial"/>
          <w:sz w:val="17"/>
          <w:szCs w:val="17"/>
          <w:i w:val="1"/>
          <w:iCs w:val="1"/>
          <w:color w:val="auto"/>
        </w:rPr>
        <w:t>ITEM</w:t>
      </w:r>
      <w:r>
        <w:rPr>
          <w:rFonts w:ascii="Arial" w:cs="Arial" w:eastAsia="Arial" w:hAnsi="Arial"/>
          <w:sz w:val="17"/>
          <w:szCs w:val="17"/>
          <w:color w:val="auto"/>
        </w:rPr>
        <w:t xml:space="preserve"> </w:t>
      </w:r>
      <w:r>
        <w:rPr>
          <w:rFonts w:ascii="Arial" w:cs="Arial" w:eastAsia="Arial" w:hAnsi="Arial"/>
          <w:sz w:val="17"/>
          <w:szCs w:val="17"/>
          <w:i w:val="1"/>
          <w:iCs w:val="1"/>
          <w:color w:val="auto"/>
        </w:rPr>
        <w:t>1A. Risk Factors – If we are unable to effectively protect our intellectual property, we may not be able to operate our business and third parties may be able to use and profit from our technology, both of which would impair our ability to be competitive</w:t>
      </w:r>
      <w:r>
        <w:rPr>
          <w:rFonts w:ascii="Arial" w:cs="Arial" w:eastAsia="Arial" w:hAnsi="Arial"/>
          <w:sz w:val="17"/>
          <w:szCs w:val="17"/>
          <w:color w:val="auto"/>
        </w:rPr>
        <w: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medical device, biotechnology and pharmaceutical industries are intensely competitive and subject to significant technological change and changes in practice. While we believe that our innovative technology, knowledge, experience and scientific resources provide us with competitive advantages, we may face competition from many different sources with respect to the RECELL System or any product candidates that we may seek to develop and commercialize in the future. Possible competitors may include medical device, pharmaceutical and wound care companies, academic and medical institutions, governmental agencies, medical practitioners, and public and private research institutions, among others. Any product that we successfully develop and commercialize will compete with existing therapies and new therapies that may become available in the future.</w:t>
      </w:r>
    </w:p>
    <w:p>
      <w:pPr>
        <w:spacing w:after="0" w:line="16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addition, in the treatment of acute burns we face competition from the current standard of care, primarily split-thickness autografts, together with other skin replacement offerings such as Epicel, which is manufactured by Vericel Inc. Although the RECELL System is complementary with autografts for the treatment of many burn injuries, we face competition from this traditional surgical procedure for many burn patients. However, based on our clinical trials, we believe that the RECELL System has sustainable competitive clinical and economic advantages over the current standard of care.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FDA and International Regulation</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production and marketing of the RECELL System and any additional product candidates developed in future ongoing research and development activities are subject to regulation by numerous governmental authorities including the FDA in the United States and similar agencies in other countries throughout the world.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Pursuant to its authority under the Federal Food, Drug, and Cosmetic Act (FD&amp;C Act) the FDA has jurisdiction over medical devices in the United States. The FDA regulates, among other things,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or PMA. The RECELL System is categorized as a Class III medical device, and in September 2018 the FDA approved our PMA for use in the treatment of acute thermal burns in patients 18 years and older. Approval of the RECELL System for use in the treatment of additional indications in the United States will require the submission to the FDA of a supplement to our PMA following successful completion of clinical studies.</w:t>
      </w:r>
    </w:p>
    <w:p>
      <w:pPr>
        <w:spacing w:after="0" w:line="16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To support a PMA supplement or other application for approval in the United States or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17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Any products manufactured or distributed by us pursuant to regulatory approvals are subject to continuing regulation by the FDA and similar agencies in other countries, including manufacturing, periodic reporting, product sampling and distribution,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FDA and other agency review and approval. Medical device manufacturers and their subcontractors are required to register their establishments with the FDA, certain state agencies and international agencies, and are subject to periodic announced and unannounced inspections by the FDA and these other agencies for compliance with cGMP requirements. We have an established process in place for categorization of vendor criticality and the associated activities for qualification and monitoring, which include but are not limited to, requiring certification of supplier in conformance to relevant cGMP regulations and other FDA and international agency regulatory requirements, approved supplier lists, and regular Company 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w:t>
      </w:r>
    </w:p>
    <w:p>
      <w:pPr>
        <w:spacing w:after="0" w:line="168"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The RECELL System is TGA-registered in Australia for use in the treatment of burns, acute wounds, scars and vitiligo. In the European Union, the RECELL System received CE-mark approval for the treatment of burns, chronic wounds, scars and vitiligo. In March 2019 we temporarily interrupted sales of the RECELL System in the EU. The sales interruption occurred after the notified body responsible for EU certificates reported open items related to administrative and procedural non-conformities. These open items are limited to product distributed within the EU and are not related to product quality, performance or safety. While the temporary non-conformity caused us to suspend fulfilling any purchase requests in the EU, this action had no impact on the sale of products outside of the EU. We do not actively promote the products in the EU and its activity in the region is limited to filling purchase requests as they are received, therefore the financial impact to us of this temporary interruption was immaterial. On June 12, 2019, the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notified body responsible for EU certificates closed all open administrative and procedural non-conformities previously announced and fully reinstated our EU certificates to allow the resumption of sales throughout the EU. In February 2019, our marketing partner COSMOTEC filed a Japan’s Pharmaceuticals and Medical Devices Act (“</w:t>
      </w:r>
      <w:r>
        <w:rPr>
          <w:rFonts w:ascii="Arial" w:cs="Arial" w:eastAsia="Arial" w:hAnsi="Arial"/>
          <w:sz w:val="17"/>
          <w:szCs w:val="17"/>
          <w:b w:val="1"/>
          <w:bCs w:val="1"/>
          <w:color w:val="auto"/>
        </w:rPr>
        <w:t>JPMDA</w:t>
      </w:r>
      <w:r>
        <w:rPr>
          <w:rFonts w:ascii="Arial" w:cs="Arial" w:eastAsia="Arial" w:hAnsi="Arial"/>
          <w:sz w:val="17"/>
          <w:szCs w:val="17"/>
          <w:color w:val="auto"/>
        </w:rPr>
        <w:t>”) application for approval to market the RECELL System in Japan for the treatment of burns and other wounds. The JPMDA has accepted the application and the review is ongoing with approval expected to occur during 2021.</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The Foreign Corrupt Practices Act</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U.S.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other anti-corruption laws that apply in countries where we do business.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are subject to extensive environmental, health and safety laws and regulations in a number of jurisdictions, primarily in the United States, governing, among other things: the use, storage, registration, handling, emission and disposal of chemicals, waste materials and sewage; chemicals, air, water and ground contamination; and air emissions and the cleanup of contaminated sites, including any contamination that results from spills due to our failure to properly dispose of chemicals, waste materials and sewage. Our operations at our Ventura manufacturing facility use biologic agents and produce waste materials and sewage. Our activities require permits from various governmental authorities including, local municipal authorities. Local authorities and the municipal water and sewage company conduct periodic inspections in order to review and ensure our compliance with the various regulations. We are not presently aware of any violations or deficiencies. These laws, regulations and permits could potentially require the expenditure by us for compliance or remediation.</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Should we be in violation of any such laws, we may be identified as a responsible party under such laws. Such developments could have a material adverse effect on our business, financial condition and results of operations. 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a total of six subsidiaries and their corporate details and business activities are listed below:</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Subsidiary Name</w:t>
            </w:r>
          </w:p>
        </w:tc>
        <w:tc>
          <w:tcPr>
            <w:tcW w:w="3180" w:type="dxa"/>
            <w:vAlign w:val="bottom"/>
          </w:tcPr>
          <w:p>
            <w:pPr>
              <w:ind w:left="2240"/>
              <w:spacing w:after="0"/>
              <w:rPr>
                <w:sz w:val="20"/>
                <w:szCs w:val="20"/>
                <w:color w:val="auto"/>
              </w:rPr>
            </w:pPr>
            <w:r>
              <w:rPr>
                <w:rFonts w:ascii="Arial" w:cs="Arial" w:eastAsia="Arial" w:hAnsi="Arial"/>
                <w:sz w:val="14"/>
                <w:szCs w:val="14"/>
                <w:b w:val="1"/>
                <w:bCs w:val="1"/>
                <w:color w:val="auto"/>
              </w:rPr>
              <w:t>Place of</w:t>
            </w:r>
          </w:p>
        </w:tc>
        <w:tc>
          <w:tcPr>
            <w:tcW w:w="6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0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Business Purpose</w:t>
            </w: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3180" w:type="dxa"/>
            <w:vAlign w:val="bottom"/>
          </w:tcPr>
          <w:p>
            <w:pPr>
              <w:ind w:left="2040"/>
              <w:spacing w:after="0"/>
              <w:rPr>
                <w:sz w:val="20"/>
                <w:szCs w:val="20"/>
                <w:color w:val="auto"/>
              </w:rPr>
            </w:pPr>
            <w:r>
              <w:rPr>
                <w:rFonts w:ascii="Arial" w:cs="Arial" w:eastAsia="Arial" w:hAnsi="Arial"/>
                <w:sz w:val="14"/>
                <w:szCs w:val="14"/>
                <w:b w:val="1"/>
                <w:bCs w:val="1"/>
                <w:color w:val="auto"/>
              </w:rPr>
              <w:t>Incorporation</w:t>
            </w:r>
          </w:p>
        </w:tc>
        <w:tc>
          <w:tcPr>
            <w:tcW w:w="600" w:type="dxa"/>
            <w:vAlign w:val="bottom"/>
          </w:tcPr>
          <w:p>
            <w:pPr>
              <w:ind w:left="180"/>
              <w:spacing w:after="0"/>
              <w:rPr>
                <w:sz w:val="20"/>
                <w:szCs w:val="20"/>
                <w:color w:val="auto"/>
              </w:rPr>
            </w:pPr>
            <w:r>
              <w:rPr>
                <w:rFonts w:ascii="Arial" w:cs="Arial" w:eastAsia="Arial" w:hAnsi="Arial"/>
                <w:sz w:val="14"/>
                <w:szCs w:val="14"/>
                <w:b w:val="1"/>
                <w:bCs w:val="1"/>
                <w:color w:val="auto"/>
              </w:rPr>
              <w:t>Held</w:t>
            </w:r>
          </w:p>
        </w:tc>
        <w:tc>
          <w:tcPr>
            <w:tcW w:w="2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AVITA Medical Limited</w:t>
            </w:r>
          </w:p>
        </w:tc>
        <w:tc>
          <w:tcPr>
            <w:tcW w:w="31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Australia</w:t>
            </w:r>
          </w:p>
        </w:tc>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Company</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AVITA Medical Americas, LLC</w:t>
            </w:r>
          </w:p>
        </w:tc>
        <w:tc>
          <w:tcPr>
            <w:tcW w:w="3180" w:type="dxa"/>
            <w:vAlign w:val="bottom"/>
          </w:tcPr>
          <w:p>
            <w:pPr>
              <w:ind w:left="1820"/>
              <w:spacing w:after="0"/>
              <w:rPr>
                <w:sz w:val="20"/>
                <w:szCs w:val="20"/>
                <w:color w:val="auto"/>
              </w:rPr>
            </w:pPr>
            <w:r>
              <w:rPr>
                <w:rFonts w:ascii="Arial" w:cs="Arial" w:eastAsia="Arial" w:hAnsi="Arial"/>
                <w:sz w:val="18"/>
                <w:szCs w:val="18"/>
                <w:color w:val="auto"/>
              </w:rPr>
              <w:t>Delaware</w:t>
            </w:r>
          </w:p>
        </w:tc>
        <w:tc>
          <w:tcPr>
            <w:tcW w:w="600" w:type="dxa"/>
            <w:vAlign w:val="bottom"/>
          </w:tcPr>
          <w:p>
            <w:pPr>
              <w:ind w:left="220"/>
              <w:spacing w:after="0"/>
              <w:rPr>
                <w:sz w:val="20"/>
                <w:szCs w:val="20"/>
                <w:color w:val="auto"/>
              </w:rPr>
            </w:pPr>
            <w:r>
              <w:rPr>
                <w:rFonts w:ascii="Arial" w:cs="Arial" w:eastAsia="Arial" w:hAnsi="Arial"/>
                <w:sz w:val="18"/>
                <w:szCs w:val="18"/>
                <w:color w:val="auto"/>
              </w:rPr>
              <w:t>100</w:t>
            </w:r>
          </w:p>
        </w:tc>
        <w:tc>
          <w:tcPr>
            <w:tcW w:w="2040" w:type="dxa"/>
            <w:vAlign w:val="bottom"/>
          </w:tcPr>
          <w:p>
            <w:pPr>
              <w:ind w:left="120"/>
              <w:spacing w:after="0"/>
              <w:rPr>
                <w:sz w:val="20"/>
                <w:szCs w:val="20"/>
                <w:color w:val="auto"/>
              </w:rPr>
            </w:pPr>
            <w:r>
              <w:rPr>
                <w:rFonts w:ascii="Arial" w:cs="Arial" w:eastAsia="Arial" w:hAnsi="Arial"/>
                <w:sz w:val="18"/>
                <w:szCs w:val="18"/>
                <w:color w:val="auto"/>
              </w:rPr>
              <w:t>U.S. operations</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AVITA Medical Europe Limited</w:t>
            </w:r>
          </w:p>
        </w:tc>
        <w:tc>
          <w:tcPr>
            <w:tcW w:w="31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United Kingdom</w:t>
            </w:r>
          </w:p>
        </w:tc>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EMEA operations</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Visiomed Group Pty Ltd</w:t>
            </w:r>
          </w:p>
        </w:tc>
        <w:tc>
          <w:tcPr>
            <w:tcW w:w="3180" w:type="dxa"/>
            <w:vAlign w:val="bottom"/>
          </w:tcPr>
          <w:p>
            <w:pPr>
              <w:ind w:left="1820"/>
              <w:spacing w:after="0"/>
              <w:rPr>
                <w:sz w:val="20"/>
                <w:szCs w:val="20"/>
                <w:color w:val="auto"/>
              </w:rPr>
            </w:pPr>
            <w:r>
              <w:rPr>
                <w:rFonts w:ascii="Arial" w:cs="Arial" w:eastAsia="Arial" w:hAnsi="Arial"/>
                <w:sz w:val="18"/>
                <w:szCs w:val="18"/>
                <w:color w:val="auto"/>
              </w:rPr>
              <w:t>Australia</w:t>
            </w:r>
          </w:p>
        </w:tc>
        <w:tc>
          <w:tcPr>
            <w:tcW w:w="600" w:type="dxa"/>
            <w:vAlign w:val="bottom"/>
          </w:tcPr>
          <w:p>
            <w:pPr>
              <w:ind w:left="220"/>
              <w:spacing w:after="0"/>
              <w:rPr>
                <w:sz w:val="20"/>
                <w:szCs w:val="20"/>
                <w:color w:val="auto"/>
              </w:rPr>
            </w:pPr>
            <w:r>
              <w:rPr>
                <w:rFonts w:ascii="Arial" w:cs="Arial" w:eastAsia="Arial" w:hAnsi="Arial"/>
                <w:sz w:val="18"/>
                <w:szCs w:val="18"/>
                <w:color w:val="auto"/>
              </w:rPr>
              <w:t>100</w:t>
            </w:r>
          </w:p>
        </w:tc>
        <w:tc>
          <w:tcPr>
            <w:tcW w:w="2040" w:type="dxa"/>
            <w:vAlign w:val="bottom"/>
          </w:tcPr>
          <w:p>
            <w:pPr>
              <w:ind w:left="120"/>
              <w:spacing w:after="0"/>
              <w:rPr>
                <w:sz w:val="20"/>
                <w:szCs w:val="20"/>
                <w:color w:val="auto"/>
              </w:rPr>
            </w:pPr>
            <w:r>
              <w:rPr>
                <w:rFonts w:ascii="Arial" w:cs="Arial" w:eastAsia="Arial" w:hAnsi="Arial"/>
                <w:sz w:val="18"/>
                <w:szCs w:val="18"/>
                <w:color w:val="auto"/>
              </w:rPr>
              <w:t>Asia Pacific Operations</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C3 Operations Pty Ltd</w:t>
            </w:r>
          </w:p>
        </w:tc>
        <w:tc>
          <w:tcPr>
            <w:tcW w:w="31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Australia</w:t>
            </w:r>
          </w:p>
        </w:tc>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Holding company</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Infamed Pty Ltd</w:t>
            </w:r>
          </w:p>
        </w:tc>
        <w:tc>
          <w:tcPr>
            <w:tcW w:w="3180" w:type="dxa"/>
            <w:vAlign w:val="bottom"/>
          </w:tcPr>
          <w:p>
            <w:pPr>
              <w:ind w:left="1820"/>
              <w:spacing w:after="0"/>
              <w:rPr>
                <w:sz w:val="20"/>
                <w:szCs w:val="20"/>
                <w:color w:val="auto"/>
              </w:rPr>
            </w:pPr>
            <w:r>
              <w:rPr>
                <w:rFonts w:ascii="Arial" w:cs="Arial" w:eastAsia="Arial" w:hAnsi="Arial"/>
                <w:sz w:val="18"/>
                <w:szCs w:val="18"/>
                <w:color w:val="auto"/>
              </w:rPr>
              <w:t>Australia</w:t>
            </w:r>
          </w:p>
        </w:tc>
        <w:tc>
          <w:tcPr>
            <w:tcW w:w="600" w:type="dxa"/>
            <w:vAlign w:val="bottom"/>
          </w:tcPr>
          <w:p>
            <w:pPr>
              <w:ind w:left="220"/>
              <w:spacing w:after="0"/>
              <w:rPr>
                <w:sz w:val="20"/>
                <w:szCs w:val="20"/>
                <w:color w:val="auto"/>
              </w:rPr>
            </w:pPr>
            <w:r>
              <w:rPr>
                <w:rFonts w:ascii="Arial" w:cs="Arial" w:eastAsia="Arial" w:hAnsi="Arial"/>
                <w:sz w:val="18"/>
                <w:szCs w:val="18"/>
                <w:color w:val="auto"/>
              </w:rPr>
              <w:t>100</w:t>
            </w:r>
          </w:p>
        </w:tc>
        <w:tc>
          <w:tcPr>
            <w:tcW w:w="2040" w:type="dxa"/>
            <w:vAlign w:val="bottom"/>
          </w:tcPr>
          <w:p>
            <w:pPr>
              <w:ind w:left="120"/>
              <w:spacing w:after="0"/>
              <w:rPr>
                <w:sz w:val="20"/>
                <w:szCs w:val="20"/>
                <w:color w:val="auto"/>
              </w:rPr>
            </w:pPr>
            <w:r>
              <w:rPr>
                <w:rFonts w:ascii="Arial" w:cs="Arial" w:eastAsia="Arial" w:hAnsi="Arial"/>
                <w:sz w:val="18"/>
                <w:szCs w:val="18"/>
                <w:color w:val="auto"/>
              </w:rPr>
              <w:t>Inactive</w:t>
            </w:r>
          </w:p>
        </w:tc>
        <w:tc>
          <w:tcPr>
            <w:tcW w:w="0" w:type="dxa"/>
            <w:vAlign w:val="bottom"/>
          </w:tcPr>
          <w:p>
            <w:pPr>
              <w:spacing w:after="0"/>
              <w:rPr>
                <w:sz w:val="1"/>
                <w:szCs w:val="1"/>
                <w:color w:val="auto"/>
              </w:rPr>
            </w:pPr>
          </w:p>
        </w:tc>
      </w:tr>
      <w:tr>
        <w:trPr>
          <w:trHeight w:val="350"/>
        </w:trPr>
        <w:tc>
          <w:tcPr>
            <w:tcW w:w="344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As of June 30, 2020, we had 98 full time employees. Our employees are not members of any labor union, and we have never experienced business interruptions due to labor disputes.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The Company files annual, quarterly, and current reports, proxy statements and other documents with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xml:space="preserve">”) under the Exchange Act. The SEC maintains an Internet website that contains reports, proxy and information statements, and other information regarding issuers that file electronically with the SEC. The public can obtain any documents that we file with the SEC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copies of announcements made by the Company to ASX are available on the ASX website (www.asx.com.au) and also under the heading “Investors: Press Releases” at the following link on our website (https://ir.avitamedical.com/press-releases).</w:t>
      </w:r>
    </w:p>
    <w:p>
      <w:pPr>
        <w:spacing w:after="0" w:line="172"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maintain a website at www.avitamedical.com. Since becoming a domestic, U.S. issuer on July 1, 2020, our filings with the SEC, including without limitation, our annual reports on Form 10-K, quarterly reports on Form 10-Q, current reports on Form 8-K, and amendments to those reports filed or furnished pursuant to Section 13(a) or 15(d) of the Exchange Act, are available free of charge through a link maintained on our website under the heading “Investor Relations—SEC Filings,” as soon as reasonably practicable after we file or furnish them electronically with the SEC. Information contained on our website is not incorporated by reference into this report.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business faces significant risks. You should carefully consider all of the information set forth in this Annual Report, including the following risk factors. Our business, results of operations, and financial condition could be materially and adversely affected by any of these risks, and in such event, the trading price of our common stock would likely decline and you might lose all or part of your investment. This Annual Report also contains forward-looking statements that involve risks and uncertainties and our results could materially differ from those anticipated in these forward-looking statements. See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included elsewhere within this Annual Report for a discussion of certain risks, uncertainties and assumptions associated with these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experienced significant losses, expect losses to continue for the foreseeable future and may never achieve or maintain profitability.</w:t>
      </w:r>
    </w:p>
    <w:p>
      <w:pPr>
        <w:spacing w:after="0" w:line="14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Although we have begun full scale marketing and sales of our RECELL</w:t>
      </w:r>
      <w:r>
        <w:rPr>
          <w:rFonts w:ascii="Arial" w:cs="Arial" w:eastAsia="Arial" w:hAnsi="Arial"/>
          <w:sz w:val="14"/>
          <w:szCs w:val="14"/>
          <w:color w:val="auto"/>
        </w:rPr>
        <w:t>®</w:t>
      </w:r>
      <w:r>
        <w:rPr>
          <w:rFonts w:ascii="Arial" w:cs="Arial" w:eastAsia="Arial" w:hAnsi="Arial"/>
          <w:sz w:val="17"/>
          <w:szCs w:val="17"/>
          <w:color w:val="auto"/>
        </w:rPr>
        <w:t xml:space="preserve"> System in the United States and other jurisdictions, such sales have been limited to date and we have not yet obtained profitability. We had a total comprehensive loss of $42 million, $25 million, and $12.7 million for our fiscal years ended June 30, 2020, 2019 and 2018, respectively. We have incurred a cumulative deficit of $194.9 million through June 30, 2020. We anticipate that we may continue to incur losses at least until margins from U.S. sales of the RECELL System are adequate to fund operating expenses. We may not be able to successfully achieve or sustain profitability. Successful transition to profitable operations is dependent upon achieving a level of revenues adequate to support our cost structure, including in new markets for which we are not presently approved.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Our operations are overseen directly by management. Our management oversees all responsibilities in the areas of corporate administration, business development, and research. We have successfully expanded our current management to retain skilled employees with experience to our business and intend to continue with this initiative.</w:t>
      </w:r>
    </w:p>
    <w:p>
      <w:pPr>
        <w:spacing w:after="0" w:line="29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may be unsuccessful in obtaining additional approvals for our RECELL System for the treatment of pediatric burns, trauma wounds and skin conditions such as vitiligo.</w:t>
      </w:r>
    </w:p>
    <w:p>
      <w:pPr>
        <w:spacing w:after="0" w:line="6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Although our PMA application for the RECELL System was approved by the FDA for use in the treatment of acute thermal burn wounds in patients 18 years and older in September 2018, it has not been approved for additional indications such as pediatric burns or trauma wounds, or for the treatment of vitiligo. We plan to expand into each of these indications and will need to apply for a supplement to our PMA approval with the FDA in connection with each proposed additional indication. While clinical trials for such uses are presently underway or planned, there can be no assurance that we will be successful in those clinical trials or ever receive approval by the FDA for the use of our RECELL System for such additional applications. Such a failure of approval would have a material negative effect on our future prospects.</w:t>
      </w:r>
    </w:p>
    <w:p>
      <w:pPr>
        <w:spacing w:after="0" w:line="2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are dependent on our contract with the U.S. Biomedical Advanced Research and Development Authority (“BARDA”), and if we do not continue to receive funding under this contract, we may need to obtain alternative sources of funding.</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have a contract with BARDA valued currently at $53.4 million related to funding for the development of the RECELL System and future use of the product to assist disaster preparedness and response in the United States for mass casualties involving burn victims. As of June 30, 2020, we had received cumulative payments of $24.4 million under the BARDA contract. Under the contract BARDA has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a randomized, controlled clinical trial in pediatric scald patients. Also included in the BARDA contract is a provision for the future procurement of the RECELL System by BARDA under a vendor-managed inventory system to bolster disaster preparedness which BARDA initiated procurement for in July 2020. There can be no assurances that BARDA will take shipment of the RECELL System under the contract nor that BARDA will perform under the contract and changes in government agenda and annual budgets may result in changing priorities and funding mandates at BARDA. Any reduction or delay in BARDA funding may force us to seek alternative funding, which may not be available on non-dilutive terms, terms favorable to us or at all, or cease our development programs related to the BARDA contract.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Provisions in our U.S. government contracts, including our contracts with BARDA, may affect our intellectual property rights.</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Certain of our activities have been funded, and may in the future be funded, by the U.S. government, including through our contracts with BARDA. When new technologies are developed with U.S. government funding, the government obtains certain rights in any resulting patents, including the right to a nonexclusive license authorizing the government to use the invention and rights that may permit the government to disclose our confidential information to third parties and to exercise “march-in” rights.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U.S. government funding must be disclosed in any resulting patent applications, and our rights in such inventions may be subject to certain requirements to manufacture products in the United States.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Development and commercialization of any products requires successful completion of the regulatory approval process and may suffer delays or fail.</w:t>
      </w:r>
    </w:p>
    <w:p>
      <w:pPr>
        <w:spacing w:after="0" w:line="15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the United States, as well as other jurisdictions, we have been and will be required to apply for and receive regulatory authorization before we can market our products. Although our RECELL System has been approved for use in the treatment of acute thermal burn wounds in patients 18 years and older in the United States, we will have to apply for a supplement to our PMA approval to market the product for use in the treatment of pediatric burns, trauma injuries and vitiligo. In Australia, the RECELL System is approved to use for the treatment of burns, acute wounds, scars and repigmentation (vitiligo). In the EU the product has been approved for the treatment of burns, chronic wounds, scars and vitiligo. We will require additional clinical data or approvals from regulatory authorities within these countries to market the product for the treatment of other indications, and from any other jurisdictions in which we seek to market the product. This process can be time consuming and complicated and may be unsuccessful or otherwise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168"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6"/>
          <w:szCs w:val="16"/>
          <w:color w:val="auto"/>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w:t>
      </w:r>
    </w:p>
    <w:p>
      <w:pPr>
        <w:spacing w:after="0" w:line="1" w:lineRule="exact"/>
        <w:rPr>
          <w:sz w:val="20"/>
          <w:szCs w:val="20"/>
          <w:color w:val="auto"/>
        </w:rPr>
      </w:pPr>
    </w:p>
    <w:p>
      <w:pPr>
        <w:jc w:val="both"/>
        <w:ind w:left="120" w:right="140"/>
        <w:spacing w:after="0" w:line="277"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elsewhere. If we are slow or unable to adapt to new or changed requirements, or if we are not able to maintain regulatory compliance, we may lose any marketing approval that we may have obtained, and we may not achieve or sustain profitability.</w:t>
      </w:r>
    </w:p>
    <w:p>
      <w:pPr>
        <w:spacing w:after="0" w:line="173"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p>
    <w:p>
      <w:pPr>
        <w:spacing w:after="0" w:line="1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w:t>
      </w:r>
    </w:p>
    <w:p>
      <w:pPr>
        <w:spacing w:after="0" w:line="2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if the FDA grants marketing approval for use of our RECELL System for the treatment of pediatric burns, trauma injuries and/or vitiligo, comparable regulatory authorities in foreign jurisdictions must also approve the manufacturing, marketing and promotion of the product candidate in those countries if not currently approved.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medical device must be approved for reimbursement before it can be approved for sale in that jurisdiction. In some cases, the price that we intend to charge for our products is also subject to approval.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regulatory approval (“PMA”) in the United States and failure to maintain that approval would materially impact our business and prospects.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business is highly dependent on the PMA we received in September 2018 from the FDA. This PMA allows us to sell our RECELL System in the United States, our current primary market. In addition, maintaining this PMA also increases the probability of approval of secondary indications for the PMA outside of trauma burns. While we intend to take every action and precaution to ensure that our PMA remains effective, it is possible that the FDA could take a position in the future that requires a modification, temporary suspension or revocation of our PMA. Any such action by the FDA would have a material adverse effect on our business.</w:t>
      </w:r>
    </w:p>
    <w:p>
      <w:pPr>
        <w:spacing w:after="0" w:line="29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any further clinical studies necessary to support any regulatory applications for additional commercial applications of our technology.</w:t>
      </w:r>
    </w:p>
    <w:p>
      <w:pPr>
        <w:spacing w:after="0" w:line="62"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failure in a clinical study or regulatory application can occur at any stage. Events that may prevent successful or timely commencement, enrollment or completion of clinical development or a regulatory application include:</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raising, or inability to raise, sufficient capital to fund the planned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trial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trial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identify, recruit and train suitable clinical investigators;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add new clinical trial sites;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for the performance of the trials with prospective clinical research organizations and clinical trial sites;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recruiting suitable clinical sites and patients (i.e., subjects) to participate in clinical trials;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negative clinical results, safety concerns or as a result of an inspection of manufacturing or clinical operations or trial sites;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by any relevant parties to adhere to clinical trial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perform in accordance with the FDA’s GCP, or applicable regulatory guidelines in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caused by clinical trial sites not completing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demonstrate adequate effectiveness;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that are associated with the product candidates that are viewed to outweigh its potential benefits;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events, safety issues, product recalls, manufacturing or supply chain interruptions, or poor clinical outcomes where the RECELL System is being used commercially;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disagreements with regulatory agencies in the interpretation of the data from our clinical trials.</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may be unsuccessful in commercializing our RECELL System, or other future products, due to unfavorable pricing regulations or third-party coverage and reimbursement policies.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cannot guarantee that we will receive favorable pricing and reimbursement for use of our products. The rules and regulations that govern pricing and reimbursement for medical products vary widely from country to country or from indication to indication, and within the United States, can also vary widely from one health system or hospital to the next. In some foreign jurisdictions, including the EU,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w:t>
      </w:r>
    </w:p>
    <w:p>
      <w:pPr>
        <w:spacing w:after="0" w:line="187"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If we are unable to promptly obtain coverage and profitable payment rates from hospital budget, government-funded and private purchasers for the RECELL System or any future products, this could have a material adverse effect on our operating results, our ability to raise capital needed to commercialize products and our overall financial condition.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example, we presently benefit from various reimbursement codes, including the following:</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Medicare reimburses hospitals for inpatient services using MS-DRGs (Medicare Severity Diagnosis-Related Groups).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Specific ICD-10-PCS code series describing our “cell suspension technique” for the use of the RECELL System.</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Procedural Terminology (“</w:t>
      </w:r>
      <w:r>
        <w:rPr>
          <w:rFonts w:ascii="Arial" w:cs="Arial" w:eastAsia="Arial" w:hAnsi="Arial"/>
          <w:sz w:val="18"/>
          <w:szCs w:val="18"/>
          <w:b w:val="1"/>
          <w:bCs w:val="1"/>
          <w:color w:val="auto"/>
        </w:rPr>
        <w:t>CPT</w:t>
      </w:r>
      <w:r>
        <w:rPr>
          <w:rFonts w:ascii="Arial" w:cs="Arial" w:eastAsia="Arial" w:hAnsi="Arial"/>
          <w:sz w:val="18"/>
          <w:szCs w:val="18"/>
          <w:color w:val="auto"/>
        </w:rPr>
        <w:t>”) for physicians to support reimbursement for physician rendered healthcare services.</w:t>
      </w:r>
    </w:p>
    <w:p>
      <w:pPr>
        <w:spacing w:after="0" w:line="22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There can be no guarantee that the above reimbursement codes will not be withdrawn, reduced, consolidated or otherwise be altered in a manner which is not supportive of ongoing commercial use of the RECELL System. In addition, we are also seeking a Transitional Pass-through Application (“</w:t>
      </w:r>
      <w:r>
        <w:rPr>
          <w:rFonts w:ascii="Arial" w:cs="Arial" w:eastAsia="Arial" w:hAnsi="Arial"/>
          <w:sz w:val="17"/>
          <w:szCs w:val="17"/>
          <w:b w:val="1"/>
          <w:bCs w:val="1"/>
          <w:color w:val="auto"/>
        </w:rPr>
        <w:t>TPT</w:t>
      </w:r>
      <w:r>
        <w:rPr>
          <w:rFonts w:ascii="Arial" w:cs="Arial" w:eastAsia="Arial" w:hAnsi="Arial"/>
          <w:sz w:val="17"/>
          <w:szCs w:val="17"/>
          <w:color w:val="auto"/>
        </w:rPr>
        <w:t>”) to support additional Medicare payment in the outpatient and the ambulatory surgical setting, and there can be no guarantee that the TPT will be approved or we will be available in an amount or manner that supports our commercialization efforts.</w:t>
      </w:r>
    </w:p>
    <w:p>
      <w:pPr>
        <w:spacing w:after="0" w:line="27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b w:val="1"/>
          <w:bCs w:val="1"/>
          <w:i w:val="1"/>
          <w:iCs w:val="1"/>
          <w:color w:val="auto"/>
        </w:rPr>
        <w:t>We have limited financial resources and will likely require additional financings to continue the development and commercialization of our RECELL System or any future products, which may cause dilution to our existing stockholders or place restrictions on our operations. If additional financing is not available, we may have to postpone, reduce or cease operations.</w:t>
      </w:r>
    </w:p>
    <w:p>
      <w:pPr>
        <w:spacing w:after="0" w:line="5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we are unable to achieve profitability sufficient to permit us to fund our operations and other planned actions, we may be required to raise additional capital. There can be no assurance that such capital would be available on favorable terms, or at all. If we raise additional capital through the issuance of equity or convertible debt securities, the percentage ownership held by existing stockholders may be reduced, and the market price of our common stock or CDIs could fall due to an increased number of shares or CDIs available for sale in the market. Debt financing, if available, may involve restrictive covenants, which may limit our operating flexibility with respect to certain business matters. If we are unable to secure additional capital as circumstances require, we may not be able to fund our planned activities or continue our operations.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We have limited experience in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global third-party manufacturers, Baxter International Inc., Hospira (a division of Pfizer), Thermo Fisher Scientific, Lyophilization Services of New England and Becton Dickinson and Company, for production of some of the components used in the RECELL System. If our facility, or the facilities of our third-party contract manufacturers, suffer damage, or a force majeure event, this could materially impact our ability to operate.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also subject to other risks relating to our manufacturing capabilities, including:</w:t>
      </w:r>
    </w:p>
    <w:p>
      <w:pPr>
        <w:spacing w:after="0" w:line="131" w:lineRule="exact"/>
        <w:rPr>
          <w:sz w:val="20"/>
          <w:szCs w:val="20"/>
          <w:color w:val="auto"/>
        </w:rPr>
      </w:pPr>
    </w:p>
    <w:p>
      <w:pPr>
        <w:ind w:left="1080" w:right="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some of whom are our single-source suppliers for the products they supply;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secure raw materials, components and materials in a timely manner, in sufficient quantities or on commercially reasonable terms;</w:t>
      </w:r>
    </w:p>
    <w:p>
      <w:pPr>
        <w:spacing w:after="0" w:line="153" w:lineRule="exact"/>
        <w:rPr>
          <w:rFonts w:ascii="Arial" w:cs="Arial" w:eastAsia="Arial" w:hAnsi="Arial"/>
          <w:sz w:val="16"/>
          <w:szCs w:val="16"/>
          <w:color w:val="auto"/>
        </w:rPr>
      </w:pPr>
    </w:p>
    <w:p>
      <w:pPr>
        <w:ind w:left="1080" w:right="10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secure raw materials, components and materials of sufficient quality to meet the exacting needs of medical device manufacturing;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maintain compliance with quality system requirements or pass regulatory quality inspections;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increase production capacity or volumes to meet demand; and</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These risks could be exacerbated by our limited experience as an entity with large-scale commercial manufacturing. 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and results of operations. In addition, we are is continually identifying additional third-party manufacturers who could serve if necessary, as replacement manufacturers should the need arise.</w:t>
      </w:r>
    </w:p>
    <w:p>
      <w:pPr>
        <w:spacing w:after="0" w:line="27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supervise and monitor our clinical trials. If these third parties do not successfully carry out their contractual duties or meet expected deadlines, we may not be able to obtain regulatory approval for or commercialize our drug product candidates and our business could be substantially harmed.</w:t>
      </w:r>
    </w:p>
    <w:p>
      <w:pPr>
        <w:spacing w:after="0" w:line="7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rely on clinical research organizations, or CROs, and clinical trial sites to ensure our clinical trials are conducted properly and on time. While we will have agreements governing their activities, we will have limited influence over their actual performance. CROs manage and monitor the clinical trials, duties and functions, and we will control only certain aspects of our CROs’ activities. Nevertheless, we will be responsible for ensuring that each of our clinical trials is conducted in accordance with the applicable protocol, legal, regulatory and scientific standards, and our reliance on the CROs does not relieve us of our regulatory responsibilities.</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and our CROs are required to comply with the FDA’s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If any such event were to occur, our financial results and the commercial prospects for our product candidates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Product recalls or inventory losses caused by unforeseen events may adversely affect our operating results and financial condition.</w:t>
      </w:r>
    </w:p>
    <w:p>
      <w:pPr>
        <w:spacing w:after="0" w:line="1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w:t>
      </w:r>
    </w:p>
    <w:p>
      <w:pPr>
        <w:spacing w:after="0" w:line="8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development of our RECELL System to such areas as pediatric burns, trauma injuries and vitiligo;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trials for additional indications;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funding of our marketing and sales infrastructure.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failure to manage future growth effectively could have a material adverse effect on our business and results of operations.</w:t>
      </w:r>
    </w:p>
    <w:p>
      <w:pPr>
        <w:spacing w:after="0" w:line="333"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Our growth and success depend on our ability to attract and retain additional highly qualified and skilled sales and marketing, research and development, operational, managerial and finance personnel.</w:t>
      </w:r>
    </w:p>
    <w:p>
      <w:pPr>
        <w:spacing w:after="0" w:line="62"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Industry and Intellectual Property</w:t>
      </w:r>
    </w:p>
    <w:p>
      <w:pPr>
        <w:spacing w:after="0" w:line="12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spacing w:after="0" w:line="184"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treatments or procedures that are safer, more effective, have fewer or less severe side effects, are more 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could be subject to product liability lawsuits, which could result in costly and time-consuming litigation and significant liabilities.</w:t>
      </w:r>
    </w:p>
    <w:p>
      <w:pPr>
        <w:spacing w:after="0" w:line="1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w:t>
      </w:r>
    </w:p>
    <w:p>
      <w:pPr>
        <w:spacing w:after="0" w:line="28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success will be heavily dependent on our ability to obtain and maintain meaningful patent protection for our technologies and products throughout the world. Patent law relating to the scope of claims in the technology fields in which we will operate is still evolving. The amount of ongoing protection for our proprietary rights therefore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Furthermore, the patent protections we have been granted may not be broad enough to prevent competitors from producing products similar to ours. In addition, the laws of various foreign countries in which we may compete, such as China, may not protect our intellectual property to the same extent as do the laws of the United States. If we fail to obtain adequate patent protection for our proprietary technology, our ability to be commercially competitive will be materially impaired.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find it difficult to protect our intellectual property rights throughout the world.</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Filing, prosecuting and defending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patent claims or other intellectual property rights.</w:t>
      </w:r>
    </w:p>
    <w:p>
      <w:pPr>
        <w:spacing w:after="0" w:line="3" w:lineRule="exact"/>
        <w:rPr>
          <w:sz w:val="20"/>
          <w:szCs w:val="20"/>
          <w:color w:val="auto"/>
        </w:rPr>
      </w:pPr>
    </w:p>
    <w:p>
      <w:pPr>
        <w:jc w:val="both"/>
        <w:ind w:left="120" w:right="380"/>
        <w:spacing w:after="0" w:line="295" w:lineRule="auto"/>
        <w:rPr>
          <w:sz w:val="20"/>
          <w:szCs w:val="20"/>
          <w:color w:val="auto"/>
        </w:rPr>
      </w:pPr>
      <w:r>
        <w:rPr>
          <w:rFonts w:ascii="Arial" w:cs="Arial" w:eastAsia="Arial" w:hAnsi="Arial"/>
          <w:sz w:val="16"/>
          <w:szCs w:val="16"/>
          <w:color w:val="auto"/>
        </w:rPr>
        <w:t>The laws of some countries do not protect intellectual property rights to the same extent as the laws of the United States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w:t>
      </w:r>
    </w:p>
    <w:p>
      <w:pPr>
        <w:spacing w:after="0" w:line="26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If we choose to go to court to stop someone else from using the inventions claimed in our patents or our licensed patents, that individual or company has the right to ask the court to rule that these patents are invalid and/or should not be enforced against that third party. These lawsuits are expensive and would distract our key personnel and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spacing w:after="0" w:line="300"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6"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w:t>
      </w:r>
    </w:p>
    <w:p>
      <w:pPr>
        <w:spacing w:after="0" w:line="30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Any suits filed against us by third parties alleging we infringe their intellectual property rights could harm our business and operating results as well as our reputation.</w:t>
      </w:r>
    </w:p>
    <w:p>
      <w:pPr>
        <w:spacing w:after="0" w:line="6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There is considerable patent and other intellectual property activity in the industry in which we operate. We may be unaware of intellectual property rights of others that may cover some or all of our technology. Additionally, notwithstanding our receipt of a patent, a third-party may nevertheless challenge the validity of one or more claims included in the patent, which may require significant expenditure of funds, as well as time and effort by key personnel, to defend our claims.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Health Care Reform Law, was passed, which substantially changed the way health care is financed by both governmental and private insurers, and significantly impacts the U.S. healthcare industry. The Health Care Reform Law, among other things, (i) subjects biologic products to potential competition by lower-cost biosimilars,</w:t>
      </w:r>
    </w:p>
    <w:p>
      <w:pPr>
        <w:spacing w:after="0" w:line="1" w:lineRule="exact"/>
        <w:rPr>
          <w:sz w:val="20"/>
          <w:szCs w:val="20"/>
          <w:color w:val="auto"/>
        </w:rPr>
      </w:pPr>
    </w:p>
    <w:p>
      <w:pPr>
        <w:ind w:left="120" w:right="40" w:hanging="4"/>
        <w:spacing w:after="0" w:line="273" w:lineRule="auto"/>
        <w:tabs>
          <w:tab w:leader="none" w:pos="3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addresses a new methodology by which rebates owed by manufacturers under the Medicaid Drug Rebate Program are calculated for drugs that are inhaled, infused, instilled, implanted, or injected, (iii) increases the minimum Medicaid rebates owed by manufacturers under the Medicaid Drug Rebate Program and extends the rebate program to individuals enrolled in Medicaid managed care organizations, (iv) establishes annual fees and taxes on manufacturers of certain branded prescription drugs, and (v) promotes a new Medicare Part D coverage gap discount program.</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On January 2, 2013, President Obama signed into law the American Taxpayer Relief Act of 2012, or the ATRA, which, among other things, delayed for another two months the budget cuts mandated by these sequestration provisions of the Budget Control Act of 2011. On March 1, 2013, the President signed an executive order implementing sequestration, and on April 1, 2013, the 2% Medicare payment reductions went into effect. Additional state and federal healthcare reform measures may be adopted in the future, any of which could limit the amounts that federal and state governments will pay for healthcare products and services, which could result in reduced demand for our product candidates or additional pricing pressures.</w:t>
      </w:r>
    </w:p>
    <w:p>
      <w:pPr>
        <w:spacing w:after="0" w:line="29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operations are subject to anti-corruption laws, including Australian bribery laws, and the FCPA and other anti-corruption laws that apply in countries where we do business.</w:t>
      </w:r>
    </w:p>
    <w:p>
      <w:pPr>
        <w:spacing w:after="0" w:line="6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88"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spacing w:after="0" w:line="14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Likewise, any investigation of any potential violations of these laws by respective government bodies could also have an adverse impact on our reputation, our business, results of operations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could be negatively impacted by the outbreak of coronavirus (“COVID-19”).</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light of the continuing uncertain and rapidly evolving situation relating to the spread of COVID-19, this public health concern poses a risk to the ability of medical facilities to focus on the treatment of acute burns should they be overwhelmed, our employees, our partners and suppliers and the communities in which we operate, which could negatively impact our business. The extent to which COVID-19 impacts our business will depend on future developments, which are highly uncertain and cannot be predicted at this time. We could experience employee impacts from illness, school closures and other community response measures, all of which could negatively impact our business. Timing of the development on any vaccine against COVID-19 is uncertain and when any such vaccine will be determined to be effective and made widely available, if ever, cannot be predicted. We intend to continue to monitor the situation and may adjust our current policies and practices as more information and guidance become available.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ind w:left="120" w:right="720"/>
        <w:spacing w:after="0" w:line="375" w:lineRule="auto"/>
        <w:rPr>
          <w:sz w:val="20"/>
          <w:szCs w:val="20"/>
          <w:color w:val="auto"/>
        </w:rPr>
      </w:pPr>
      <w:r>
        <w:rPr>
          <w:rFonts w:ascii="Arial" w:cs="Arial" w:eastAsia="Arial" w:hAnsi="Arial"/>
          <w:sz w:val="15"/>
          <w:szCs w:val="15"/>
          <w:b w:val="1"/>
          <w:bCs w:val="1"/>
          <w:i w:val="1"/>
          <w:iCs w:val="1"/>
          <w:color w:val="auto"/>
        </w:rPr>
        <w:t>We have never paid a dividend on our common stock and do not intend to do so in the foreseeable future, and consequently, investors’ only opportunity to realize a return on their investment in our company is through the appreciation in the price of our common stock.</w:t>
      </w:r>
    </w:p>
    <w:p>
      <w:pPr>
        <w:spacing w:after="0" w:line="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do not anticipate paying cash dividends on our common stock in the foreseeable future and intend to retain all earnings, if any, for our operations. If we decided to pay dividends at some future time, we may not have sufficient funds legally available to do so. Even if funds are legally available for distribution, we may be unable to pay any dividends to our stockholders because of limitations imposed by a lack of liquidity. Accordingly, our stockholders may have to sell some or all of their common stock in order to generate cash flow from their investment. Our stockholders may not receive a gain on their investment when they sell their common stock and may lose some or all of their investment. Any determination to pay dividends in the future on our common stock will be made at the discretion of our board of directors and will depend on our results of operations, financial conditions, contractual restrictions, restrictions imposed by applicable law, capital requirements, and other factors that our board of directors deems relevant.</w:t>
      </w:r>
    </w:p>
    <w:p>
      <w:pPr>
        <w:spacing w:after="0" w:line="274" w:lineRule="exact"/>
        <w:rPr>
          <w:sz w:val="20"/>
          <w:szCs w:val="20"/>
          <w:color w:val="auto"/>
        </w:rPr>
      </w:pPr>
    </w:p>
    <w:p>
      <w:pPr>
        <w:jc w:val="both"/>
        <w:ind w:left="120" w:right="320"/>
        <w:spacing w:after="0" w:line="311" w:lineRule="auto"/>
        <w:rPr>
          <w:sz w:val="20"/>
          <w:szCs w:val="20"/>
          <w:color w:val="auto"/>
        </w:rPr>
      </w:pPr>
      <w:r>
        <w:rPr>
          <w:rFonts w:ascii="Arial" w:cs="Arial" w:eastAsia="Arial" w:hAnsi="Arial"/>
          <w:sz w:val="16"/>
          <w:szCs w:val="16"/>
          <w:b w:val="1"/>
          <w:bCs w:val="1"/>
          <w:i w:val="1"/>
          <w:iCs w:val="1"/>
          <w:color w:val="auto"/>
        </w:rPr>
        <w:t>As long as we remain subject to the rules of the ASX and of NASDAQ, we will be unable to access equity capital without shareholder approval if such equity capital sales would result in an equity issuance above regulatory thresholds and consequently we may be unable to obtain financing sufficient to sustain our business if we are unsuccessful in soliciting requisite shareholder approvals.</w:t>
      </w:r>
    </w:p>
    <w:p>
      <w:pPr>
        <w:spacing w:after="0" w:line="4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ability to access equity capital is currently limited by ASX Listing Rule 7.1, which provides that a company must not, subject to specified exceptions (including approval by shareholders), issue or agree to issue during any consecutive 12-month period any equity securities, or other securities with rights to conversion to equity, if the number of those securities in aggregate would exceed 15% of the number of ordinary securities on issue at the commencement of that 12-month period.</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Our equity issuances will be limited by ASX Listing Rule 7.1 as long as we continue to be listed on the ASX and this constraint may prevent us from raising the full amount of equity capital needed for operations without prior shareholder approval.</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addition to ASX Listing Rule 7.1, we are also subject to NASDAQ Listing Rule 5635(d), commonly referred to as the NASDAQ 20% Rule, which requires shareholder approval of a transaction other than a public offering involving the sale, issuance, or potential issuance by a company of common stock (or securities convertible into or exercisable for common stock) equal to 20% or more of the common stock, or 20% or more of the voting power outstanding before the issuance for less than the greater of book or market value of the shares. While less restrictive than ASX Listing Rule 7.1, the operation of the NASDAQ 20% rule could limit our ability to raise capital through issuance of common stock or convertible securities without jeopardizing our listing status. If we were to violate the NASDAQ 20% rule, our company would be subject to delisting from NASDAQ and share prices and trading volumes would likely suffer.</w:t>
      </w:r>
    </w:p>
    <w:p>
      <w:pPr>
        <w:spacing w:after="0" w:line="30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There has been relatively limited trading volume in the markets for our common stock and CDIs, and more active, liquid trading markets for such securities may never develop.</w:t>
      </w:r>
    </w:p>
    <w:p>
      <w:pPr>
        <w:spacing w:after="0" w:line="6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Trading in our common stock on NASDAQ and our CDIs on the ASX is often thin and susceptible to wide fluctuations in trading prices due to such limited trading volume and other factors, some of which may have little to do with our operations or business prospects. Limited liquidity in the trading markets for our common stock and CDIs may adversely affect a stockholder’s ability to sell its shares of our common stock or our CDIs at the time it wishes to sell them or at a price that it considers acceptable. In addition, if a more active, liquid public trading market does not develop we may be limited in our ability to raise capital by selling shares of common stock or CDIs. We cannot assure you that more active, liquid public trading markets for our common stock and CDIs will develop or, if developed, will be sustained.</w:t>
      </w:r>
    </w:p>
    <w:p>
      <w:pPr>
        <w:spacing w:after="0" w:line="28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be affected by variability in our performance from period to period and economic conditions beyond management’s control.</w:t>
      </w:r>
    </w:p>
    <w:p>
      <w:pPr>
        <w:spacing w:after="0" w:line="6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market price of our common stock (including common stock represented by CDIs) may be highly volatile and could be subject to wide fluctuations. This means that our stockholders could experience a decrease in the value of their common stock or CDIs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common stock and CDIs may fluctuate and cause significant price variations to occur. If the market price of our common stock or CDIs declines significantly, our stockholders may be unable to resell our common stock or CDIs at or above their purchase price, if at all. There can be no assurance that the market price of our common stock and CDIs will not fluctuate or significantly decline in the future.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Some specific factors that could negatively affect the price of our common stock and CDIs or result in fluctuations in their price and trading volume include:</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expected fluctuations in our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reports of one or more patient serious adverse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in the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give to the market;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of exchange rates between the U.S. dollar and the Australian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issuances by us of debt or equity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involving our company, including shareholder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investigations or audits by regulators into the operations of our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proceedings initiated by our competitors or clients;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sales or perceived potential sales of the common stock or CDIs by us, our directors, senior management or our stockholders in the future;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and social effects of the COVID-19 virus or other pandemics;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raise additional capital, limiting our ability to continue as a going concern;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prices for our product or for our raw materials;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key personnel for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or proposed changes in laws and regulations affecting our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requirements of being a public company in the United States may strain our resources and divert management’s attention.</w:t>
      </w:r>
    </w:p>
    <w:p>
      <w:pPr>
        <w:spacing w:after="0" w:line="113"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Exchange Act, the U.S. Sarbanes-Oxley Act of 2002 (the “</w:t>
      </w:r>
      <w:r>
        <w:rPr>
          <w:rFonts w:ascii="Arial" w:cs="Arial" w:eastAsia="Arial" w:hAnsi="Arial"/>
          <w:sz w:val="18"/>
          <w:szCs w:val="18"/>
          <w:b w:val="1"/>
          <w:bCs w:val="1"/>
          <w:color w:val="auto"/>
        </w:rPr>
        <w:t>Sarbanes-Oxley</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the Dodd-Frank Act and the listing standards and the rules and regulations of NASDAQ. We are also subject to the reporting requirements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ASX Listing Rules due to the listing of our CDIs on ASX. We expect that the requirements of these rules and regulations will increase our legal, accounting and financial compliance costs, make some activities more difficult, time consuming and costly, and place significant strain on our personnel, systems and resources. As a result of our disclosure of information in filings required of a public company, our business and financial condition will become more visible, which may result in threatened or actual litigation, including by competitors, stockholders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30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8"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w:t>
      </w:r>
      <w:r>
        <w:rPr>
          <w:rFonts w:ascii="Arial" w:cs="Arial" w:eastAsia="Arial" w:hAnsi="Arial"/>
          <w:sz w:val="16"/>
          <w:szCs w:val="16"/>
          <w:b w:val="1"/>
          <w:bCs w:val="1"/>
          <w:color w:val="auto"/>
        </w:rPr>
        <w:t>JOBS Act</w:t>
      </w:r>
      <w:r>
        <w:rPr>
          <w:rFonts w:ascii="Arial" w:cs="Arial" w:eastAsia="Arial" w:hAnsi="Arial"/>
          <w:sz w:val="16"/>
          <w:szCs w:val="16"/>
          <w:color w:val="auto"/>
        </w:rPr>
        <w:t>”). For as long as we continue to be an emerging growth company, we may take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w:t>
      </w:r>
    </w:p>
    <w:p>
      <w:pPr>
        <w:spacing w:after="0" w:line="2" w:lineRule="exact"/>
        <w:rPr>
          <w:sz w:val="20"/>
          <w:szCs w:val="20"/>
          <w:color w:val="auto"/>
        </w:rPr>
      </w:pPr>
    </w:p>
    <w:p>
      <w:pPr>
        <w:ind w:left="120" w:hanging="4"/>
        <w:spacing w:after="0" w:line="286" w:lineRule="auto"/>
        <w:tabs>
          <w:tab w:leader="none" w:pos="4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Accordingly, the information contained herein and in other reports we file with the SEC may be different than the information our investors receive from other public companies in which they hold stock.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and CDIs less attractive as a result, which may result in a less active trading market for our common stock and CDIs and higher volatility in our stock and CDI price.</w:t>
      </w:r>
    </w:p>
    <w:p>
      <w:pPr>
        <w:spacing w:after="0" w:line="17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date of the first sale of our common stock pursuant to an effective registration statement under the U.S. Securities Act of 1933, as amended (the “Securities Act”), (ii) the last day of the fiscal year in which we have total annual gross revenue of at least $1.07 billion, (iii) the last day of the fiscal year in which we are deemed to be a “large accelerated filer” as defined in Rule 12b-2 under the Exchange Act, or (iv) the date on which we have issued more than $1.0 billion in non-convertible debt securities during the prior three-year period.</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If research analysts publish unfavorable commentary or downgrade our common stock and CDIs it could adversely affect our share price and trading volume.</w:t>
      </w:r>
    </w:p>
    <w:p>
      <w:pPr>
        <w:spacing w:after="0" w:line="62"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The trading market for our common stock and CDIs depends, in part, on the research and reports that research analysts publish about us and our business and industry. If one or more research analysts downgrade our shares or CDIs, publish unfavorable commentary about the Company or cease publishing reports about us or our business, the price of our common stock and CDIs could decline. If one or more of the research analysts ceases coverage of our company or fails to publish reports on us regularly, demand for our common stock and CDIs could decrease, which could cause our share price or trading volume to decline.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principal corporate office is located at 28159 Avenue Stanford, Suite 220, Valencia, California 91355. We lease the 17,465 square foot facility under two lease agreements that, as amended, expire on January 31, 2021. Our production plant in Ventura, California, is a 23,040 square foot facility that we lease through September 30, 2021 with the right to extend the lease, at our sole option, as a result of three, three-year, options that allow us to extend the lease up to an additional nine years in total. We do not own any real property. We believe that leased facilities are adequate to meet current needs and that additional facilities will, if required, be available for lease to meet future needs.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We are not currently involved in any significant legal, arbitration or governmental proceedings. From time to time, as an operating business, we are involved in disputes (both formal and informal) with customer, manufacturing partners and employees.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Following the completion of our Redomicile Transaction on June 29, 2020, our shares of common stock are listed on NASDAQ under ticker symbol “RCEL”, and our CDIs are quoted on ASX under ticker symbol “AVH”. Five CDIs on ASX represent one share of common stock on NASDAQ.</w:t>
      </w:r>
    </w:p>
    <w:p>
      <w:pPr>
        <w:spacing w:after="0" w:line="12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Prior to the completion of our Redomicile Transaction, the ordinary shares of AVITA Medical (the AVITA Group’s former parent company prior to redomiciliation) traded on the ASX, under the same ticker symbol of “AVH” since June 17, 2008. In the United States, the American Depositary Shares, or ADSs, of AVITA Medical traded over the counter on the OTCQX under the ticker symbol “AVMXY” from May 14, 2012 through September 30, 2019. Beginning on October 1, 2019 (and until completion of our redomiciliation) the ADSs of AVITA Medical traded on NASDAQ under the ticker symbol “RCEL” with each of these ADSs representing 20 ordinary shares in AVITA Medical. These ADSs were evidenced by American Depositary Receipts (“</w:t>
      </w:r>
      <w:r>
        <w:rPr>
          <w:rFonts w:ascii="Arial" w:cs="Arial" w:eastAsia="Arial" w:hAnsi="Arial"/>
          <w:sz w:val="16"/>
          <w:szCs w:val="16"/>
          <w:b w:val="1"/>
          <w:bCs w:val="1"/>
          <w:color w:val="auto"/>
        </w:rPr>
        <w:t>ADRs</w:t>
      </w:r>
      <w:r>
        <w:rPr>
          <w:rFonts w:ascii="Arial" w:cs="Arial" w:eastAsia="Arial" w:hAnsi="Arial"/>
          <w:sz w:val="16"/>
          <w:szCs w:val="16"/>
          <w:color w:val="auto"/>
        </w:rPr>
        <w:t>”) and the ADRs were issued pursuant to a Depositary Agreement entered into with The Bank of New York Mellon.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of August 14, 2020, we had approximately 22,731 stockholders of record of our common stock (which includes CHESS Depositary Nominees Pty Ltd, who holds all of the outstanding common stock underlying the CDIs of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We have never paid cash dividends to our stockholders, or prior to the Redomicile Transaction, holders of our ordinary shares. We intend to retain future earnings for use in our business and do not anticipate paying cash dividends on our common stock in the foreseeable future. Any future dividend policy will be determined by our board of directors and will be based upon various factors, including our results of operations, financial condition, current and anticipated cash needs, future prospects, contractual restrictions and other factors as our board of directors may deem relevant.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During the year ended June 30, 2020, we completed an institutional placement to raise $81.7 million (through our former parent company, AVITA Medical). We sold 2,033,898 shares at an issue price of $40.17 per share for total net proceeds of $76.6 million, after deducting commission and offering expenses. In addition, an aggregate of 15,853 shares were issued to our directors in lieu of their director fees during the year ended June 30, 2020 under the Director Share Plan that was approved by shareholders in December 2017. Each transaction was exempt from the registration requirements of the Securities Act as a transaction not involving a public offering pursuant to Section 4(2) of the Securities Act.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40" w:type="dxa"/>
            <w:vAlign w:val="bottom"/>
          </w:tcPr>
          <w:p>
            <w:pPr>
              <w:spacing w:after="0"/>
              <w:rPr>
                <w:sz w:val="14"/>
                <w:szCs w:val="14"/>
                <w:color w:val="auto"/>
              </w:rPr>
            </w:pPr>
          </w:p>
        </w:tc>
        <w:tc>
          <w:tcPr>
            <w:tcW w:w="1980" w:type="dxa"/>
            <w:vAlign w:val="bottom"/>
            <w:tcBorders>
              <w:bottom w:val="single" w:sz="8" w:color="auto"/>
            </w:tcBorders>
            <w:gridSpan w:val="8"/>
          </w:tcPr>
          <w:p>
            <w:pPr>
              <w:jc w:val="right"/>
              <w:ind w:right="7"/>
              <w:spacing w:after="0"/>
              <w:rPr>
                <w:sz w:val="20"/>
                <w:szCs w:val="20"/>
                <w:color w:val="auto"/>
              </w:rPr>
            </w:pPr>
            <w:r>
              <w:rPr>
                <w:rFonts w:ascii="Arial" w:cs="Arial" w:eastAsia="Arial" w:hAnsi="Arial"/>
                <w:sz w:val="14"/>
                <w:szCs w:val="14"/>
                <w:b w:val="1"/>
                <w:bCs w:val="1"/>
                <w:color w:val="auto"/>
              </w:rPr>
              <w:t>Year Ended 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gridSpan w:val="2"/>
            <w:vMerge w:val="continue"/>
          </w:tcPr>
          <w:p>
            <w:pPr>
              <w:spacing w:after="0"/>
              <w:rPr>
                <w:sz w:val="12"/>
                <w:szCs w:val="12"/>
                <w:color w:val="auto"/>
              </w:rPr>
            </w:pPr>
          </w:p>
        </w:tc>
        <w:tc>
          <w:tcPr>
            <w:tcW w:w="2840" w:type="dxa"/>
            <w:vAlign w:val="bottom"/>
          </w:tcPr>
          <w:p>
            <w:pPr>
              <w:spacing w:after="0"/>
              <w:rPr>
                <w:sz w:val="12"/>
                <w:szCs w:val="12"/>
                <w:color w:val="auto"/>
              </w:rPr>
            </w:pPr>
          </w:p>
        </w:tc>
        <w:tc>
          <w:tcPr>
            <w:tcW w:w="6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$ 14,263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Cost of sales</w:t>
            </w:r>
          </w:p>
        </w:tc>
        <w:tc>
          <w:tcPr>
            <w:tcW w:w="28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BARDA income</w:t>
            </w:r>
          </w:p>
        </w:tc>
        <w:tc>
          <w:tcPr>
            <w:tcW w:w="28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14,813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8,461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8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35,652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66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(42,679)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(25,528)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expense</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8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(42,026)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(25,223)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(13,809)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66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(42,030</w:t>
            </w:r>
          </w:p>
        </w:tc>
        <w:tc>
          <w:tcPr>
            <w:tcW w:w="160" w:type="dxa"/>
            <w:vAlign w:val="bottom"/>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(25,102</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(12,735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vMerge w:val="restart"/>
          </w:tcPr>
          <w:p>
            <w:pPr>
              <w:jc w:val="right"/>
              <w:ind w:right="1790"/>
              <w:spacing w:after="0"/>
              <w:rPr>
                <w:sz w:val="20"/>
                <w:szCs w:val="20"/>
                <w:color w:val="auto"/>
              </w:rPr>
            </w:pPr>
            <w:r>
              <w:rPr>
                <w:rFonts w:ascii="Arial" w:cs="Arial" w:eastAsia="Arial" w:hAnsi="Arial"/>
                <w:sz w:val="18"/>
                <w:szCs w:val="18"/>
                <w:color w:val="auto"/>
              </w:rPr>
              <w:t>39</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4"/>
                <w:szCs w:val="24"/>
                <w:color w:val="auto"/>
              </w:rPr>
            </w:pPr>
          </w:p>
        </w:tc>
        <w:tc>
          <w:tcPr>
            <w:tcW w:w="3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00" w:type="dxa"/>
            <w:vAlign w:val="bottom"/>
          </w:tcPr>
          <w:p>
            <w:pPr>
              <w:ind w:left="360"/>
              <w:spacing w:after="0"/>
              <w:rPr>
                <w:sz w:val="20"/>
                <w:szCs w:val="20"/>
                <w:color w:val="auto"/>
              </w:rPr>
            </w:pPr>
            <w:r>
              <w:rPr>
                <w:rFonts w:ascii="Arial" w:cs="Arial" w:eastAsia="Arial" w:hAnsi="Arial"/>
                <w:sz w:val="18"/>
                <w:szCs w:val="18"/>
                <w:color w:val="auto"/>
              </w:rPr>
              <w:t>Basic</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(2.07)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(1.56)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6"/>
              </w:rPr>
              <w:t>20,290,966</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8"/>
              </w:rPr>
              <w:t>16,064,588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9,326,810</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90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20"/>
                <w:szCs w:val="20"/>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w w:val="86"/>
              </w:rPr>
              <w:t>20,290,966</w:t>
            </w:r>
          </w:p>
        </w:tc>
        <w:tc>
          <w:tcPr>
            <w:tcW w:w="36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w w:val="88"/>
              </w:rPr>
              <w:t>16,064,588</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9,326,810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Balance Sheet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current assets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Total current liabilities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Total long 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20320</wp:posOffset>
            </wp:positionV>
            <wp:extent cx="53149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9944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160"/>
        <w:spacing w:after="0"/>
        <w:tabs>
          <w:tab w:leader="none" w:pos="1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9944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b w:val="1"/>
          <w:bCs w:val="1"/>
          <w:color w:val="auto"/>
        </w:rPr>
        <w:t>(in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$73,639</w:t>
      </w:r>
      <w:r>
        <w:rPr>
          <w:rFonts w:ascii="Arial" w:cs="Arial" w:eastAsia="Arial" w:hAnsi="Arial"/>
          <w:sz w:val="16"/>
          <w:szCs w:val="16"/>
          <w:color w:val="auto"/>
        </w:rPr>
        <w:t>$20,174</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78,387</w:t>
      </w:r>
      <w:r>
        <w:rPr>
          <w:rFonts w:ascii="Arial" w:cs="Arial" w:eastAsia="Arial" w:hAnsi="Arial"/>
          <w:sz w:val="16"/>
          <w:szCs w:val="16"/>
          <w:color w:val="auto"/>
        </w:rPr>
        <w:t>24,125</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82,462</w:t>
      </w:r>
      <w:r>
        <w:rPr>
          <w:rFonts w:ascii="Arial" w:cs="Arial" w:eastAsia="Arial" w:hAnsi="Arial"/>
          <w:sz w:val="16"/>
          <w:szCs w:val="16"/>
          <w:color w:val="auto"/>
        </w:rPr>
        <w:t>25,784</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7,709</w:t>
      </w:r>
      <w:r>
        <w:rPr>
          <w:rFonts w:ascii="Arial" w:cs="Arial" w:eastAsia="Arial" w:hAnsi="Arial"/>
          <w:sz w:val="15"/>
          <w:szCs w:val="15"/>
          <w:color w:val="auto"/>
        </w:rPr>
        <w:t>4,481</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2,352</w:t>
      </w:r>
      <w:r>
        <w:rPr>
          <w:rFonts w:ascii="Arial" w:cs="Arial" w:eastAsia="Arial" w:hAnsi="Arial"/>
          <w:sz w:val="16"/>
          <w:szCs w:val="16"/>
          <w:color w:val="auto"/>
        </w:rPr>
        <w:t>471</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72,401</w:t>
      </w:r>
      <w:r>
        <w:rPr>
          <w:rFonts w:ascii="Arial" w:cs="Arial" w:eastAsia="Arial" w:hAnsi="Arial"/>
          <w:sz w:val="16"/>
          <w:szCs w:val="16"/>
          <w:color w:val="auto"/>
        </w:rPr>
        <w:t>20,832</w:t>
      </w:r>
    </w:p>
    <w:p>
      <w:pPr>
        <w:spacing w:after="0" w:line="200" w:lineRule="exact"/>
        <w:rPr>
          <w:sz w:val="20"/>
          <w:szCs w:val="20"/>
          <w:color w:val="auto"/>
        </w:rPr>
      </w:pPr>
    </w:p>
    <w:p>
      <w:pPr>
        <w:sectPr>
          <w:pgSz w:w="11900" w:h="16838" w:orient="portrait"/>
          <w:cols w:equalWidth="0" w:num="2">
            <w:col w:w="7460" w:space="720"/>
            <w:col w:w="2880"/>
          </w:cols>
          <w:pgMar w:left="320" w:top="459" w:right="519" w:bottom="1440" w:gutter="0" w:footer="0" w:header="0"/>
          <w:type w:val="continuous"/>
        </w:sectPr>
      </w:pP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CONDITIONS AND RESULTS OF OPERATIONS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for the years ended June 30, 2020 and 2019, should be read in conjunction with our consolidated financial statements and related notes included in this Annual Report.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59" w:right="51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8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Pr>
          <w:p>
            <w:pPr>
              <w:spacing w:after="0"/>
              <w:rPr>
                <w:sz w:val="14"/>
                <w:szCs w:val="14"/>
                <w:color w:val="auto"/>
              </w:rPr>
            </w:pPr>
          </w:p>
        </w:tc>
        <w:tc>
          <w:tcPr>
            <w:tcW w:w="560" w:type="dxa"/>
            <w:vAlign w:val="bottom"/>
          </w:tcPr>
          <w:p>
            <w:pPr>
              <w:jc w:val="right"/>
              <w:ind w:right="213"/>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Statement of Operations Data:</w:t>
            </w: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1"/>
              <w:spacing w:after="0" w:line="142" w:lineRule="exact"/>
              <w:rPr>
                <w:sz w:val="20"/>
                <w:szCs w:val="20"/>
                <w:color w:val="auto"/>
              </w:rPr>
            </w:pPr>
            <w:r>
              <w:rPr>
                <w:rFonts w:ascii="Arial" w:cs="Arial" w:eastAsia="Arial" w:hAnsi="Arial"/>
                <w:sz w:val="14"/>
                <w:szCs w:val="14"/>
                <w:b w:val="1"/>
                <w:bCs w:val="1"/>
                <w:color w:val="auto"/>
                <w:w w:val="85"/>
              </w:rPr>
              <w:t>Change</w:t>
            </w:r>
          </w:p>
        </w:tc>
        <w:tc>
          <w:tcPr>
            <w:tcW w:w="7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$ 14,263</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w:t>
            </w:r>
          </w:p>
        </w:tc>
        <w:tc>
          <w:tcPr>
            <w:tcW w:w="38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spacing w:after="0"/>
              <w:rPr>
                <w:sz w:val="20"/>
                <w:szCs w:val="20"/>
                <w:color w:val="auto"/>
              </w:rPr>
            </w:pPr>
            <w:r>
              <w:rPr>
                <w:rFonts w:ascii="Arial" w:cs="Arial" w:eastAsia="Arial" w:hAnsi="Arial"/>
                <w:sz w:val="18"/>
                <w:szCs w:val="18"/>
                <w:color w:val="auto"/>
              </w:rPr>
              <w:t>2,973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1,702</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BARDA income</w:t>
            </w: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3,926</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5,921</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(1,995)</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Sales and marketing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14,813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w w:val="98"/>
              </w:rPr>
              <w:t>12,253</w:t>
            </w: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2,560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18,135</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w w:val="98"/>
              </w:rPr>
              <w:t>13,581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4,554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8,461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589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14,540</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57,895</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35,652</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22,243</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(42,679)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9"/>
              </w:rPr>
              <w:t>(25,528)</w:t>
            </w:r>
          </w:p>
        </w:tc>
        <w:tc>
          <w:tcPr>
            <w:tcW w:w="104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w w:val="90"/>
              </w:rPr>
              <w:t>$(17,151)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354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(42,026)</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(25,223)</w:t>
            </w:r>
          </w:p>
        </w:tc>
        <w:tc>
          <w:tcPr>
            <w:tcW w:w="38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3"/>
              </w:rPr>
              <w:t>$(16,803)</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660" w:type="dxa"/>
            <w:vAlign w:val="bottom"/>
            <w:gridSpan w:val="2"/>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(42,030</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(25,102</w:t>
            </w:r>
          </w:p>
        </w:tc>
        <w:tc>
          <w:tcPr>
            <w:tcW w:w="38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(16,928</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 Ended June 30, 2020 compared to Year Ended June 30, 2019</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Revenue of the RECELL System totaled $14.3 million for the year ended June 30, 2020, an increase of $8.8 million or 161% over the $5.5 million for the year ended June 30, 2019. Similar to prior years, most of the current year increase in sales occurred in the United States as a result of the September 2018 FDA approval and commencement of the U.S. national market launch of the RECELL System in January 2019. U.S. sales during the year ended June 30, 2020 totaled $13.8 million compared to $4.4 million in the prior year. Gross margin for the year ended June 30, 2020 was 79% compared to 77% for the same period in 2019.</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BARDA income consisted of funding from the Biomedical Advanced Research and Development Authority (“</w:t>
      </w:r>
      <w:r>
        <w:rPr>
          <w:rFonts w:ascii="Arial" w:cs="Arial" w:eastAsia="Arial" w:hAnsi="Arial"/>
          <w:sz w:val="17"/>
          <w:szCs w:val="17"/>
          <w:b w:val="1"/>
          <w:bCs w:val="1"/>
          <w:color w:val="auto"/>
        </w:rPr>
        <w:t>BARDA</w:t>
      </w:r>
      <w:r>
        <w:rPr>
          <w:rFonts w:ascii="Arial" w:cs="Arial" w:eastAsia="Arial" w:hAnsi="Arial"/>
          <w:sz w:val="17"/>
          <w:szCs w:val="17"/>
          <w:color w:val="auto"/>
        </w:rPr>
        <w:t>”), under the Assistant Secretary for Preparedness and Response, within the U.S. Department of Health and Human Services, under ongoing USG Contract No. HHSO100201500028C. Under the BARDA contract, income of $3.9 million was recognized during the year ended June 30, 2020 compared to income of $5.9 million for the year ended June 30, 2019. BARDA income declined as a result of wind-down of certain activities associated with supporting the U.S. FDA approval of the RECEL System as well as the compassionate use and continued access programs.</w:t>
      </w:r>
    </w:p>
    <w:p>
      <w:pPr>
        <w:spacing w:after="0" w:line="17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Operating costs for the year ended June 30, 2020 totaled $57.9 million, a $22.2 million or 62% increase over the $35.7 million incurred during the year ended June 30, 2019. Sales and marketing expenses for the year ended June 30, 2020 totaled $14.8 million, an increase of $2.6 million or 21% over the $12.3 million recognized during the year ended June 30, 2019. This increase was primarily attributed to commercialization activities being provided for the entire fiscal year ended June 30, 2020 versus the prior fiscal year where those activities were rendered for less than twelve months. General and administrative expenses totaled $18.1 million for the year ended June 30, 2020, an increase of $4.6 million or 34% over the $13.6 million recognized during the year ended June 30, 2019. The increase was primarily a result of the costs related to the Redomicile Transaction, together with additional headcount associated with the growth of the Company and the Company’ status as a cross listed entity on NASDAQ and the ASX. Research and development expenses for the year ended June 30, 2020 totaled $8.5 million, an increase of $0.6 million or 7% over the $7.9 million recognized during the year ended June 30, 2019. Share-based compensation also increased to $16.5 million for the year ended June 30, 2020, an increase of $14.6 million or 747% over the $1.9 million recognized during the year ended June 30, 2019 primarily due to the increase in the grant date fair value of awards granted during the year. The increase in the grant date fair value of the awards is due to the increase in the Company’s stock price.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32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Net loss after tax for the year ended June 30, 2020 was $42 million, an increase of $16.9 million or 67% over the $25.1 million recognized during the year ended June 30, 2019. The increase in net loss was driven by the higher operating costs described above, partially offset by the higher revenue during the year. As a result of the U.S. national launch of the RECELL System in January 2019, and the expansion of research and development including multiple pivotal clinical studies seeking premarket approval from the FDA, operating expenses are expected to increase in future periods. These expenses are expected to be partially offset by increased commercial sales of the RECELL System as well as income under the BARDA contract.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w w:val="99"/>
              </w:rPr>
              <w:t>Year Ended June 30,</w:t>
            </w:r>
          </w:p>
        </w:tc>
        <w:tc>
          <w:tcPr>
            <w:tcW w:w="100" w:type="dxa"/>
            <w:vAlign w:val="bottom"/>
          </w:tcPr>
          <w:p>
            <w:pPr>
              <w:spacing w:after="0"/>
              <w:rPr>
                <w:sz w:val="14"/>
                <w:szCs w:val="14"/>
                <w:color w:val="auto"/>
              </w:rPr>
            </w:pPr>
          </w:p>
        </w:tc>
        <w:tc>
          <w:tcPr>
            <w:tcW w:w="560" w:type="dxa"/>
            <w:vAlign w:val="bottom"/>
          </w:tcPr>
          <w:p>
            <w:pPr>
              <w:jc w:val="right"/>
              <w:ind w:right="213"/>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Statement of Operations Data:</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1"/>
              <w:spacing w:after="0" w:line="142" w:lineRule="exact"/>
              <w:rPr>
                <w:sz w:val="20"/>
                <w:szCs w:val="20"/>
                <w:color w:val="auto"/>
              </w:rPr>
            </w:pPr>
            <w:r>
              <w:rPr>
                <w:rFonts w:ascii="Arial" w:cs="Arial" w:eastAsia="Arial" w:hAnsi="Arial"/>
                <w:sz w:val="14"/>
                <w:szCs w:val="14"/>
                <w:b w:val="1"/>
                <w:bCs w:val="1"/>
                <w:color w:val="auto"/>
                <w:w w:val="85"/>
              </w:rPr>
              <w:t>Change</w:t>
            </w:r>
          </w:p>
        </w:tc>
        <w:tc>
          <w:tcPr>
            <w:tcW w:w="7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38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725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3,820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BARDA income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5,921</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7,734</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(1,813)</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7,378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13,581</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9,403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4,178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1,615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35,652</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21,958</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13,694</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(25,528)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9"/>
              </w:rPr>
              <w:t>(13,841)</w:t>
            </w:r>
          </w:p>
        </w:tc>
        <w:tc>
          <w:tcPr>
            <w:tcW w:w="104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w w:val="90"/>
              </w:rPr>
              <w:t>$(11,687)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(25,223)</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(13,809)</w:t>
            </w:r>
          </w:p>
        </w:tc>
        <w:tc>
          <w:tcPr>
            <w:tcW w:w="38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3"/>
              </w:rPr>
              <w:t>$(11,414)</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(953)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660" w:type="dxa"/>
            <w:vAlign w:val="bottom"/>
            <w:gridSpan w:val="2"/>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Arial" w:cs="Arial" w:eastAsia="Arial" w:hAnsi="Arial"/>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(25,102</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(12,735</w:t>
            </w:r>
          </w:p>
        </w:tc>
        <w:tc>
          <w:tcPr>
            <w:tcW w:w="38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(12,367</w:t>
            </w:r>
          </w:p>
        </w:tc>
        <w:tc>
          <w:tcPr>
            <w:tcW w:w="38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 Ended June 30, 2019 compared to Year Ended June 30, 2018</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Revenue of the RECELL System totaled $5.5 million for the year ended June 30, 2019, an increase of $4.6 million or 489% over the $0.9 million for the year ended June 30, 2018. Most of the current year increase in sales occurred in the U.S. as a result of the September 2018 FDA approval and commencement of the U.S. national market launch of the RECELL System in January 2019. U.S. sales during the year ended June 30, 2019 totaled $4.4 million compared to zero in the prior year. Gross margin for the year ended June 30, 2019 was 77% compared to 41% for the same period in 2018, and management expects gross margins to further increase as sales ramp up within the U.S.</w:t>
      </w:r>
    </w:p>
    <w:p>
      <w:pPr>
        <w:spacing w:after="0" w:line="17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BARDA income of $5.9 million was recognized during the year ended June 30, 2019 compared to income of $7.7 million for the year ended June 30, 2018. The decrease was the result of wind-down of certain activities associated with supporting the U.S. FDA approval of the RECELL System as well as the compassionate use and continued access programs.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Operations for the first half of the year ended June 30, 2019 were focused primarily on preparation for the January 2019 U.S. market launch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RECELL System. Sales and marketing expenses for the year ended June 30, 2019 totaled $12.3 million, an increase of $7.4 million or 151% over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$4.9 million recognized during the year ended June 30, 2018. This increase was primarily attributed to the recruitment, hiring and training of a U.S.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sales force and the associated product launch sales and marketing materials and activities. Research and development expenses for the year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2019 totaled $7.9 million an increase of $1.6 million or 26% over the $6.3 million recognized during the year ended June 30, 2018. General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administrative expenses totaled $13.6 million for the year ended June 30, 2019, an increase of $4.2 million or 44% over the $9.4 million recognized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year ended June 30, 2018. As the result of investments in commercial, manufacturing, and system capabilities for the U.S. market launch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RECELL System and related initiatives, operating costs for the year ended June 30, 2019 totaled $35.7 million, a $13.7 million or 62% increase over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$22 million incurred during the year ended June 30, 2018 and were in line with management expectations.</w:t>
      </w:r>
    </w:p>
    <w:p>
      <w:pPr>
        <w:spacing w:after="0" w:line="21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Net loss after tax for the year ended June 30, 2019 was $25.1 million, an increase of $12.4 million or 97% over $12.7 million recognized during the year ended June 30, 2018. The increase in net loss was driven by the higher operating costs described above, partially offset by the higher sale of goods during the year. As a result of the U.S. national launch of the RECELL System in January 2019, and the expansion of research and development, operating expenses will increase in future periods. These expenses are expected to be partially offset by increased commercial sales of goods as well as income under the BARDA grant.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expect to utilize cash reserves until U.S. sales of our products reach a level sufficient to fund ongoing operations.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5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During the year ended June 30, 2020, we raised additional capital via a private placement in the amount of $81.7 million (through our former parent company, AVITA Medical). We sold the equivalent of 2,033,898 shares at an issue price of $40.17 per share for total net proceeds of $76.6 million, after deducting commission and offering expenses.</w:t>
      </w:r>
    </w:p>
    <w:p>
      <w:pPr>
        <w:spacing w:after="0" w:line="184"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During the year ended June 30, 2019, we completed a series of equity transactions (through our former parent company, AVITA Medical). The second tranche of the June 2018 Placement (defined below) closed on July 27, 2018, raising an aggregate of $2.4 million through the issuance of the equivalent of 650,000 shares in the Company at $3.70 per share. During December 2018, we completed a placement to raise $28.8 million over two tranches. We completed the first tranche on December 10, 2018 and issued the equivalent of 3,100,471 shares in the Company at a price of $5.76 per share raising gross proceeds of $17.9 million. The settlement of the second tranche for $10.9 million was approved by the shareholders at an extraordinary meeting held during January 2019. The second tranche closed on January 18, 2019 and raised gross proceeds of $10.9 million through the sale of the equivalent of 1,899,530 shares in the Company at the same price as the first tranche, being $5.76 per share. In addition, on January 10, 2019, we completed a Share Purchase Plan under which we effectively offered existing eligible shareholders the opportunity to purchase shares in the Company at a purchase price of $5.74 per share pursuant to a Share Purchase Plan. As part of the Share Purchase Plan we received gross proceeds of $1.3 million for the issuance of the equivalent of 220,612 shares in the Company.</w:t>
      </w:r>
    </w:p>
    <w:p>
      <w:pPr>
        <w:spacing w:after="0" w:line="18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During the year ended June 30, 2018, the Company completed a series of equity transactions (through our former parent company, AVITA Medical). During October 2017, we announced a capital raising in aggregate to raise $13.2 million over two tranches; the first a private placement and the second a rights offering to existing shareholders. On October 17, 2017, we completed the private placement of the equivalent of 1,009,830 shares at a price of $3.53 per share raising gross proceeds of $3.6 million. On November 2, 2017, we completed the rights offering resulting in a total issue of the equivalent of 2,765,029 shares to raise a gross total of $9.6 million. During June 2018, we announced an institutional placement to raise an aggregate of</w:t>
      </w:r>
    </w:p>
    <w:p>
      <w:pPr>
        <w:spacing w:after="0" w:line="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$13.3 million over two tranches (“</w:t>
      </w:r>
      <w:r>
        <w:rPr>
          <w:rFonts w:ascii="Arial" w:cs="Arial" w:eastAsia="Arial" w:hAnsi="Arial"/>
          <w:sz w:val="18"/>
          <w:szCs w:val="18"/>
          <w:b w:val="1"/>
          <w:bCs w:val="1"/>
          <w:color w:val="auto"/>
        </w:rPr>
        <w:t>June 2018 Placement</w:t>
      </w:r>
      <w:r>
        <w:rPr>
          <w:rFonts w:ascii="Arial" w:cs="Arial" w:eastAsia="Arial" w:hAnsi="Arial"/>
          <w:sz w:val="18"/>
          <w:szCs w:val="18"/>
          <w:color w:val="auto"/>
        </w:rPr>
        <w:t>”). The first tranche closed on June 13, 2018 and raised an aggregate of $9.7 million by issuing the equivalent of 2,554,756 shares at a price of $3.79 per share. The second tranche for an aggregate of $2.4 million (referenced above) was issued on July 27, 2018.</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During December 2017, the board of directors approved the 2016 Director Share Plan which previously allowed directors to convert their compensation into our shares.</w:t>
      </w:r>
    </w:p>
    <w:p>
      <w:pPr>
        <w:spacing w:after="0" w:line="170"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The AVITA Group also benefits from cash inflows from the BARDA contract, awarded to the AVITA Group in September 2015 and subsequently expanded through a series of modifications. These payments from BARDA offset operating costs from various activities undertaken to support the FDA regulatory approval process for RECELL in the United States, preparation for the planned commercial launch of RECELL in the United States, and RECELL clinical programs in the United States. Further, there were no material expenditure commitments from the BARDA contract. With the U.S. FDA approval of RECELL for the treatment of burns in September 2018, and the U.S. market launch of the product in January 2019, sales of goods are expected to be an increasing source of revenue in the future. On July 13, 2020 the Company announced that BARDA will procure the RECELL System and agreed to the purchase, storage and delivery of RECELL Systems utilizing a vendor-managed inventory (“</w:t>
      </w:r>
      <w:r>
        <w:rPr>
          <w:rFonts w:ascii="Arial" w:cs="Arial" w:eastAsia="Arial" w:hAnsi="Arial"/>
          <w:sz w:val="16"/>
          <w:szCs w:val="16"/>
          <w:b w:val="1"/>
          <w:bCs w:val="1"/>
          <w:color w:val="auto"/>
        </w:rPr>
        <w:t>VMI</w:t>
      </w:r>
      <w:r>
        <w:rPr>
          <w:rFonts w:ascii="Arial" w:cs="Arial" w:eastAsia="Arial" w:hAnsi="Arial"/>
          <w:sz w:val="16"/>
          <w:szCs w:val="16"/>
          <w:color w:val="auto"/>
        </w:rPr>
        <w:t>”) plan valued at $7.6 million. Further, BARDA has expanded the awarded contract to provide supplemental funding of $1.6 million to support emergency deployment of RECELL Systems for use in mass casualty or other emergency situations. Delivery of RECELL Systems under the VMI plan is expected to commence in the second half of the 2020 calendar year. As of June 30, 2020, we had received cumulative payments of $24.4 million under the BARDA contract.</w:t>
      </w:r>
    </w:p>
    <w:p>
      <w:pPr>
        <w:spacing w:after="0" w:line="16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Company’s research and development activities are eligible to receive an incentive under an Australian Government tax incentive for eligible expenditure incurred on or after July 1, 2012 (“</w:t>
      </w:r>
      <w:r>
        <w:rPr>
          <w:rFonts w:ascii="Arial" w:cs="Arial" w:eastAsia="Arial" w:hAnsi="Arial"/>
          <w:sz w:val="18"/>
          <w:szCs w:val="18"/>
          <w:b w:val="1"/>
          <w:bCs w:val="1"/>
          <w:color w:val="auto"/>
        </w:rPr>
        <w:t>R&amp;D Incentive</w:t>
      </w:r>
      <w:r>
        <w:rPr>
          <w:rFonts w:ascii="Arial" w:cs="Arial" w:eastAsia="Arial" w:hAnsi="Arial"/>
          <w:sz w:val="18"/>
          <w:szCs w:val="18"/>
          <w:color w:val="auto"/>
        </w:rPr>
        <w:t>”). Our management has assessed these activities and expenditure to determine our likely eligibility under the R&amp;D Incentive. For the years ended June 30, 2020 and 2019, the Company has received $0.1 million and $1.6 million, respectively related to this R&amp;D Incentive.</w:t>
      </w:r>
    </w:p>
    <w:p>
      <w:pPr>
        <w:spacing w:after="0" w:line="187"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Given the above, we believe there is presently sufficient working capital to support our committed research and development programs and other activities over the next twelve months and the Company believes it has the ability to realize its assets and pay its liabilities and commitments in the normal course of business.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4"/>
                <w:szCs w:val="14"/>
                <w:color w:val="auto"/>
              </w:rPr>
            </w:pPr>
          </w:p>
        </w:tc>
        <w:tc>
          <w:tcPr>
            <w:tcW w:w="18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29"/>
        </w:trPr>
        <w:tc>
          <w:tcPr>
            <w:tcW w:w="49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operations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$(22,747)</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$(19,250)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gridSpan w:val="3"/>
          </w:tcPr>
          <w:p>
            <w:pPr>
              <w:jc w:val="right"/>
              <w:ind w:right="360"/>
              <w:spacing w:after="0"/>
              <w:rPr>
                <w:sz w:val="20"/>
                <w:szCs w:val="20"/>
                <w:color w:val="auto"/>
              </w:rPr>
            </w:pPr>
            <w:r>
              <w:rPr>
                <w:rFonts w:ascii="Arial" w:cs="Arial" w:eastAsia="Arial" w:hAnsi="Arial"/>
                <w:sz w:val="18"/>
                <w:szCs w:val="18"/>
                <w:color w:val="auto"/>
              </w:rPr>
              <w:t>(847)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77,057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29,709</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restricted cash</w:t>
            </w:r>
          </w:p>
        </w:tc>
        <w:tc>
          <w:tcPr>
            <w:tcW w:w="1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53,466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Cash and restricted cash at beginning of year</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20,374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restricted cash at end of year</w:t>
            </w:r>
          </w:p>
        </w:tc>
        <w:tc>
          <w:tcPr>
            <w:tcW w:w="1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73,840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Years Ended June 30, 2020, and 2019</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Net cash used in operating activities was $22.7 million and $19.3 million during the years ended June 30, 2020 and 2019, respectively. The increase was primarily due to higher operating costs associated with a full year of commercialization of the RECEL System in the United States, and the expansion of research and development.</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cash used in investing activities was $0.8 million and $1.2 million during the years ended June 30, 2020 and 2019, respectively. Cash flows used for investing activities was primarily attributable to payments for the purchase of a property and equipment.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Net cash provided by financing activities was $77.1 million and $29.7 million for the years ended June 30, 2020 and 2019, respectively. The AVITA Group completed a series of financing transactions and received proceeds from the issuance of shares and exercise of options.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 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4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For the year ended June 30, 2020, there were no dividends paid and we have no plans to commence the payment of dividends. We have no committed plans to issue further shares on the market but will continue to assess market conditions and the Company’s cash flow requirements to ensure the Company is appropriately funded in order to pursue its various opportunities.</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recent years, we have continued our practice of building valuable research collaborations with institutions based primarily in the United States but also in Australia, Japan and Europe and other regions to enable us to develop a point-of-care solution for the potential treatment of a wide range of skin injuries or defects which may be suitable for use with the RECELL System. These collaborative arrangements ensure that we work with well-respected key option leaders and laboratories without incurring ongoing administrative and personnel costs. All clinical, research and development of RECELL System, including clinical studies, is performed in compliance with the appropriate governing authorities, regulators and standards. We maintain in-house general counsel and research and development project expertise to coordinate these research collaborations.</w:t>
      </w:r>
    </w:p>
    <w:p>
      <w:pPr>
        <w:spacing w:after="0" w:line="17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Our research and development expenses consist primarily of expenses for contracted research and development activities conducted by major contract research organizations on our behalf, including personnel, testing facilities and other payments in accordance with our research and clinical agreements. Research and development expenses were $8.5 million, and $7.9 million, during the years ended June 30, 2020, and 2019, respectively.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While our RECELL System has reached commercialization for specific applications in certain jurisdictions, the United States remains our primary point of commercial and clinical focus. In addition, we are currently seeking to expand the breadth of clinical indications for which the RECELL System is approved for use in the United States ut have no plans to conduct clinical studies outside of the United States at this time. While we seek to advance the commercial opportunities for the RECELL System, it is not possible for us to predict with any degree of accuracy the outcome of our business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Off-Balance Sheet Arrangements</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investors.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 Contractual Obligations and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summarizes our contractual obligations and commitments as of June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 (in thousands)</w:t>
            </w: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7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460" w:type="dxa"/>
            <w:vAlign w:val="bottom"/>
            <w:gridSpan w:val="2"/>
          </w:tcPr>
          <w:p>
            <w:pPr>
              <w:jc w:val="center"/>
              <w:ind w:left="53"/>
              <w:spacing w:after="0" w:line="119" w:lineRule="exact"/>
              <w:rPr>
                <w:sz w:val="20"/>
                <w:szCs w:val="20"/>
                <w:color w:val="auto"/>
              </w:rPr>
            </w:pPr>
            <w:r>
              <w:rPr>
                <w:rFonts w:ascii="Arial" w:cs="Arial" w:eastAsia="Arial" w:hAnsi="Arial"/>
                <w:sz w:val="13"/>
                <w:szCs w:val="13"/>
                <w:b w:val="1"/>
                <w:bCs w:val="1"/>
                <w:color w:val="auto"/>
                <w:w w:val="95"/>
              </w:rPr>
              <w:t>2-3</w:t>
            </w:r>
          </w:p>
        </w:tc>
        <w:tc>
          <w:tcPr>
            <w:tcW w:w="120" w:type="dxa"/>
            <w:vAlign w:val="bottom"/>
          </w:tcPr>
          <w:p>
            <w:pPr>
              <w:spacing w:after="0"/>
              <w:rPr>
                <w:sz w:val="10"/>
                <w:szCs w:val="10"/>
                <w:color w:val="auto"/>
              </w:rPr>
            </w:pPr>
          </w:p>
        </w:tc>
        <w:tc>
          <w:tcPr>
            <w:tcW w:w="5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4-5</w:t>
            </w:r>
          </w:p>
        </w:tc>
        <w:tc>
          <w:tcPr>
            <w:tcW w:w="26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 (1)</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607</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530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$607</w:t>
            </w:r>
          </w:p>
        </w:tc>
        <w:tc>
          <w:tcPr>
            <w:tcW w:w="2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530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6"/>
              </w:rPr>
              <w:t>$ 77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80" w:hanging="264"/>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Operating lease obligations are primarily for corporate office space and warehouse facilities.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 Critical Accounting Policies and Estimates</w:t>
      </w:r>
    </w:p>
    <w:p>
      <w:pPr>
        <w:spacing w:after="0" w:line="12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SEC defines “critical accounting policies” as those that require the application of management’s most difficult, subjective, or complex judgments, often as a result of the need to make estimates about the effect of matters that are inherently uncertain and may change in subsequent periods.</w:t>
      </w:r>
    </w:p>
    <w:p>
      <w:pPr>
        <w:spacing w:after="0" w:line="124"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Practices, or U.S. GAAP, requires us to make estimates and assumptions that affect the reported amounts of assets and liabilities and disclosures of contingent assets and liabilities at the date of the financial statements and the reported amounts of revenues and expenses during the reporting period. We base those estimates on historical experience and on various assumptions that are believed to be reasonable under the circumstances. Actual results could differ from those estimates.</w:t>
      </w:r>
    </w:p>
    <w:p>
      <w:pPr>
        <w:spacing w:after="0" w:line="157"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The following listing is not intended to be a comprehensive list of all of our accounting policies. Our significant accounting policies are described in Note 2 to our consolidated financial statements contained elsewhere in this Annual Report. In many cases, the accounting treatment of a particular transaction is dictated by U.S. GAAP, with no need for our judgment in its application. There are also areas in which our judgment in selecting an available alternative would not produce a materially different result. We have identified the following as our critical accounting policies.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Revenues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Effective July 1, 2018, the Company adopted ASC 606, Revenue from Contracts with Customers, using the modified retrospective method applicable to all contracts that were not completed at the date of initial application. This update outlined a comprehensive new revenue recognition model designed to depict the transfer of promised goods or services to customers in an amount that reflects the consideration to which the entity expects to be entitled in exchange for those goods or services. The new standard also required additional qualitative disclosures. Upon adoption, the ASC 606 did not have a material impact on the financial statements. Refer to Note 12 – Revenues for further information. For the Company’s contracts that have an original duration of one year or less, the Company used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12 to our Consolidated Financial Statements included in this Annual Report for additional detail on revenue recognition.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Grants / BARDA Income and Receivables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AVITA Group was granted a BARDA contract in September 2015, wherein BARDA provided funding to the AVITA Group to support the ongoing U.S. clinical regulatory program towards FDA premarket approval, Compassionate Use program, clinical and health economics research, and U.S. pediatric burn programs.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Income under the BARDA contract is earned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Company has concluded that grants are not within the scope of ASC 606, as they do not meet the definition of a contract with a “customer”. The Company has further concluded that Subtopic 958-605, Not-for-Profit-Entities-Revenue Recognition also does not apply, as the Company is a business entity and the grants are with governmental agencies. Government grants and related receivables are recognized when there is reasonable assurance that the grant will be received, and all attaching conditions will be complied with. When the grant relates to an expense item, it is recognized as income over the periods necessary to match the grant on a systematic basis to the costs that it is intended to compensate. When the grant relates to an asset, the fair value is credited to deferred income and is released to the profit or loss over the expected useful life of the relevant asset by equal annual installments.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records compensation expense for stock options based on the fair market value of the awards on the date of grant. The fair value of stock-based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For certain awards, the Company estimates the fair value of share options and other equity-based compensation using a Binomial option pricing model on the date of grant.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13 to our Consolidated Financial Statements included in this Annual Report for additional detail on stock based compensation.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by a valuation allowance if it is more likely than not that a portion of the deferred tax asset will not be realized.</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14 to our Consolidated Financial Statements included in this Annual Report for additional detail on income taxes.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Please see the Company’s audited financial statements for the year ended June 30, 2020, beginning at page F-1 under Note 19 “</w:t>
      </w:r>
      <w:r>
        <w:rPr>
          <w:rFonts w:ascii="Arial" w:cs="Arial" w:eastAsia="Arial" w:hAnsi="Arial"/>
          <w:sz w:val="18"/>
          <w:szCs w:val="18"/>
          <w:i w:val="1"/>
          <w:iCs w:val="1"/>
          <w:color w:val="auto"/>
        </w:rPr>
        <w:t>Financial Risk</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Objectives and Policies</w:t>
      </w:r>
      <w:r>
        <w:rPr>
          <w:rFonts w:ascii="Arial" w:cs="Arial" w:eastAsia="Arial" w:hAnsi="Arial"/>
          <w:sz w:val="18"/>
          <w:szCs w:val="18"/>
          <w:color w:val="auto"/>
        </w:rPr>
        <w:t>” for a description of interest rate risk, foreign currency risk, credit risk and liquidity risk and how such risks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320" w:top="459"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financial statements and supplementary data are attached hereto beginning on Page F-1, and are incorporated by reference herein.</w:t>
      </w:r>
    </w:p>
    <w:p>
      <w:pPr>
        <w:spacing w:after="0" w:line="329" w:lineRule="exact"/>
        <w:rPr>
          <w:sz w:val="20"/>
          <w:szCs w:val="20"/>
          <w:color w:val="auto"/>
        </w:rPr>
      </w:pPr>
    </w:p>
    <w:p>
      <w:pPr>
        <w:ind w:left="120" w:right="88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 As required by Rules 13a-15(b) and 15d-15(b) under the Exchange Act, our management, with the participation of our chief executive officer and chief financial officer, conducted an evaluation of the effectiveness of our disclosure controls and procedures as of June 30, 2020. Based on this evaluation, our chief executive officer and chief financial officer concluded that our disclosure controls and procedures were effective as of June 30, 2020.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as this term is defined in Rules 13a-15(f) and 15d-15(f) under the Exchange Act. As required by Rules 13a-15(e) and 15d-15(e) under the Exchange Act, our management, with the participation of our chief executive officer and chief financial officer, conducted an evaluation of the effectiveness of our disclosure controls and procedures as of June 30, 2020, based on the criteria set forth in the Internal Control—Integrated Framework (2013) issued by the Committee of Sponsoring Organizations of the Treadway Commission. Based on this evaluation, our management concluded that our disclosure controls and procedures were effective as of June 30, 2020.</w:t>
      </w:r>
    </w:p>
    <w:p>
      <w:pPr>
        <w:spacing w:after="0" w:line="19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This report does not include an attestation report of our independent registered public accounting firm regarding our internal control over financial reporting, in accordance with applicable SEC rules that permit us to provide only management’s report in this report.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Remediation of Material Weakness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Throughout the year ended June 30, 2020, the Company undertook remediation measures related to the previously reported material weaknesses in internal control over financial reporting. We completed these remediation measures during the year ended June 30, 2020, including testing of the design and implementation of the related controls. Specifically, we implemented a more rigorous process to track and monitor our accumulated tax losses and we have hired an external income tax specialist to review our application of tax legislation across jurisdictions. Based on these procedures, we believe that the previously reported material weakness has been remediated.</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Other than described above, there was no change in our internal control over financial reporting during the year ended June 30, 2020, that has materially affected, or is reasonably likely to materially affect, our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Inherent Limitations on Disclosure Controls and Procedures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controls and procedures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right="4140"/>
        <w:spacing w:after="0" w:line="378" w:lineRule="auto"/>
        <w:rPr>
          <w:sz w:val="20"/>
          <w:szCs w:val="20"/>
          <w:color w:val="auto"/>
        </w:rPr>
      </w:pPr>
      <w:r>
        <w:rPr>
          <w:rFonts w:ascii="Arial" w:cs="Arial" w:eastAsia="Arial" w:hAnsi="Arial"/>
          <w:sz w:val="18"/>
          <w:szCs w:val="18"/>
          <w:b w:val="1"/>
          <w:bCs w:val="1"/>
          <w:color w:val="auto"/>
        </w:rPr>
        <w:t>Item 10. DIRECTORS, EXECUTIVE OFFICERS AND CORPORATE GOVERNANCE Directors and Executive Officers</w:t>
      </w:r>
    </w:p>
    <w:p>
      <w:pPr>
        <w:ind w:left="120" w:right="80"/>
        <w:spacing w:after="0" w:line="342" w:lineRule="auto"/>
        <w:rPr>
          <w:sz w:val="20"/>
          <w:szCs w:val="20"/>
          <w:color w:val="auto"/>
        </w:rPr>
      </w:pPr>
      <w:r>
        <w:rPr>
          <w:rFonts w:ascii="Arial" w:cs="Arial" w:eastAsia="Arial" w:hAnsi="Arial"/>
          <w:sz w:val="16"/>
          <w:szCs w:val="16"/>
          <w:color w:val="auto"/>
        </w:rPr>
        <w:t>The following table sets forth our directors and executive officers, their ages and the positions they held as of the date of this Annual Report. All of our directors and executive officers may be contacted at our registered office located at 28159 Avenue Stanford, Suite 220, Valencia, CA 91355.</w:t>
      </w:r>
    </w:p>
    <w:p>
      <w:pPr>
        <w:spacing w:after="0" w:line="12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Any references in this section to a director’s role prior to completion of the Redomicile Transaction are references to that director’s role as a director of AVITA Medical (being the former parent company of the AVITA Group).</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4"/>
              </w:rPr>
              <w:t>Name</w:t>
            </w:r>
          </w:p>
        </w:tc>
        <w:tc>
          <w:tcPr>
            <w:tcW w:w="442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86"/>
              </w:rPr>
              <w:t>Position</w:t>
            </w:r>
          </w:p>
        </w:tc>
        <w:tc>
          <w:tcPr>
            <w:tcW w:w="1240" w:type="dxa"/>
            <w:vAlign w:val="bottom"/>
            <w:gridSpan w:val="2"/>
            <w:vMerge w:val="restart"/>
          </w:tcPr>
          <w:p>
            <w:pPr>
              <w:jc w:val="center"/>
              <w:ind w:right="1000"/>
              <w:spacing w:after="0"/>
              <w:rPr>
                <w:sz w:val="20"/>
                <w:szCs w:val="20"/>
                <w:color w:val="auto"/>
              </w:rPr>
            </w:pPr>
            <w:r>
              <w:rPr>
                <w:rFonts w:ascii="Arial" w:cs="Arial" w:eastAsia="Arial" w:hAnsi="Arial"/>
                <w:sz w:val="14"/>
                <w:szCs w:val="14"/>
                <w:b w:val="1"/>
                <w:bCs w:val="1"/>
                <w:color w:val="auto"/>
                <w:w w:val="90"/>
              </w:rPr>
              <w:t>Age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Date First Elected or</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44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Appointed</w:t>
            </w:r>
          </w:p>
        </w:tc>
        <w:tc>
          <w:tcPr>
            <w:tcW w:w="0" w:type="dxa"/>
            <w:vAlign w:val="bottom"/>
          </w:tcPr>
          <w:p>
            <w:pPr>
              <w:spacing w:after="0"/>
              <w:rPr>
                <w:sz w:val="1"/>
                <w:szCs w:val="1"/>
                <w:color w:val="auto"/>
              </w:rPr>
            </w:pPr>
          </w:p>
        </w:tc>
      </w:tr>
      <w:tr>
        <w:trPr>
          <w:trHeight w:val="210"/>
        </w:trPr>
        <w:tc>
          <w:tcPr>
            <w:tcW w:w="3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Lou Panaccio</w:t>
            </w:r>
          </w:p>
        </w:tc>
        <w:tc>
          <w:tcPr>
            <w:tcW w:w="98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Non-Executive Chairman</w:t>
            </w:r>
          </w:p>
        </w:tc>
        <w:tc>
          <w:tcPr>
            <w:tcW w:w="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9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2014</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1000"/>
              <w:spacing w:after="0"/>
              <w:rPr>
                <w:sz w:val="20"/>
                <w:szCs w:val="20"/>
                <w:color w:val="auto"/>
              </w:rPr>
            </w:pPr>
            <w:r>
              <w:rPr>
                <w:rFonts w:ascii="Arial" w:cs="Arial" w:eastAsia="Arial" w:hAnsi="Arial"/>
                <w:sz w:val="18"/>
                <w:szCs w:val="18"/>
                <w:color w:val="auto"/>
                <w:w w:val="90"/>
              </w:rPr>
              <w:t>Jeremy Curnock Cook</w:t>
            </w:r>
          </w:p>
        </w:tc>
        <w:tc>
          <w:tcPr>
            <w:tcW w:w="442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Non-Executive Director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9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October 2012</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0"/>
              </w:rPr>
              <w:t>Louis Drapeau</w:t>
            </w:r>
          </w:p>
        </w:tc>
        <w:tc>
          <w:tcPr>
            <w:tcW w:w="442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color w:val="auto"/>
                <w:w w:val="92"/>
              </w:rPr>
              <w:t>Non-Executive Director</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2016</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1000"/>
              <w:spacing w:after="0"/>
              <w:rPr>
                <w:sz w:val="20"/>
                <w:szCs w:val="20"/>
                <w:color w:val="auto"/>
              </w:rPr>
            </w:pPr>
            <w:r>
              <w:rPr>
                <w:rFonts w:ascii="Arial" w:cs="Arial" w:eastAsia="Arial" w:hAnsi="Arial"/>
                <w:sz w:val="18"/>
                <w:szCs w:val="18"/>
                <w:color w:val="auto"/>
                <w:w w:val="93"/>
              </w:rPr>
              <w:t>Damien McDonald</w:t>
            </w:r>
          </w:p>
        </w:tc>
        <w:tc>
          <w:tcPr>
            <w:tcW w:w="442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Non-Executive Director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9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January 2016</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88"/>
              </w:rPr>
              <w:t>Professor Suzanne Crowe</w:t>
            </w:r>
          </w:p>
        </w:tc>
        <w:tc>
          <w:tcPr>
            <w:tcW w:w="442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color w:val="auto"/>
                <w:w w:val="92"/>
              </w:rPr>
              <w:t>Non-Executive Director</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2016</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1000"/>
              <w:spacing w:after="0"/>
              <w:rPr>
                <w:sz w:val="20"/>
                <w:szCs w:val="20"/>
                <w:color w:val="auto"/>
              </w:rPr>
            </w:pPr>
            <w:r>
              <w:rPr>
                <w:rFonts w:ascii="Arial" w:cs="Arial" w:eastAsia="Arial" w:hAnsi="Arial"/>
                <w:sz w:val="18"/>
                <w:szCs w:val="18"/>
                <w:color w:val="auto"/>
                <w:w w:val="93"/>
              </w:rPr>
              <w:t>Dr. Michael Perry</w:t>
            </w:r>
          </w:p>
        </w:tc>
        <w:tc>
          <w:tcPr>
            <w:tcW w:w="4420" w:type="dxa"/>
            <w:vAlign w:val="bottom"/>
            <w:gridSpan w:val="2"/>
          </w:tcPr>
          <w:p>
            <w:pPr>
              <w:jc w:val="center"/>
              <w:ind w:right="980"/>
              <w:spacing w:after="0"/>
              <w:rPr>
                <w:sz w:val="20"/>
                <w:szCs w:val="20"/>
                <w:color w:val="auto"/>
              </w:rPr>
            </w:pPr>
            <w:r>
              <w:rPr>
                <w:rFonts w:ascii="Arial" w:cs="Arial" w:eastAsia="Arial" w:hAnsi="Arial"/>
                <w:sz w:val="18"/>
                <w:szCs w:val="18"/>
                <w:color w:val="auto"/>
                <w:w w:val="93"/>
              </w:rPr>
              <w:t>Executive Director and Chief Executive Officer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9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color w:val="auto"/>
                <w:w w:val="96"/>
              </w:rPr>
              <w:t>David McIntyre</w:t>
            </w:r>
          </w:p>
        </w:tc>
        <w:tc>
          <w:tcPr>
            <w:tcW w:w="442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color w:val="auto"/>
                <w:w w:val="94"/>
              </w:rPr>
              <w:t>Chief Financial Officer</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980"/>
              <w:spacing w:after="0"/>
              <w:rPr>
                <w:sz w:val="20"/>
                <w:szCs w:val="20"/>
                <w:color w:val="auto"/>
              </w:rPr>
            </w:pPr>
            <w:r>
              <w:rPr>
                <w:rFonts w:ascii="Arial" w:cs="Arial" w:eastAsia="Arial" w:hAnsi="Arial"/>
                <w:sz w:val="18"/>
                <w:szCs w:val="18"/>
                <w:color w:val="auto"/>
                <w:w w:val="95"/>
              </w:rPr>
              <w:t>Erin Liberto</w:t>
            </w:r>
          </w:p>
        </w:tc>
        <w:tc>
          <w:tcPr>
            <w:tcW w:w="4420" w:type="dxa"/>
            <w:vAlign w:val="bottom"/>
            <w:gridSpan w:val="2"/>
          </w:tcPr>
          <w:p>
            <w:pPr>
              <w:jc w:val="center"/>
              <w:ind w:right="980"/>
              <w:spacing w:after="0"/>
              <w:rPr>
                <w:sz w:val="20"/>
                <w:szCs w:val="20"/>
                <w:color w:val="auto"/>
              </w:rPr>
            </w:pPr>
            <w:r>
              <w:rPr>
                <w:rFonts w:ascii="Arial" w:cs="Arial" w:eastAsia="Arial" w:hAnsi="Arial"/>
                <w:sz w:val="18"/>
                <w:szCs w:val="18"/>
                <w:color w:val="auto"/>
                <w:w w:val="93"/>
              </w:rPr>
              <w:t>Chief Commercial Officer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9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August 2017</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4"/>
              </w:rPr>
              <w:t>Andrew Quick</w:t>
            </w:r>
          </w:p>
        </w:tc>
        <w:tc>
          <w:tcPr>
            <w:tcW w:w="4420" w:type="dxa"/>
            <w:vAlign w:val="bottom"/>
            <w:gridSpan w:val="2"/>
            <w:shd w:val="clear" w:color="auto" w:fill="CCEEFF"/>
          </w:tcPr>
          <w:p>
            <w:pPr>
              <w:jc w:val="center"/>
              <w:ind w:right="980"/>
              <w:spacing w:after="0"/>
              <w:rPr>
                <w:sz w:val="20"/>
                <w:szCs w:val="20"/>
                <w:color w:val="auto"/>
              </w:rPr>
            </w:pPr>
            <w:r>
              <w:rPr>
                <w:rFonts w:ascii="Arial" w:cs="Arial" w:eastAsia="Arial" w:hAnsi="Arial"/>
                <w:sz w:val="18"/>
                <w:szCs w:val="18"/>
                <w:color w:val="auto"/>
                <w:w w:val="92"/>
              </w:rPr>
              <w:t>Chief Technology Officer</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9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30"/>
        </w:trPr>
        <w:tc>
          <w:tcPr>
            <w:tcW w:w="4060" w:type="dxa"/>
            <w:vAlign w:val="bottom"/>
            <w:gridSpan w:val="2"/>
          </w:tcPr>
          <w:p>
            <w:pPr>
              <w:jc w:val="center"/>
              <w:ind w:right="1000"/>
              <w:spacing w:after="0"/>
              <w:rPr>
                <w:sz w:val="20"/>
                <w:szCs w:val="20"/>
                <w:color w:val="auto"/>
              </w:rPr>
            </w:pPr>
            <w:r>
              <w:rPr>
                <w:rFonts w:ascii="Arial" w:cs="Arial" w:eastAsia="Arial" w:hAnsi="Arial"/>
                <w:sz w:val="18"/>
                <w:szCs w:val="18"/>
                <w:color w:val="auto"/>
                <w:w w:val="91"/>
              </w:rPr>
              <w:t>Donna Shiroma</w:t>
            </w:r>
          </w:p>
        </w:tc>
        <w:tc>
          <w:tcPr>
            <w:tcW w:w="442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General Counsel</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9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June 2018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60" w:right="100"/>
        <w:spacing w:after="0" w:line="255" w:lineRule="auto"/>
        <w:rPr>
          <w:sz w:val="20"/>
          <w:szCs w:val="20"/>
          <w:color w:val="auto"/>
        </w:rPr>
      </w:pPr>
      <w:r>
        <w:rPr>
          <w:rFonts w:ascii="Arial" w:cs="Arial" w:eastAsia="Arial" w:hAnsi="Arial"/>
          <w:sz w:val="18"/>
          <w:szCs w:val="18"/>
          <w:b w:val="1"/>
          <w:bCs w:val="1"/>
          <w:color w:val="auto"/>
        </w:rPr>
        <w:t xml:space="preserve">Lou Panaccio </w:t>
      </w:r>
      <w:r>
        <w:rPr>
          <w:rFonts w:ascii="Arial" w:cs="Arial" w:eastAsia="Arial" w:hAnsi="Arial"/>
          <w:sz w:val="18"/>
          <w:szCs w:val="18"/>
          <w:color w:val="auto"/>
        </w:rPr>
        <w:t>has served as Non-Executive Chairman of the Board of Directors since July 2014. Mr. Panaccio is a successful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businessman with extensive experience leading companies from concept to 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was Non-Executive Chairman of Genera Biosystems Limited until June 2019, and a Non-Executive Director of Rhythm Biosciences Limited, a publicly listed (ASX) development-stage medical diagnostics company.</w:t>
      </w:r>
    </w:p>
    <w:p>
      <w:pPr>
        <w:spacing w:after="0" w:line="85"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color w:val="auto"/>
        </w:rPr>
        <w:t>We believe Mr. Panaccio is qualified to serve on our board of directors based on his extensive experience in the healthcare services and life sciences and his experience serving on boards.</w:t>
      </w:r>
    </w:p>
    <w:p>
      <w:pPr>
        <w:spacing w:after="0" w:line="58" w:lineRule="exact"/>
        <w:rPr>
          <w:sz w:val="20"/>
          <w:szCs w:val="20"/>
          <w:color w:val="auto"/>
        </w:rPr>
      </w:pPr>
    </w:p>
    <w:p>
      <w:pPr>
        <w:ind w:left="560" w:right="20"/>
        <w:spacing w:after="0" w:line="269" w:lineRule="auto"/>
        <w:rPr>
          <w:sz w:val="20"/>
          <w:szCs w:val="20"/>
          <w:color w:val="auto"/>
        </w:rPr>
      </w:pPr>
      <w:r>
        <w:rPr>
          <w:rFonts w:ascii="Arial" w:cs="Arial" w:eastAsia="Arial" w:hAnsi="Arial"/>
          <w:sz w:val="17"/>
          <w:szCs w:val="17"/>
          <w:b w:val="1"/>
          <w:bCs w:val="1"/>
          <w:color w:val="auto"/>
        </w:rPr>
        <w:t xml:space="preserve">Jeremy Curnock Cook </w:t>
      </w:r>
      <w:r>
        <w:rPr>
          <w:rFonts w:ascii="Arial" w:cs="Arial" w:eastAsia="Arial" w:hAnsi="Arial"/>
          <w:sz w:val="17"/>
          <w:szCs w:val="17"/>
          <w:color w:val="auto"/>
        </w:rPr>
        <w:t>has served as a Non-Executive Director of the Board since October 2012. Mr. Curnock Cook is currently the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Bioscience Managers Pty Ltd, a formerly a shareholder of the Company, responsible for the BM Asia Pacific Healthcare Fund, and serves as Chairman of International Bioscience Managers Ltd. He is the former head of the life science private equity team at Rothschild Asset Management and was responsible for the launch of the first dedicated biotechnology fund for the Australian market and the conception and launch of the International Biotechnology Trust. Mr. Curnock Cook serves as a Non-Executive Director of Adherium Ltd, a public (ASX) company with a digital health platform focused on improving medication adherence and patient outcomes. From November 2005, he also serves as a Director for AmpliPhi Biosciences Corporation, Inc. (which merged to Armata Pharmaceuticals, Inc. in May 2019), a public (NYSE) clinical-stage biotechnology company focused on the development of bacteriophage-based therapies for the treatment of antibiotic-resistant bacterial infections. He also serves as a Director for Sea Dragon Limited, a public (NZX) company processing fish oils into marine bioactive compounds. Mr. Curnock Cook previously served as a Non-Executive Director of Phylogica Limited, a public (ASX) company developing next generation intracellular biological therapeutics.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Mr. Curnock Cook is qualified to serve on our board of directors based on his extensive experience in the life sciences.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60"/>
        <w:spacing w:after="0" w:line="254" w:lineRule="auto"/>
        <w:rPr>
          <w:sz w:val="20"/>
          <w:szCs w:val="20"/>
          <w:color w:val="auto"/>
        </w:rPr>
      </w:pPr>
      <w:r>
        <w:rPr>
          <w:rFonts w:ascii="Arial" w:cs="Arial" w:eastAsia="Arial" w:hAnsi="Arial"/>
          <w:sz w:val="18"/>
          <w:szCs w:val="18"/>
          <w:b w:val="1"/>
          <w:bCs w:val="1"/>
          <w:color w:val="auto"/>
        </w:rPr>
        <w:t xml:space="preserve">Louis Drapeau </w:t>
      </w:r>
      <w:r>
        <w:rPr>
          <w:rFonts w:ascii="Arial" w:cs="Arial" w:eastAsia="Arial" w:hAnsi="Arial"/>
          <w:sz w:val="18"/>
          <w:szCs w:val="18"/>
          <w:color w:val="auto"/>
        </w:rPr>
        <w:t>has served as Non-Executive Director of our board since January 2016. Mr. Drapeau has considerable expertise in both the</w:t>
      </w:r>
      <w:r>
        <w:rPr>
          <w:rFonts w:ascii="Arial" w:cs="Arial" w:eastAsia="Arial" w:hAnsi="Arial"/>
          <w:sz w:val="18"/>
          <w:szCs w:val="18"/>
          <w:b w:val="1"/>
          <w:bCs w:val="1"/>
          <w:color w:val="auto"/>
        </w:rPr>
        <w:t xml:space="preserve"> </w:t>
      </w:r>
      <w:r>
        <w:rPr>
          <w:rFonts w:ascii="Arial" w:cs="Arial" w:eastAsia="Arial" w:hAnsi="Arial"/>
          <w:sz w:val="18"/>
          <w:szCs w:val="18"/>
          <w:color w:val="auto"/>
        </w:rPr>
        <w:t>biotech sector and with the financial reporting and other requirements of U.S. public companies. From March 2011 until May 2019, Mr. Drapeau served as an Independent Director at AmpliPhi Biosciences Corporation, Inc., a public (NYSE) clinical-stage biotechnology company focused on the development of bacteriophage-based therapies for the treatment 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w:t>
      </w:r>
    </w:p>
    <w:p>
      <w:pPr>
        <w:spacing w:after="0" w:line="88"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We believe Mr. Drapeau is qualified to serve on our board of directors based on his experience with financial reporting and other requirements of U.S. public companies, and considerable expertise in the biotech sector.</w:t>
      </w:r>
    </w:p>
    <w:p>
      <w:pPr>
        <w:spacing w:after="0" w:line="58"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b w:val="1"/>
          <w:bCs w:val="1"/>
          <w:color w:val="auto"/>
        </w:rPr>
        <w:t xml:space="preserve">Damien McDonald </w:t>
      </w:r>
      <w:r>
        <w:rPr>
          <w:rFonts w:ascii="Arial" w:cs="Arial" w:eastAsia="Arial" w:hAnsi="Arial"/>
          <w:sz w:val="17"/>
          <w:szCs w:val="17"/>
          <w:color w:val="auto"/>
        </w:rPr>
        <w:t>has served as a Non-Executive Director of our board of directors since January 2016. Mr. McDonald has a proven track</w:t>
      </w:r>
      <w:r>
        <w:rPr>
          <w:rFonts w:ascii="Arial" w:cs="Arial" w:eastAsia="Arial" w:hAnsi="Arial"/>
          <w:sz w:val="17"/>
          <w:szCs w:val="17"/>
          <w:b w:val="1"/>
          <w:bCs w:val="1"/>
          <w:color w:val="auto"/>
        </w:rPr>
        <w:t xml:space="preserve"> </w:t>
      </w:r>
      <w:r>
        <w:rPr>
          <w:rFonts w:ascii="Arial" w:cs="Arial" w:eastAsia="Arial" w:hAnsi="Arial"/>
          <w:sz w:val="17"/>
          <w:szCs w:val="17"/>
          <w:color w:val="auto"/>
        </w:rPr>
        <w:t>record of achieving value in the medical device space. Mr. McDonald is currently Chief Executive Officer and a Director of the Board of LivaNova plc, having previously served as Chief Operating Officer. LivaNova plc is a public (NASDAQ) company that is a leader in cardiovascular and neuromodulation solutions. Prior to that, he was a Group Executive and Corporate Vice President at NYSE-listed Danaher Corporation, a multinational science and technology innovation company that acquires and produces life science and industrial products and brands, where he led a $1.5 billion group of dental consumable companies. Earlier in his tenure, Mr. McDonald was Group President of Kerr where he and his team focused on building a strong research and development pipeline while improving operational performance utilizing the Denaher Business System. He has also previously worked for Merck &amp; Co, Johnson &amp; Johnson and Zimmer. Mr. McDonald has B.S. degrees in both pharmacy and economics from the University of Queensland, a master’s degree in International Economics from the University of Wales, and an MBA from IMD of Lausanne, Switzerland.</w:t>
      </w:r>
    </w:p>
    <w:p>
      <w:pPr>
        <w:spacing w:after="0" w:line="73"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We believe Mr. McDonald is qualified to serve on our board of directors based on his extensive experience in the biotech and medical device industries, and his proven track record of achieving value in the medical device space.</w:t>
      </w:r>
    </w:p>
    <w:p>
      <w:pPr>
        <w:spacing w:after="0" w:line="58" w:lineRule="exact"/>
        <w:rPr>
          <w:sz w:val="20"/>
          <w:szCs w:val="20"/>
          <w:color w:val="auto"/>
        </w:rPr>
      </w:pPr>
    </w:p>
    <w:p>
      <w:pPr>
        <w:ind w:left="560" w:right="140"/>
        <w:spacing w:after="0" w:line="271" w:lineRule="auto"/>
        <w:rPr>
          <w:sz w:val="20"/>
          <w:szCs w:val="20"/>
          <w:color w:val="auto"/>
        </w:rPr>
      </w:pPr>
      <w:r>
        <w:rPr>
          <w:rFonts w:ascii="Arial" w:cs="Arial" w:eastAsia="Arial" w:hAnsi="Arial"/>
          <w:sz w:val="17"/>
          <w:szCs w:val="17"/>
          <w:b w:val="1"/>
          <w:bCs w:val="1"/>
          <w:color w:val="auto"/>
        </w:rPr>
        <w:t xml:space="preserve">Professor Suzanne Crowe AM </w:t>
      </w:r>
      <w:r>
        <w:rPr>
          <w:rFonts w:ascii="Arial" w:cs="Arial" w:eastAsia="Arial" w:hAnsi="Arial"/>
          <w:sz w:val="17"/>
          <w:szCs w:val="17"/>
          <w:color w:val="auto"/>
        </w:rPr>
        <w:t>has served as a Non-Executive Director since January 2016. Australian-based, she is a physician-scientist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director with extensive expertise in supporting companies with their medical and scientific strategies. Professor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 Professor Crowe is a member of the Australian Institute of Company Directors and is a Director of St Vincents Health Australia, the country’s largest not-for-profit health and aged care provider. Professor Crowe was appointed as a Member of the Order of Australia (AM) in 2011 to recognize her service to 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70"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We believe Professor Crowe is qualified to serve on our board of directors based on her technical experience and extensive expertise in supporting companies with their medical and scientific strategies.</w:t>
      </w:r>
    </w:p>
    <w:p>
      <w:pPr>
        <w:spacing w:after="0" w:line="58" w:lineRule="exact"/>
        <w:rPr>
          <w:sz w:val="20"/>
          <w:szCs w:val="20"/>
          <w:color w:val="auto"/>
        </w:rPr>
      </w:pPr>
    </w:p>
    <w:p>
      <w:pPr>
        <w:ind w:left="560" w:right="140"/>
        <w:spacing w:after="0" w:line="298" w:lineRule="auto"/>
        <w:rPr>
          <w:sz w:val="20"/>
          <w:szCs w:val="20"/>
          <w:color w:val="auto"/>
        </w:rPr>
      </w:pPr>
      <w:r>
        <w:rPr>
          <w:rFonts w:ascii="Arial" w:cs="Arial" w:eastAsia="Arial" w:hAnsi="Arial"/>
          <w:sz w:val="16"/>
          <w:szCs w:val="16"/>
          <w:b w:val="1"/>
          <w:bCs w:val="1"/>
          <w:color w:val="auto"/>
        </w:rPr>
        <w:t xml:space="preserve">Dr. Michael Perry </w:t>
      </w:r>
      <w:r>
        <w:rPr>
          <w:rFonts w:ascii="Arial" w:cs="Arial" w:eastAsia="Arial" w:hAnsi="Arial"/>
          <w:sz w:val="16"/>
          <w:szCs w:val="16"/>
          <w:color w:val="auto"/>
        </w:rPr>
        <w:t>was appointed Chief Executive Officer and Executive Director in June 2017. Prior to this appointment, Dr. Perry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Non-Executive Director commencing in February 2013.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96" w:lineRule="auto"/>
        <w:rPr>
          <w:sz w:val="20"/>
          <w:szCs w:val="20"/>
          <w:color w:val="auto"/>
        </w:rPr>
      </w:pPr>
      <w:r>
        <w:rPr>
          <w:rFonts w:ascii="Arial" w:cs="Arial" w:eastAsia="Arial" w:hAnsi="Arial"/>
          <w:sz w:val="16"/>
          <w:szCs w:val="16"/>
          <w:color w:val="auto"/>
        </w:rPr>
        <w:t>and CEO of Cell &amp; Gene Therapy at Novartis affiliates Systemix Inc. and Genetic Therapy, Inc., VP Regulatory Affairs at Sandoz Pharmaceuticals Corp., Director of Regulatory Affairs at Schering-Plough Corporation, and Chairman, CEO or CMO at several early stage biotech companies. He also previously served as a Venture Partner with Bay City Capital, LLC, a life science investment firm managing venture capital funds, based in San Francisco California. Dr. Perry serves as a Director of Arrowhead Pharmaceuticals, a public (NASDAQ) development stage company focused on medicines that treat intractable diseases by silencing genes. He is also a Director at BioScience Managers Pty Ltd.</w:t>
      </w:r>
    </w:p>
    <w:p>
      <w:pPr>
        <w:spacing w:after="0" w:line="53"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color w:val="auto"/>
        </w:rPr>
        <w:t>We believe Dr. Perry is qualified to serve on our board of directors based on our review of his experience, qualifications, attributes and skills, including his executive leadership experience in the healthcare and biotechnology industries.</w:t>
      </w:r>
    </w:p>
    <w:p>
      <w:pPr>
        <w:spacing w:after="0" w:line="58" w:lineRule="exact"/>
        <w:rPr>
          <w:sz w:val="20"/>
          <w:szCs w:val="20"/>
          <w:color w:val="auto"/>
        </w:rPr>
      </w:pPr>
    </w:p>
    <w:p>
      <w:pPr>
        <w:ind w:left="560" w:right="80"/>
        <w:spacing w:after="0" w:line="289" w:lineRule="auto"/>
        <w:rPr>
          <w:sz w:val="20"/>
          <w:szCs w:val="20"/>
          <w:color w:val="auto"/>
        </w:rPr>
      </w:pPr>
      <w:r>
        <w:rPr>
          <w:rFonts w:ascii="Arial" w:cs="Arial" w:eastAsia="Arial" w:hAnsi="Arial"/>
          <w:sz w:val="16"/>
          <w:szCs w:val="16"/>
          <w:b w:val="1"/>
          <w:bCs w:val="1"/>
          <w:color w:val="auto"/>
        </w:rPr>
        <w:t xml:space="preserve">David McIntyre </w:t>
      </w:r>
      <w:r>
        <w:rPr>
          <w:rFonts w:ascii="Arial" w:cs="Arial" w:eastAsia="Arial" w:hAnsi="Arial"/>
          <w:sz w:val="16"/>
          <w:szCs w:val="16"/>
          <w:color w:val="auto"/>
        </w:rPr>
        <w:t>was appointed Chief Financial Officer in November 2019. Mr. McIntyre has more than 20 years of executive experience having</w:t>
      </w:r>
      <w:r>
        <w:rPr>
          <w:rFonts w:ascii="Arial" w:cs="Arial" w:eastAsia="Arial" w:hAnsi="Arial"/>
          <w:sz w:val="16"/>
          <w:szCs w:val="16"/>
          <w:b w:val="1"/>
          <w:bCs w:val="1"/>
          <w:color w:val="auto"/>
        </w:rPr>
        <w:t xml:space="preserve"> </w:t>
      </w:r>
      <w:r>
        <w:rPr>
          <w:rFonts w:ascii="Arial" w:cs="Arial" w:eastAsia="Arial" w:hAnsi="Arial"/>
          <w:sz w:val="16"/>
          <w:szCs w:val="16"/>
          <w:color w:val="auto"/>
        </w:rPr>
        <w:t>held senior financial, legal and operational roles across multinational and growth-stage entities. Most recently, Mr. McIntyre served as a Partner with Apple Tree Partners (ATP), a multibillion-dollar venture capture and growth equity fund focused exclusively on life sciences. At ATP,</w:t>
      </w:r>
    </w:p>
    <w:p>
      <w:pPr>
        <w:spacing w:after="0" w:line="2"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Mr. McIntyre was responsible for the medical device portfolio, together with various operating and board functions, including acting as Executive Vice President, Chief Financial Officer and Head of Technical Operations at Braeburn, Inc. Prior to ATP, Mr. McIntyre was Executive Vice President, Chief Financial Officer and Chief Operating Officer at HeartWare</w:t>
      </w:r>
      <w:r>
        <w:rPr>
          <w:rFonts w:ascii="Arial" w:cs="Arial" w:eastAsia="Arial" w:hAnsi="Arial"/>
          <w:sz w:val="14"/>
          <w:szCs w:val="14"/>
          <w:color w:val="auto"/>
        </w:rPr>
        <w:t>®</w:t>
      </w:r>
      <w:r>
        <w:rPr>
          <w:rFonts w:ascii="Arial" w:cs="Arial" w:eastAsia="Arial" w:hAnsi="Arial"/>
          <w:sz w:val="17"/>
          <w:szCs w:val="17"/>
          <w:color w:val="auto"/>
        </w:rPr>
        <w:t xml:space="preserve"> International, Inc. (previously ASX:HIN; NASDAQ: HTWR) where he oversaw HeartWare’s financial, supply chain and operating functions as it transitioned from pre-clinical stage through commercialization across more than 20 countries. Prior to HeartWare, Mr. McIntyre practiced as a senior attorney in private practice specializing in corporate, mergers and acquisitions and equity capital markets with Baker &amp; McKenzie and KPMG as well as holding various senior financial roles in multi-national companies, including within the Rio Tinto Group of companies.</w:t>
      </w:r>
    </w:p>
    <w:p>
      <w:pPr>
        <w:spacing w:after="0" w:line="72" w:lineRule="exact"/>
        <w:rPr>
          <w:sz w:val="20"/>
          <w:szCs w:val="20"/>
          <w:color w:val="auto"/>
        </w:rPr>
      </w:pPr>
    </w:p>
    <w:p>
      <w:pPr>
        <w:jc w:val="both"/>
        <w:ind w:left="560" w:right="80"/>
        <w:spacing w:after="0" w:line="286" w:lineRule="auto"/>
        <w:rPr>
          <w:sz w:val="20"/>
          <w:szCs w:val="20"/>
          <w:color w:val="auto"/>
        </w:rPr>
      </w:pPr>
      <w:r>
        <w:rPr>
          <w:rFonts w:ascii="Arial" w:cs="Arial" w:eastAsia="Arial" w:hAnsi="Arial"/>
          <w:sz w:val="17"/>
          <w:szCs w:val="17"/>
          <w:color w:val="auto"/>
        </w:rPr>
        <w:t>Mr. McIntyre holds a Bachelor of Economics (Accounting) from the University of Sydney (Australia), a Bachelor of Law from the University of Technology, Sydney (Australia) and a Master of Business Administration (Fuqua Scholar) from Duke University. He is also a Certified Practicing Accountant (CPA) and is admitted as a Legal Practitioner of the Supreme Court of New South Wales (in Australia).</w:t>
      </w:r>
    </w:p>
    <w:p>
      <w:pPr>
        <w:spacing w:after="0" w:line="53" w:lineRule="exact"/>
        <w:rPr>
          <w:sz w:val="20"/>
          <w:szCs w:val="20"/>
          <w:color w:val="auto"/>
        </w:rPr>
      </w:pPr>
    </w:p>
    <w:p>
      <w:pPr>
        <w:ind w:left="560"/>
        <w:spacing w:after="0" w:line="256" w:lineRule="auto"/>
        <w:rPr>
          <w:sz w:val="20"/>
          <w:szCs w:val="20"/>
          <w:color w:val="auto"/>
        </w:rPr>
      </w:pPr>
      <w:r>
        <w:rPr>
          <w:rFonts w:ascii="Arial" w:cs="Arial" w:eastAsia="Arial" w:hAnsi="Arial"/>
          <w:sz w:val="18"/>
          <w:szCs w:val="18"/>
          <w:b w:val="1"/>
          <w:bCs w:val="1"/>
          <w:color w:val="auto"/>
        </w:rPr>
        <w:t xml:space="preserve">Erin Liberto </w:t>
      </w:r>
      <w:r>
        <w:rPr>
          <w:rFonts w:ascii="Arial" w:cs="Arial" w:eastAsia="Arial" w:hAnsi="Arial"/>
          <w:sz w:val="18"/>
          <w:szCs w:val="18"/>
          <w:color w:val="auto"/>
        </w:rPr>
        <w:t>has served as Chief Commercial Officer since August 2017. Ms. Liberto has more than 19 years of multifaceted global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United States, Europe, and Asia Pacific. Ms. Liberto holds an International MBA with a concentration in Global Marketing from Thunderbird School of Global Management in Arizona and a Bachelor of Commerce from McMaster University in Canada.</w:t>
      </w:r>
    </w:p>
    <w:p>
      <w:pPr>
        <w:spacing w:after="0" w:line="79" w:lineRule="exact"/>
        <w:rPr>
          <w:sz w:val="20"/>
          <w:szCs w:val="20"/>
          <w:color w:val="auto"/>
        </w:rPr>
      </w:pPr>
    </w:p>
    <w:p>
      <w:pPr>
        <w:ind w:left="560" w:right="120"/>
        <w:spacing w:after="0" w:line="255" w:lineRule="auto"/>
        <w:rPr>
          <w:sz w:val="20"/>
          <w:szCs w:val="20"/>
          <w:color w:val="auto"/>
        </w:rPr>
      </w:pPr>
      <w:r>
        <w:rPr>
          <w:rFonts w:ascii="Arial" w:cs="Arial" w:eastAsia="Arial" w:hAnsi="Arial"/>
          <w:sz w:val="18"/>
          <w:szCs w:val="18"/>
          <w:b w:val="1"/>
          <w:bCs w:val="1"/>
          <w:color w:val="auto"/>
        </w:rPr>
        <w:t xml:space="preserve">Andrew Quick </w:t>
      </w:r>
      <w:r>
        <w:rPr>
          <w:rFonts w:ascii="Arial" w:cs="Arial" w:eastAsia="Arial" w:hAnsi="Arial"/>
          <w:sz w:val="18"/>
          <w:szCs w:val="18"/>
          <w:color w:val="auto"/>
        </w:rPr>
        <w:t>was appointed Chief Technology Officer in April 2019 and previous to that served as Senior Vice President,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beginning July 2010. Mr. Quick has more than 25 years of experience in medical device design, development, clinical research and medical affairs. 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81" w:lineRule="exact"/>
        <w:rPr>
          <w:sz w:val="20"/>
          <w:szCs w:val="20"/>
          <w:color w:val="auto"/>
        </w:rPr>
      </w:pPr>
    </w:p>
    <w:p>
      <w:pPr>
        <w:ind w:left="560" w:right="60"/>
        <w:spacing w:after="0" w:line="255" w:lineRule="auto"/>
        <w:rPr>
          <w:sz w:val="20"/>
          <w:szCs w:val="20"/>
          <w:color w:val="auto"/>
        </w:rPr>
      </w:pPr>
      <w:r>
        <w:rPr>
          <w:rFonts w:ascii="Arial" w:cs="Arial" w:eastAsia="Arial" w:hAnsi="Arial"/>
          <w:sz w:val="18"/>
          <w:szCs w:val="18"/>
          <w:b w:val="1"/>
          <w:bCs w:val="1"/>
          <w:color w:val="auto"/>
        </w:rPr>
        <w:t xml:space="preserve">Donna Shiroma </w:t>
      </w:r>
      <w:r>
        <w:rPr>
          <w:rFonts w:ascii="Arial" w:cs="Arial" w:eastAsia="Arial" w:hAnsi="Arial"/>
          <w:sz w:val="18"/>
          <w:szCs w:val="18"/>
          <w:color w:val="auto"/>
        </w:rPr>
        <w:t>has served as General Counsel since June 2018. Ms. Shiroma has more than 20 years of legal and compliance experience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and medical device industries and has played an instrumental role in transitioning companies from clinical to commercial entities. Prior to joining the Company, she served in roles of increasing responsibility as corporate counsel, general counsel, vice president of legal, chief privacy and compliance officer, and chief commercial officer for Astrex Pharmaceuticals from 2017 to 2018, Ascend Therapeutics from 2008 to 2017, PDL BioPharma from 2006 to 2008, and several Johnson &amp; Johnson companies. Ms. Shiroma holds a B.S. in Environmental Sciences from University of California, Berkley, and a Juris Doctor degree from Santa Clara University School of Law. She is licensed in the State of California as an attorney.</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of Office</w:t>
      </w:r>
    </w:p>
    <w:p>
      <w:pPr>
        <w:spacing w:after="0" w:line="121"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Our directors are elected for a term of one year and until their respective successors are elected and qualified, or until their earlier resignation, disqualification or removal.</w:t>
      </w:r>
    </w:p>
    <w:p>
      <w:pPr>
        <w:spacing w:after="0" w:line="170"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Our executive officers are appointed by our board of directors and hold office for such terms as may be prescribed by our board of directors and until their successors are appointed, or until their earlier resignation or removal.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between our directors or executive officers.</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directors or executive officers has been involved in any of the following events during the past ten years:</w:t>
      </w:r>
    </w:p>
    <w:p>
      <w:pPr>
        <w:spacing w:after="0" w:line="131" w:lineRule="exact"/>
        <w:rPr>
          <w:sz w:val="20"/>
          <w:szCs w:val="20"/>
          <w:color w:val="auto"/>
        </w:rPr>
      </w:pPr>
    </w:p>
    <w:p>
      <w:pPr>
        <w:ind w:left="1540" w:right="360" w:hanging="439"/>
        <w:spacing w:after="0" w:line="342" w:lineRule="auto"/>
        <w:tabs>
          <w:tab w:leader="none" w:pos="1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bankruptcy petition filed by or against any business or property of such person or any partnership or business in which such person was a general partner or executive officer either at the time of the bankruptcy or within two years prior to that time;</w:t>
      </w:r>
    </w:p>
    <w:p>
      <w:pPr>
        <w:spacing w:after="0" w:line="29" w:lineRule="exact"/>
        <w:rPr>
          <w:rFonts w:ascii="Arial" w:cs="Arial" w:eastAsia="Arial" w:hAnsi="Arial"/>
          <w:sz w:val="16"/>
          <w:szCs w:val="16"/>
          <w:color w:val="auto"/>
        </w:rPr>
      </w:pPr>
    </w:p>
    <w:p>
      <w:pPr>
        <w:ind w:left="1540" w:right="80" w:hanging="439"/>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conviction in a criminal proceeding or being a named subject of a pending criminal proceeding (excluding traffic violations and other minor offences);</w:t>
      </w:r>
    </w:p>
    <w:p>
      <w:pPr>
        <w:spacing w:after="0" w:line="75" w:lineRule="exact"/>
        <w:rPr>
          <w:rFonts w:ascii="Arial" w:cs="Arial" w:eastAsia="Arial" w:hAnsi="Arial"/>
          <w:sz w:val="18"/>
          <w:szCs w:val="18"/>
          <w:color w:val="auto"/>
        </w:rPr>
      </w:pPr>
    </w:p>
    <w:p>
      <w:pPr>
        <w:ind w:left="1540" w:right="180" w:hanging="439"/>
        <w:spacing w:after="0" w:line="263"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being the subject of any order, judgment, or decree, not subsequently reversed, suspended or vacated, of any court of competent jurisdiction, permanently or temporarily enjoining, barring, suspending or otherwise limiting his or her involvement in any type of business, securities or banking activities;</w:t>
      </w:r>
    </w:p>
    <w:p>
      <w:pPr>
        <w:spacing w:after="0" w:line="89" w:lineRule="exact"/>
        <w:rPr>
          <w:rFonts w:ascii="Arial" w:cs="Arial" w:eastAsia="Arial" w:hAnsi="Arial"/>
          <w:sz w:val="18"/>
          <w:szCs w:val="18"/>
          <w:color w:val="auto"/>
        </w:rPr>
      </w:pPr>
    </w:p>
    <w:p>
      <w:pPr>
        <w:ind w:left="1540" w:right="40" w:hanging="439"/>
        <w:spacing w:after="0" w:line="342" w:lineRule="auto"/>
        <w:tabs>
          <w:tab w:leader="none" w:pos="1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29" w:lineRule="exact"/>
        <w:rPr>
          <w:rFonts w:ascii="Arial" w:cs="Arial" w:eastAsia="Arial" w:hAnsi="Arial"/>
          <w:sz w:val="16"/>
          <w:szCs w:val="16"/>
          <w:color w:val="auto"/>
        </w:rPr>
      </w:pPr>
    </w:p>
    <w:p>
      <w:pPr>
        <w:ind w:left="1540" w:right="20" w:hanging="439"/>
        <w:spacing w:after="0" w:line="255"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being the subject of,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(iii) any law or regulation prohibiting mail or wire fraud or fraud in connection with any business entity; or</w:t>
      </w:r>
    </w:p>
    <w:p>
      <w:pPr>
        <w:spacing w:after="0" w:line="97" w:lineRule="exact"/>
        <w:rPr>
          <w:rFonts w:ascii="Arial" w:cs="Arial" w:eastAsia="Arial" w:hAnsi="Arial"/>
          <w:sz w:val="18"/>
          <w:szCs w:val="18"/>
          <w:color w:val="auto"/>
        </w:rPr>
      </w:pPr>
    </w:p>
    <w:p>
      <w:pPr>
        <w:ind w:left="1540" w:right="240" w:hanging="439"/>
        <w:spacing w:after="0" w:line="259"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being the subject of, or a party to, any sanction or order, not subsequently reversed, suspended or vacated, of any self-regulatory organization (as defined in Section 3(a)(26) of the Exchange Act), any registered entity (as defined in Section 1(a)(40) of the Commodity Exchange Act), or any equivalent exchange, association, entity or organization that has disciplinary authority over its members or persons associated with a member.</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Gender Diversity</w:t>
      </w:r>
    </w:p>
    <w:p>
      <w:pPr>
        <w:spacing w:after="0" w:line="12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Under the 4</w:t>
      </w:r>
      <w:r>
        <w:rPr>
          <w:rFonts w:ascii="Arial" w:cs="Arial" w:eastAsia="Arial" w:hAnsi="Arial"/>
          <w:sz w:val="15"/>
          <w:szCs w:val="15"/>
          <w:color w:val="auto"/>
        </w:rPr>
        <w:t>th</w:t>
      </w:r>
      <w:r>
        <w:rPr>
          <w:rFonts w:ascii="Arial" w:cs="Arial" w:eastAsia="Arial" w:hAnsi="Arial"/>
          <w:sz w:val="18"/>
          <w:szCs w:val="18"/>
          <w:color w:val="auto"/>
        </w:rPr>
        <w:t xml:space="preserve"> Edition of the ASX’s Corporate Governance Principles and Recommendations the Company is required to set measurable objectives for achieving gender diversity in the composition of its board, senior executives and workforce generally.</w:t>
      </w:r>
    </w:p>
    <w:p>
      <w:pPr>
        <w:spacing w:after="0" w:line="62"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color w:val="auto"/>
        </w:rPr>
        <w:t>As a newly incorporated company, the Company is in the process of developing measurable objectives for achieving gender diversity in the composition of its board, senior executives and workforce generally in accordance with its Code of Ethics and Business Conduct. However, the Company has a target to have at least 30% of its directors of each gender by 2024. The Company will disclose its measurable objectives, the time period for achieving those objectives and the Company’s progress towards achieving those objectives in future reporting periods.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Performance Evaluations</w:t>
      </w:r>
    </w:p>
    <w:p>
      <w:pPr>
        <w:spacing w:after="0" w:line="121" w:lineRule="exact"/>
        <w:rPr>
          <w:sz w:val="20"/>
          <w:szCs w:val="20"/>
          <w:color w:val="auto"/>
        </w:rPr>
      </w:pPr>
    </w:p>
    <w:p>
      <w:pPr>
        <w:ind w:left="560" w:right="780"/>
        <w:spacing w:after="0" w:line="277" w:lineRule="auto"/>
        <w:rPr>
          <w:sz w:val="20"/>
          <w:szCs w:val="20"/>
          <w:color w:val="auto"/>
        </w:rPr>
      </w:pPr>
      <w:r>
        <w:rPr>
          <w:rFonts w:ascii="Arial" w:cs="Arial" w:eastAsia="Arial" w:hAnsi="Arial"/>
          <w:sz w:val="18"/>
          <w:szCs w:val="18"/>
          <w:color w:val="auto"/>
        </w:rPr>
        <w:t>As a newly incorporated entity, the Company has not yet undertaken an evaluation of the performance of the board of directors or of the Company’s senior executive team in respect of the fiscal year ended June 30, 2020.</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We have adopted a Code of Conduct, or the Code, that constitutes a “codes of ethics” as that term is defined in paragraph (b) of Item 406 of Regulation S-K and that applies to our executive officers and persons performing similar functions, including our chief executive officer, chief financial officer, chief accounting officer and controller. A copy of the Code is included as Exhibit 14.1 to this Annual Report and is available on our website at www.avitamedical.com.</w:t>
      </w:r>
    </w:p>
    <w:p>
      <w:pPr>
        <w:spacing w:after="0" w:line="79" w:lineRule="exact"/>
        <w:rPr>
          <w:sz w:val="20"/>
          <w:szCs w:val="20"/>
          <w:color w:val="auto"/>
        </w:rPr>
      </w:pPr>
    </w:p>
    <w:p>
      <w:pPr>
        <w:ind w:left="560"/>
        <w:spacing w:after="0" w:line="311" w:lineRule="auto"/>
        <w:rPr>
          <w:sz w:val="20"/>
          <w:szCs w:val="20"/>
          <w:color w:val="auto"/>
        </w:rPr>
      </w:pPr>
      <w:r>
        <w:rPr>
          <w:rFonts w:ascii="Arial" w:cs="Arial" w:eastAsia="Arial" w:hAnsi="Arial"/>
          <w:sz w:val="16"/>
          <w:szCs w:val="16"/>
          <w:color w:val="auto"/>
        </w:rPr>
        <w:t>If we make any amendment to the Code or grant any waivers, including any implicit waiver, from a provision of the Code, which applies to our chief executive officer, chief financial officer, chief accounting officer and controller, or persons performing similar functions, we will disclose the nature of such amendment or waiver on our website. The information on our website is not incorporated by reference into this Annual Report.</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Our board of directors consists of six members. Directors are elected at our annual general meeting of stockholders, and hold office for a term of one year and until their successors have been elected and qualified or until the earlier of their resignation or removal. Any newly created directorship or any vacancy occurring on our board of directors may be filled only by a majority of the remaining members of our board, even if such majority is less than a quorum, and each director so elected shall hold office until the expiration of the term of office of the director whom he or she has replaced or until his or her successor is elected and qualified.</w:t>
      </w:r>
    </w:p>
    <w:p>
      <w:pPr>
        <w:spacing w:after="0" w:line="80"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Under ASX Listing Rule 14.4, any directors of the Company (except a managing director) must not hold office without re-election past the third annual general meeting following the director’s appointment or three years, whichever is longer.</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560" w:right="40"/>
        <w:spacing w:after="0" w:line="272" w:lineRule="auto"/>
        <w:rPr>
          <w:sz w:val="20"/>
          <w:szCs w:val="20"/>
          <w:color w:val="auto"/>
        </w:rPr>
      </w:pPr>
      <w:r>
        <w:rPr>
          <w:rFonts w:ascii="Arial" w:cs="Arial" w:eastAsia="Arial" w:hAnsi="Arial"/>
          <w:sz w:val="17"/>
          <w:szCs w:val="17"/>
          <w:color w:val="auto"/>
        </w:rPr>
        <w:t>Our board of directors has established an audit committee, a compensation committee and a nominations and corporate governance committee, each of which operates pursuant to a written charter adopted by our board of directors. Our board of directors may also establish other committees from time to time to assist the board of directors. The composition and functioning of all of our committees comply with all applicable requirements of the Sarbanes-Oxley Act, NASDAQ and SEC rules and regulations and the ASX Listing Rules and also align with the ASX Corporate Governance Council’s 4</w:t>
      </w:r>
      <w:r>
        <w:rPr>
          <w:rFonts w:ascii="Arial" w:cs="Arial" w:eastAsia="Arial" w:hAnsi="Arial"/>
          <w:sz w:val="14"/>
          <w:szCs w:val="14"/>
          <w:color w:val="auto"/>
        </w:rPr>
        <w:t>th</w:t>
      </w:r>
      <w:r>
        <w:rPr>
          <w:rFonts w:ascii="Arial" w:cs="Arial" w:eastAsia="Arial" w:hAnsi="Arial"/>
          <w:sz w:val="17"/>
          <w:szCs w:val="17"/>
          <w:color w:val="auto"/>
        </w:rPr>
        <w:t xml:space="preserve"> Edition Corporate Governance Principles and Recommendations. Each committee has a charter, which is available on our website at www.avitamedical.com. As of the date of this report, the composition of our audit, compensation and nominations and corporate governance committees were as follows:</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3240" w:type="dxa"/>
            <w:vAlign w:val="bottom"/>
            <w:vMerge w:val="restart"/>
          </w:tcPr>
          <w:p>
            <w:pPr>
              <w:jc w:val="center"/>
              <w:ind w:left="1933"/>
              <w:spacing w:after="0"/>
              <w:rPr>
                <w:sz w:val="20"/>
                <w:szCs w:val="20"/>
                <w:color w:val="auto"/>
              </w:rPr>
            </w:pPr>
            <w:r>
              <w:rPr>
                <w:rFonts w:ascii="Arial" w:cs="Arial" w:eastAsia="Arial" w:hAnsi="Arial"/>
                <w:sz w:val="14"/>
                <w:szCs w:val="14"/>
                <w:b w:val="1"/>
                <w:bCs w:val="1"/>
                <w:color w:val="auto"/>
                <w:w w:val="93"/>
              </w:rPr>
              <w:t>Independent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Audit</w:t>
            </w:r>
          </w:p>
        </w:tc>
        <w:tc>
          <w:tcPr>
            <w:tcW w:w="960" w:type="dxa"/>
            <w:vAlign w:val="bottom"/>
          </w:tcPr>
          <w:p>
            <w:pPr>
              <w:jc w:val="center"/>
              <w:ind w:left="157"/>
              <w:spacing w:after="0"/>
              <w:rPr>
                <w:sz w:val="20"/>
                <w:szCs w:val="20"/>
                <w:color w:val="auto"/>
              </w:rPr>
            </w:pPr>
            <w:r>
              <w:rPr>
                <w:rFonts w:ascii="Arial" w:cs="Arial" w:eastAsia="Arial" w:hAnsi="Arial"/>
                <w:sz w:val="14"/>
                <w:szCs w:val="14"/>
                <w:b w:val="1"/>
                <w:bCs w:val="1"/>
                <w:color w:val="auto"/>
                <w:w w:val="93"/>
              </w:rPr>
              <w:t>Nomination</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960" w:type="dxa"/>
            <w:vAlign w:val="bottom"/>
          </w:tcPr>
          <w:p>
            <w:pPr>
              <w:jc w:val="center"/>
              <w:ind w:left="157"/>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Lou Panaccio</w:t>
            </w:r>
          </w:p>
        </w:tc>
        <w:tc>
          <w:tcPr>
            <w:tcW w:w="3240" w:type="dxa"/>
            <w:vAlign w:val="bottom"/>
            <w:shd w:val="clear" w:color="auto" w:fill="CCEEFF"/>
          </w:tcPr>
          <w:p>
            <w:pPr>
              <w:jc w:val="center"/>
              <w:ind w:left="1933"/>
              <w:spacing w:after="0"/>
              <w:rPr>
                <w:sz w:val="20"/>
                <w:szCs w:val="20"/>
                <w:color w:val="auto"/>
              </w:rPr>
            </w:pPr>
            <w:r>
              <w:rPr>
                <w:rFonts w:ascii="Arial" w:cs="Arial" w:eastAsia="Arial" w:hAnsi="Arial"/>
                <w:sz w:val="18"/>
                <w:szCs w:val="18"/>
                <w:color w:val="auto"/>
              </w:rPr>
              <w:t>X</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Member</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Jeremy Curnock Cook</w:t>
            </w:r>
          </w:p>
        </w:tc>
        <w:tc>
          <w:tcPr>
            <w:tcW w:w="3240" w:type="dxa"/>
            <w:vAlign w:val="bottom"/>
          </w:tcPr>
          <w:p>
            <w:pPr>
              <w:jc w:val="center"/>
              <w:ind w:left="1933"/>
              <w:spacing w:after="0"/>
              <w:rPr>
                <w:sz w:val="20"/>
                <w:szCs w:val="20"/>
                <w:color w:val="auto"/>
              </w:rPr>
            </w:pPr>
            <w:r>
              <w:rPr>
                <w:rFonts w:ascii="Arial" w:cs="Arial" w:eastAsia="Arial" w:hAnsi="Arial"/>
                <w:sz w:val="18"/>
                <w:szCs w:val="18"/>
                <w:color w:val="auto"/>
              </w:rPr>
              <w:t>X</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1140" w:type="dxa"/>
            <w:vAlign w:val="bottom"/>
          </w:tcPr>
          <w:p>
            <w:pPr>
              <w:spacing w:after="0"/>
              <w:rPr>
                <w:sz w:val="18"/>
                <w:szCs w:val="18"/>
                <w:color w:val="auto"/>
              </w:rPr>
            </w:pPr>
          </w:p>
        </w:tc>
        <w:tc>
          <w:tcPr>
            <w:tcW w:w="960" w:type="dxa"/>
            <w:vAlign w:val="bottom"/>
          </w:tcPr>
          <w:p>
            <w:pPr>
              <w:jc w:val="center"/>
              <w:ind w:left="157"/>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Louis Drapeau</w:t>
            </w:r>
          </w:p>
        </w:tc>
        <w:tc>
          <w:tcPr>
            <w:tcW w:w="3240" w:type="dxa"/>
            <w:vAlign w:val="bottom"/>
            <w:shd w:val="clear" w:color="auto" w:fill="CCEEFF"/>
          </w:tcPr>
          <w:p>
            <w:pPr>
              <w:jc w:val="center"/>
              <w:ind w:left="1933"/>
              <w:spacing w:after="0"/>
              <w:rPr>
                <w:sz w:val="20"/>
                <w:szCs w:val="20"/>
                <w:color w:val="auto"/>
              </w:rPr>
            </w:pPr>
            <w:r>
              <w:rPr>
                <w:rFonts w:ascii="Arial" w:cs="Arial" w:eastAsia="Arial" w:hAnsi="Arial"/>
                <w:sz w:val="18"/>
                <w:szCs w:val="18"/>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Member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960" w:type="dxa"/>
            <w:vAlign w:val="bottom"/>
            <w:shd w:val="clear" w:color="auto" w:fill="CCEEFF"/>
          </w:tcPr>
          <w:p>
            <w:pPr>
              <w:jc w:val="center"/>
              <w:ind w:left="157"/>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Damien McDonald</w:t>
            </w:r>
          </w:p>
        </w:tc>
        <w:tc>
          <w:tcPr>
            <w:tcW w:w="3240" w:type="dxa"/>
            <w:vAlign w:val="bottom"/>
          </w:tcPr>
          <w:p>
            <w:pPr>
              <w:jc w:val="center"/>
              <w:ind w:left="1933"/>
              <w:spacing w:after="0"/>
              <w:rPr>
                <w:sz w:val="20"/>
                <w:szCs w:val="20"/>
                <w:color w:val="auto"/>
              </w:rPr>
            </w:pPr>
            <w:r>
              <w:rPr>
                <w:rFonts w:ascii="Arial" w:cs="Arial" w:eastAsia="Arial" w:hAnsi="Arial"/>
                <w:sz w:val="18"/>
                <w:szCs w:val="18"/>
                <w:color w:val="auto"/>
              </w:rPr>
              <w:t>X</w:t>
            </w:r>
          </w:p>
        </w:tc>
        <w:tc>
          <w:tcPr>
            <w:tcW w:w="1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Professor Suzanne Crowe</w:t>
            </w:r>
          </w:p>
        </w:tc>
        <w:tc>
          <w:tcPr>
            <w:tcW w:w="3240" w:type="dxa"/>
            <w:vAlign w:val="bottom"/>
            <w:shd w:val="clear" w:color="auto" w:fill="CCEEFF"/>
          </w:tcPr>
          <w:p>
            <w:pPr>
              <w:jc w:val="center"/>
              <w:ind w:left="1933"/>
              <w:spacing w:after="0"/>
              <w:rPr>
                <w:sz w:val="20"/>
                <w:szCs w:val="20"/>
                <w:color w:val="auto"/>
              </w:rPr>
            </w:pPr>
            <w:r>
              <w:rPr>
                <w:rFonts w:ascii="Arial" w:cs="Arial" w:eastAsia="Arial" w:hAnsi="Arial"/>
                <w:sz w:val="18"/>
                <w:szCs w:val="18"/>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57"/>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3240" w:type="dxa"/>
            <w:vAlign w:val="bottom"/>
          </w:tcPr>
          <w:p>
            <w:pPr>
              <w:jc w:val="right"/>
              <w:ind w:right="1413"/>
              <w:spacing w:after="0"/>
              <w:rPr>
                <w:sz w:val="20"/>
                <w:szCs w:val="20"/>
                <w:color w:val="auto"/>
              </w:rPr>
            </w:pPr>
            <w:r>
              <w:rPr>
                <w:rFonts w:ascii="Arial" w:cs="Arial" w:eastAsia="Arial" w:hAnsi="Arial"/>
                <w:sz w:val="18"/>
                <w:szCs w:val="18"/>
                <w:color w:val="auto"/>
              </w:rPr>
              <w:t>55</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color w:val="auto"/>
        </w:rPr>
        <w:t>During the fiscal year ended June 30, 2020, the Board of Directors met a total of twelve times (July 29, 2019, September 10, 2019, October 30, 2019, November 4, 2019, February 13, 2020, March 9, 2020, April 8, 2020, April 16, 2020, April 19, 2020, May 4, 2020, May 29, 2020, and June 22, 2020) and had full attendance of each Board of Directors member (six Board of Directors members) at nine of those meetings, as well as attendance by at least four Board of Directors members at all twelve meetings.</w:t>
      </w:r>
    </w:p>
    <w:p>
      <w:pPr>
        <w:spacing w:after="0" w:line="75" w:lineRule="exact"/>
        <w:rPr>
          <w:sz w:val="20"/>
          <w:szCs w:val="20"/>
          <w:color w:val="auto"/>
        </w:rPr>
      </w:pPr>
    </w:p>
    <w:p>
      <w:pPr>
        <w:ind w:left="560" w:right="20"/>
        <w:spacing w:after="0" w:line="256"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NASDAQ Marketplace Rules require us to establish an audit committee comprised of at least three members, each of whom is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financially literate and satisfies the respective “independence” requirements of the SEC and NASDAQ and one of whom has accounting or related financial management expertise at senior levels within a company. In addition, the ASX Listing Rules and the 4</w:t>
      </w:r>
      <w:r>
        <w:rPr>
          <w:rFonts w:ascii="Arial" w:cs="Arial" w:eastAsia="Arial" w:hAnsi="Arial"/>
          <w:sz w:val="15"/>
          <w:szCs w:val="15"/>
          <w:color w:val="auto"/>
        </w:rPr>
        <w:t>th</w:t>
      </w:r>
      <w:r>
        <w:rPr>
          <w:rFonts w:ascii="Arial" w:cs="Arial" w:eastAsia="Arial" w:hAnsi="Arial"/>
          <w:sz w:val="18"/>
          <w:szCs w:val="18"/>
          <w:color w:val="auto"/>
        </w:rPr>
        <w:t xml:space="preserve"> Edition of the ASX’s Corporate Governance Principles and Recommendations require us to have an audit committee comprised of at least three members, all of whom are non-executive directors and a majority of whom are “independent” directors and which is chaired by an independent director who is not the chair of the board.</w:t>
      </w:r>
    </w:p>
    <w:p>
      <w:pPr>
        <w:spacing w:after="0" w:line="83"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We have a separately-designated standing Audit Committee established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registered public accounting firm, and such other duties as may be directed by our board of directors. The Audit Committee is also required to assess risk management in conjunction with the board.</w:t>
      </w:r>
    </w:p>
    <w:p>
      <w:pPr>
        <w:spacing w:after="0" w:line="68" w:lineRule="exact"/>
        <w:rPr>
          <w:sz w:val="20"/>
          <w:szCs w:val="20"/>
          <w:color w:val="auto"/>
        </w:rPr>
      </w:pPr>
    </w:p>
    <w:p>
      <w:pPr>
        <w:ind w:left="560" w:right="40"/>
        <w:spacing w:after="0" w:line="289" w:lineRule="auto"/>
        <w:rPr>
          <w:sz w:val="20"/>
          <w:szCs w:val="20"/>
          <w:color w:val="auto"/>
        </w:rPr>
      </w:pPr>
      <w:r>
        <w:rPr>
          <w:rFonts w:ascii="Arial" w:cs="Arial" w:eastAsia="Arial" w:hAnsi="Arial"/>
          <w:sz w:val="16"/>
          <w:szCs w:val="16"/>
          <w:color w:val="auto"/>
        </w:rPr>
        <w:t>Our Audit Committee currently consists of three board members, each of whom satisfies the “independence” requirements of the SEC, NASDAQ Marketplace Rules, the ASX Listing Rules and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Our Audit Committee is currently composed of Louis Drapeau, Lou Panaccio and Damien McDonald. Each qualifies as an “independent director” within the meaning of NASDAQ Marketplace Rules and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Mr. Drapeau is the chairman of the audit committee (being an independent director who is not the chair of the board). The audit committee meets at least two times per year. During the fiscal year ended June 30, 2020, the audit committee met a total of four times (August 21, 2019, September 18, 2019, September 26, 2019, and February 12, 2020) and had full attendance at two of the meetings (three audit committee members) and two of the meetings had two audit committee members attending as well as all four meetings had the Chief Executive Officer in attendance. Our board of directors has determined that Louis Drapeau is an “audit committee financial expert,” as defined in item 407(d)(5)(ii) of Regulations S-K.</w:t>
      </w:r>
    </w:p>
    <w:p>
      <w:pPr>
        <w:spacing w:after="0" w:line="54" w:lineRule="exact"/>
        <w:rPr>
          <w:sz w:val="20"/>
          <w:szCs w:val="20"/>
          <w:color w:val="auto"/>
        </w:rPr>
      </w:pPr>
    </w:p>
    <w:p>
      <w:pPr>
        <w:ind w:left="560" w:right="40"/>
        <w:spacing w:after="0" w:line="283" w:lineRule="auto"/>
        <w:rPr>
          <w:sz w:val="20"/>
          <w:szCs w:val="20"/>
          <w:color w:val="auto"/>
        </w:rPr>
      </w:pPr>
      <w:r>
        <w:rPr>
          <w:rFonts w:ascii="Arial" w:cs="Arial" w:eastAsia="Arial" w:hAnsi="Arial"/>
          <w:sz w:val="16"/>
          <w:szCs w:val="16"/>
          <w:b w:val="1"/>
          <w:bCs w:val="1"/>
          <w:color w:val="auto"/>
        </w:rPr>
        <w:t xml:space="preserve">Compensation Committee. </w:t>
      </w:r>
      <w:r>
        <w:rPr>
          <w:rFonts w:ascii="Arial" w:cs="Arial" w:eastAsia="Arial" w:hAnsi="Arial"/>
          <w:sz w:val="16"/>
          <w:szCs w:val="16"/>
          <w:color w:val="auto"/>
        </w:rPr>
        <w:t>Our board of directors has established a Compensation Committee, which is comprised of independent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meaning of NASDAQ Marketplace Rules and also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The Compensation Committee must be comprised solely of non-executive directors in accordance with the ASX Listing Rules and must also be chaired by an independent director in accordance with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The Compensation Committee is responsible for reviewing the salary, incentives and other benefits of our directors, senior executive officers and employees, and to make recommendations on such matters for approval by our board of directors. The Compensation Committee is also responsible for overseeing and advising our board of directors with regard to the adoption of policies that govern our compensation programs. Suzanne Crowe, Louis Drapeau, and Jeremy Cook are the current members of the Compensation Committee and each qualifies as an “independent director” within the meaning of NASDAQ Marketplace Rules and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Professor Crowe is the chairman of this committee (being an independent director who is not the chair of the board). During the fiscal year ended June 30, 2020, the Compensation Committee met a total of seven times (July 29, 2019,</w:t>
      </w:r>
    </w:p>
    <w:p>
      <w:pPr>
        <w:spacing w:after="0" w:line="8"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August 29, 2019, September 9, 2019, October 10, 2019, October 14, 2019, February 12, 2020, and March 11, 2020) and had full attendance of each Compensation Committee member (three Compensation Committee members) at five of those meetings, as well as attendance by at least two Compensation Committee members at all seven meetings.</w:t>
      </w:r>
    </w:p>
    <w:p>
      <w:pPr>
        <w:spacing w:after="0" w:line="78" w:lineRule="exact"/>
        <w:rPr>
          <w:sz w:val="20"/>
          <w:szCs w:val="20"/>
          <w:color w:val="auto"/>
        </w:rPr>
      </w:pPr>
    </w:p>
    <w:p>
      <w:pPr>
        <w:ind w:left="560" w:right="220"/>
        <w:spacing w:after="0" w:line="303" w:lineRule="auto"/>
        <w:rPr>
          <w:sz w:val="20"/>
          <w:szCs w:val="20"/>
          <w:color w:val="auto"/>
        </w:rPr>
      </w:pPr>
      <w:r>
        <w:rPr>
          <w:rFonts w:ascii="Arial" w:cs="Arial" w:eastAsia="Arial" w:hAnsi="Arial"/>
          <w:sz w:val="16"/>
          <w:szCs w:val="16"/>
          <w:b w:val="1"/>
          <w:bCs w:val="1"/>
          <w:color w:val="auto"/>
        </w:rPr>
        <w:t xml:space="preserve">Nomination and Corporate Governance Committee. </w:t>
      </w:r>
      <w:r>
        <w:rPr>
          <w:rFonts w:ascii="Arial" w:cs="Arial" w:eastAsia="Arial" w:hAnsi="Arial"/>
          <w:sz w:val="16"/>
          <w:szCs w:val="16"/>
          <w:color w:val="auto"/>
        </w:rPr>
        <w:t>Our board of directors has established a Nomination and Corporate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Under the 4</w:t>
      </w:r>
      <w:r>
        <w:rPr>
          <w:rFonts w:ascii="Arial" w:cs="Arial" w:eastAsia="Arial" w:hAnsi="Arial"/>
          <w:sz w:val="13"/>
          <w:szCs w:val="13"/>
          <w:color w:val="auto"/>
        </w:rPr>
        <w:t>th</w:t>
      </w:r>
      <w:r>
        <w:rPr>
          <w:rFonts w:ascii="Arial" w:cs="Arial" w:eastAsia="Arial" w:hAnsi="Arial"/>
          <w:sz w:val="16"/>
          <w:szCs w:val="16"/>
          <w:color w:val="auto"/>
        </w:rPr>
        <w:t xml:space="preserve"> Edition of the ASX’s Corporate Governance Principles and Recommendations, our Nomination and Corporate Governance Committee should have at least three members, a majority of whom are independent director and should also be chaired by an independent director. Suzanne Crowe, Louis Drapeau, and Jeremy Cook are the current members of the Nomination and Corporate Governance</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Committee and each qualifies as an “independent director” within the meaning of NASDAQ Marketplace Rules and the 4</w:t>
      </w:r>
      <w:r>
        <w:rPr>
          <w:rFonts w:ascii="Arial" w:cs="Arial" w:eastAsia="Arial" w:hAnsi="Arial"/>
          <w:sz w:val="14"/>
          <w:szCs w:val="14"/>
          <w:color w:val="auto"/>
        </w:rPr>
        <w:t>th</w:t>
      </w:r>
      <w:r>
        <w:rPr>
          <w:rFonts w:ascii="Arial" w:cs="Arial" w:eastAsia="Arial" w:hAnsi="Arial"/>
          <w:sz w:val="17"/>
          <w:szCs w:val="17"/>
          <w:color w:val="auto"/>
        </w:rPr>
        <w:t xml:space="preserve"> Edition of the ASX’s Corporate Governance Principles and Recommendations. Professor Crowe is the chairman of this committee (being an independent director). The Nomination and Corporate Governance Committee is responsible for identifying individuals qualified to become members of our board of directors, recommending to our board of directors nominees for election at meetings of our stockholders or to fill vacancies that arise on our board of directors, and recommending to our board of directors qualified and experienced directors to serve on the committees of our board of directors. In addition, the Nomination and Corporate Governance Committee is responsible for leading the board of directors to complete a self-evaluation of the board, its committees, and the individual directors. During the fiscal year ended June 30, 2020, the Nomination and Corporate Governance Committee met one time on February 12, 2020 and had full attendance of each Nomination and Corporate Governance Committee member (three Nomination and Corporate Governance Committee members) at that meeting.</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The particulars of the compensation paid to our “named executive officers” of our company are set out in the summary compensation below. For the fiscal year ended June 30, 2020, our “named executive officers” and their positions were as follows:</w:t>
      </w:r>
    </w:p>
    <w:p>
      <w:pPr>
        <w:spacing w:after="0" w:line="76" w:lineRule="exact"/>
        <w:rPr>
          <w:sz w:val="20"/>
          <w:szCs w:val="20"/>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Michael Perry, </w:t>
      </w:r>
      <w:r>
        <w:rPr>
          <w:rFonts w:ascii="Arial" w:cs="Arial" w:eastAsia="Arial" w:hAnsi="Arial"/>
          <w:sz w:val="18"/>
          <w:szCs w:val="18"/>
          <w:i w:val="1"/>
          <w:iCs w:val="1"/>
          <w:color w:val="auto"/>
        </w:rPr>
        <w:t>Chief Executive Officer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David McIntyre, </w:t>
      </w:r>
      <w:r>
        <w:rPr>
          <w:rFonts w:ascii="Arial" w:cs="Arial" w:eastAsia="Arial" w:hAnsi="Arial"/>
          <w:sz w:val="18"/>
          <w:szCs w:val="18"/>
          <w:i w:val="1"/>
          <w:iCs w:val="1"/>
          <w:color w:val="auto"/>
        </w:rPr>
        <w:t>Chief Financial Officer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Andrew Quick, </w:t>
      </w:r>
      <w:r>
        <w:rPr>
          <w:rFonts w:ascii="Arial" w:cs="Arial" w:eastAsia="Arial" w:hAnsi="Arial"/>
          <w:sz w:val="18"/>
          <w:szCs w:val="18"/>
          <w:i w:val="1"/>
          <w:iCs w:val="1"/>
          <w:color w:val="auto"/>
        </w:rPr>
        <w:t>Chief Technology Officer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Erin Liberto, </w:t>
      </w:r>
      <w:r>
        <w:rPr>
          <w:rFonts w:ascii="Arial" w:cs="Arial" w:eastAsia="Arial" w:hAnsi="Arial"/>
          <w:sz w:val="18"/>
          <w:szCs w:val="18"/>
          <w:i w:val="1"/>
          <w:iCs w:val="1"/>
          <w:color w:val="auto"/>
        </w:rPr>
        <w:t>Chief Commercial Officer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Donna Shiroma, </w:t>
      </w:r>
      <w:r>
        <w:rPr>
          <w:rFonts w:ascii="Arial" w:cs="Arial" w:eastAsia="Arial" w:hAnsi="Arial"/>
          <w:sz w:val="18"/>
          <w:szCs w:val="18"/>
          <w:i w:val="1"/>
          <w:iCs w:val="1"/>
          <w:color w:val="auto"/>
        </w:rPr>
        <w:t>General Counsel</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Tim Rooney, </w:t>
      </w:r>
      <w:r>
        <w:rPr>
          <w:rFonts w:ascii="Arial" w:cs="Arial" w:eastAsia="Arial" w:hAnsi="Arial"/>
          <w:sz w:val="18"/>
          <w:szCs w:val="18"/>
          <w:i w:val="1"/>
          <w:iCs w:val="1"/>
          <w:color w:val="auto"/>
        </w:rPr>
        <w:t>Former Chief Administrative Officer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Name and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Incentive Plan</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Compensation</w:t>
            </w: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Salary (1)</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Bonus (2)</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Awards (3)</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Awards (4)</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Earnings</w:t>
            </w: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Compensation (6)</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48"/>
        </w:trPr>
        <w:tc>
          <w:tcPr>
            <w:tcW w:w="500" w:type="dxa"/>
            <w:vAlign w:val="bottom"/>
            <w:tcBorders>
              <w:top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640" w:type="dxa"/>
            <w:vAlign w:val="bottom"/>
            <w:tcBorders>
              <w:top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right"/>
              <w:ind w:right="25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860" w:type="dxa"/>
            <w:vAlign w:val="bottom"/>
            <w:tcBorders>
              <w:top w:val="single" w:sz="8" w:color="auto"/>
            </w:tcBorders>
          </w:tcPr>
          <w:p>
            <w:pPr>
              <w:jc w:val="right"/>
              <w:ind w:right="272"/>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Perry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475,000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415,625</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15,424,774</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991,473(9)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17,306,872</w:t>
            </w: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475,000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365,750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594,425</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50,746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1,485,921</w:t>
            </w:r>
          </w:p>
        </w:tc>
      </w:tr>
      <w:tr>
        <w:trPr>
          <w:trHeight w:val="216"/>
        </w:trPr>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514,584(5)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252,146</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2,236,469</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14,538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3,017,737</w:t>
            </w:r>
          </w:p>
        </w:tc>
      </w:tr>
      <w:tr>
        <w:trPr>
          <w:trHeight w:val="202"/>
        </w:trPr>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David McIntyre</w:t>
            </w:r>
          </w:p>
        </w:tc>
        <w:tc>
          <w:tcPr>
            <w:tcW w:w="120" w:type="dxa"/>
            <w:vAlign w:val="bottom"/>
          </w:tcPr>
          <w:p>
            <w:pPr>
              <w:spacing w:after="0"/>
              <w:rPr>
                <w:sz w:val="17"/>
                <w:szCs w:val="17"/>
                <w:color w:val="auto"/>
              </w:rPr>
            </w:pP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w w:val="98"/>
              </w:rPr>
              <w:t>242,079</w:t>
            </w:r>
          </w:p>
        </w:tc>
        <w:tc>
          <w:tcPr>
            <w:tcW w:w="8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25,062</w:t>
            </w:r>
          </w:p>
        </w:tc>
        <w:tc>
          <w:tcPr>
            <w:tcW w:w="10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1,804,073</w:t>
            </w:r>
          </w:p>
        </w:tc>
        <w:tc>
          <w:tcPr>
            <w:tcW w:w="9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4"/>
              </w:rPr>
              <w:t>3,702,477</w:t>
            </w:r>
          </w:p>
        </w:tc>
        <w:tc>
          <w:tcPr>
            <w:tcW w:w="104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59,659(10)</w:t>
            </w: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5,833,349</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Erin Liberto,</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310,539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114,548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50,452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475,540</w:t>
            </w: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Commercial Officer</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285,000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350,162</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46,030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786,192</w:t>
            </w:r>
          </w:p>
        </w:tc>
      </w:tr>
      <w:tr>
        <w:trPr>
          <w:trHeight w:val="216"/>
        </w:trPr>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241,884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178,500</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222,995</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30,704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674,083</w:t>
            </w:r>
          </w:p>
        </w:tc>
      </w:tr>
      <w:tr>
        <w:trPr>
          <w:trHeight w:val="202"/>
        </w:trPr>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Andrew Quick</w:t>
            </w:r>
          </w:p>
        </w:tc>
        <w:tc>
          <w:tcPr>
            <w:tcW w:w="120" w:type="dxa"/>
            <w:vAlign w:val="bottom"/>
          </w:tcPr>
          <w:p>
            <w:pPr>
              <w:spacing w:after="0"/>
              <w:rPr>
                <w:sz w:val="17"/>
                <w:szCs w:val="17"/>
                <w:color w:val="auto"/>
              </w:rPr>
            </w:pP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w w:val="98"/>
              </w:rPr>
              <w:t>314,717</w:t>
            </w:r>
          </w:p>
        </w:tc>
        <w:tc>
          <w:tcPr>
            <w:tcW w:w="8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97,231</w:t>
            </w:r>
          </w:p>
        </w:tc>
        <w:tc>
          <w:tcPr>
            <w:tcW w:w="10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42,319</w:t>
            </w: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454,267</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Chief Technology Officer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288,750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85,000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691,617</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43,194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1,108,560</w:t>
            </w:r>
          </w:p>
        </w:tc>
      </w:tr>
      <w:tr>
        <w:trPr>
          <w:trHeight w:val="230"/>
        </w:trPr>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265,000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53,000</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40,701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358,701</w:t>
            </w: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Donna Shiroma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313,064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103,022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60,136</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36,090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512,312</w:t>
            </w: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General Counsel</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300,000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570,754</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28,981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982,734</w:t>
            </w:r>
          </w:p>
        </w:tc>
      </w:tr>
      <w:tr>
        <w:trPr>
          <w:trHeight w:val="216"/>
        </w:trPr>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5,769</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5,925</w:t>
            </w:r>
          </w:p>
        </w:tc>
      </w:tr>
      <w:tr>
        <w:trPr>
          <w:trHeight w:val="202"/>
        </w:trPr>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Timothy Rooney, former</w:t>
            </w:r>
          </w:p>
        </w:tc>
        <w:tc>
          <w:tcPr>
            <w:tcW w:w="120" w:type="dxa"/>
            <w:vAlign w:val="bottom"/>
          </w:tcPr>
          <w:p>
            <w:pPr>
              <w:spacing w:after="0"/>
              <w:rPr>
                <w:sz w:val="17"/>
                <w:szCs w:val="17"/>
                <w:color w:val="auto"/>
              </w:rPr>
            </w:pP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w w:val="98"/>
              </w:rPr>
              <w:t>315,716</w:t>
            </w:r>
          </w:p>
        </w:tc>
        <w:tc>
          <w:tcPr>
            <w:tcW w:w="8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5"/>
              </w:rPr>
              <w:t>143,280</w:t>
            </w:r>
          </w:p>
        </w:tc>
        <w:tc>
          <w:tcPr>
            <w:tcW w:w="10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100,226</w:t>
            </w:r>
          </w:p>
        </w:tc>
        <w:tc>
          <w:tcPr>
            <w:tcW w:w="9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24,319</w:t>
            </w: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583,542</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i w:val="1"/>
                <w:iCs w:val="1"/>
                <w:color w:val="auto"/>
                <w:w w:val="97"/>
              </w:rPr>
              <w:t>Chief Administrative Officer</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40" w:type="dxa"/>
            <w:vAlign w:val="bottom"/>
            <w:gridSpan w:val="2"/>
          </w:tcPr>
          <w:p>
            <w:pPr>
              <w:ind w:left="180"/>
              <w:spacing w:after="0"/>
              <w:rPr>
                <w:sz w:val="20"/>
                <w:szCs w:val="20"/>
                <w:color w:val="auto"/>
              </w:rPr>
            </w:pPr>
            <w:r>
              <w:rPr>
                <w:rFonts w:ascii="Arial" w:cs="Arial" w:eastAsia="Arial" w:hAnsi="Arial"/>
                <w:sz w:val="18"/>
                <w:szCs w:val="18"/>
                <w:i w:val="1"/>
                <w:iCs w:val="1"/>
                <w:color w:val="auto"/>
              </w:rPr>
              <w:t>and Former Chief</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40" w:type="dxa"/>
            <w:vAlign w:val="bottom"/>
            <w:gridSpan w:val="2"/>
          </w:tcPr>
          <w:p>
            <w:pPr>
              <w:ind w:left="180"/>
              <w:spacing w:after="0"/>
              <w:rPr>
                <w:sz w:val="20"/>
                <w:szCs w:val="20"/>
                <w:color w:val="auto"/>
              </w:rPr>
            </w:pPr>
            <w:r>
              <w:rPr>
                <w:rFonts w:ascii="Arial" w:cs="Arial" w:eastAsia="Arial" w:hAnsi="Arial"/>
                <w:sz w:val="18"/>
                <w:szCs w:val="18"/>
                <w:i w:val="1"/>
                <w:iCs w:val="1"/>
                <w:color w:val="auto"/>
              </w:rPr>
              <w:t>Financial Officer (7)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316,000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105,000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229,459</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28,390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678,848</w:t>
            </w:r>
          </w:p>
        </w:tc>
      </w:tr>
      <w:tr>
        <w:trPr>
          <w:trHeight w:val="230"/>
        </w:trPr>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316,000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75,840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34,433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426,273</w:t>
            </w: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Sander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02"/>
        </w:trPr>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Former Chief Financial</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1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Officer (8)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273,239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175,500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350,162</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227,231(11)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1,026,131</w:t>
            </w:r>
          </w:p>
        </w:tc>
      </w:tr>
      <w:tr>
        <w:trPr>
          <w:trHeight w:val="216"/>
        </w:trPr>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182,740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215,722</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20,837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469,299</w:t>
            </w:r>
          </w:p>
        </w:tc>
      </w:tr>
    </w:tbl>
    <w:p>
      <w:pPr>
        <w:spacing w:after="0" w:line="229" w:lineRule="exact"/>
        <w:rPr>
          <w:sz w:val="20"/>
          <w:szCs w:val="20"/>
          <w:color w:val="auto"/>
        </w:rPr>
      </w:pPr>
    </w:p>
    <w:p>
      <w:pPr>
        <w:ind w:left="540" w:right="380" w:hanging="424"/>
        <w:spacing w:after="0" w:line="25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 this column represent dollar value of base salary (cash and non-cash) earned by the named executive officer during the fiscal year covered.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in this column represent dollar value of bonus (cash and non-cash) earned by the named executive officer during the fiscal year covered.</w:t>
      </w:r>
    </w:p>
    <w:p>
      <w:pPr>
        <w:spacing w:after="0" w:line="32" w:lineRule="exact"/>
        <w:rPr>
          <w:rFonts w:ascii="Arial" w:cs="Arial" w:eastAsia="Arial" w:hAnsi="Arial"/>
          <w:sz w:val="16"/>
          <w:szCs w:val="16"/>
          <w:color w:val="auto"/>
        </w:rPr>
      </w:pPr>
    </w:p>
    <w:p>
      <w:pPr>
        <w:ind w:left="540" w:right="20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 this column represent awards of stock with the aggregate grant date fair value computed in accordance with FASB ASC Topic 718. The fair value determined at the date of grant in accordance with U.S. GAAP based on the closing price of our common stock on the applicable grant date. See Note 13- Share-Based Payment Plans to our Consolidated Financial Statements included in Part II, Item 8. “Financial Statements and Supplementary Data” of this Annual Report for additional detail for the assumptions used in determining the grant date fair value of stock awards. The vesting of these stock award are subject to various performance or related criteria, including continuation of employment over the relevant vesting period.</w:t>
      </w:r>
    </w:p>
    <w:p>
      <w:pPr>
        <w:spacing w:after="0" w:line="2"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in this column represent awards of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our Consolidated Financial Statements included in Part II, Item 8. “Financial Statements and Supplementary Data” for the assumptions used in determining the grant date fair value of option awards. The vesting of these option award are subject to various performance or related criteria, including continuation of employment over the relevant vesting period.</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retroactive pay from the prior year of $39,584.</w:t>
      </w:r>
    </w:p>
    <w:p>
      <w:pPr>
        <w:spacing w:after="0" w:line="9" w:lineRule="exact"/>
        <w:rPr>
          <w:rFonts w:ascii="Arial" w:cs="Arial" w:eastAsia="Arial" w:hAnsi="Arial"/>
          <w:sz w:val="18"/>
          <w:szCs w:val="18"/>
          <w:color w:val="auto"/>
        </w:rPr>
      </w:pPr>
    </w:p>
    <w:p>
      <w:pPr>
        <w:ind w:left="540" w:right="140" w:hanging="424"/>
        <w:spacing w:after="0" w:line="281"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in this column represent all other compensation for the covered fiscal year that the smaller reporting company could not properly report in any other column of the Summary Compensation Table. This includes the 401-k Match, superannuation (pension) and health care benefits.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Rooney’s employment with the Company ended on July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Sander resigned as Chief Financial Officer as of May 15, 2019.</w:t>
      </w:r>
    </w:p>
    <w:p>
      <w:pPr>
        <w:spacing w:after="0" w:line="9" w:lineRule="exact"/>
        <w:rPr>
          <w:rFonts w:ascii="Arial" w:cs="Arial" w:eastAsia="Arial" w:hAnsi="Arial"/>
          <w:sz w:val="18"/>
          <w:szCs w:val="18"/>
          <w:color w:val="auto"/>
        </w:rPr>
      </w:pPr>
    </w:p>
    <w:p>
      <w:pPr>
        <w:ind w:left="540" w:right="160" w:hanging="424"/>
        <w:spacing w:after="0" w:line="25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Comprises (a) $204,682 in relation to the travel, flight and accomodoation costs associated with the executive commuting from his home on Colorado to our offices in Valencia, California (including an amount necessary to gross up these cost for income tax purposes under U.S. federal, California and Colorado State laws); (b) $723,620 associated with profession legal, financial and tax</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40"/>
        <w:spacing w:after="0" w:line="286" w:lineRule="auto"/>
        <w:rPr>
          <w:sz w:val="20"/>
          <w:szCs w:val="20"/>
          <w:color w:val="auto"/>
        </w:rPr>
      </w:pPr>
      <w:r>
        <w:rPr>
          <w:rFonts w:ascii="Arial" w:cs="Arial" w:eastAsia="Arial" w:hAnsi="Arial"/>
          <w:sz w:val="16"/>
          <w:szCs w:val="16"/>
          <w:color w:val="auto"/>
        </w:rPr>
        <w:t>advice associated with the conclusion of various employment, financial and income tax issues in connection with the executive’s revised employment arrangement (including an amount necessary to gross up these cost for income tax purposes under U.S. federal, California and Colorado State laws); and (c) $50,419 associated with medical benefits (including an amount necessary to gross up these cost for income tax purposes under U.S. federal, California and Colorado State laws), and (d) $12,752 associated with 401-k matching contributions.</w:t>
      </w:r>
    </w:p>
    <w:p>
      <w:pPr>
        <w:spacing w:after="0" w:line="1" w:lineRule="exact"/>
        <w:rPr>
          <w:sz w:val="20"/>
          <w:szCs w:val="20"/>
          <w:color w:val="auto"/>
        </w:rPr>
      </w:pPr>
    </w:p>
    <w:p>
      <w:pPr>
        <w:ind w:left="540" w:hanging="424"/>
        <w:spacing w:after="0" w:line="281"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Comprises (a) $35,945 in relation to the travel, flight and accomodation costs associated with the executive commuting from his home in New Jersey to our offices in Valencia, California (including an amount necessary to gross up these costs for income tax purposes under relevant U.S. federal, California and New Jersey income tax laws); $16,712 associated with health care benefits pursuant to the Company’s health care plan; and</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(b) $9,001 associated with 401-k matching contributions.</w:t>
      </w:r>
    </w:p>
    <w:p>
      <w:pPr>
        <w:spacing w:after="0" w:line="9" w:lineRule="exact"/>
        <w:rPr>
          <w:rFonts w:ascii="Arial" w:cs="Arial" w:eastAsia="Arial" w:hAnsi="Arial"/>
          <w:sz w:val="16"/>
          <w:szCs w:val="16"/>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severance payments of $187,788, and health care benefits of $39,443 pursuant to the Company’s health care plan.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Contracts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outlines the specified terms of the relevant employment contracts for the Key Management Personnel of the Company:</w:t>
      </w:r>
    </w:p>
    <w:p>
      <w:pPr>
        <w:sectPr>
          <w:pgSz w:w="11900" w:h="16838" w:orient="portrait"/>
          <w:cols w:equalWidth="0" w:num="1">
            <w:col w:w="11120"/>
          </w:cols>
          <w:pgMar w:left="320" w:top="459" w:right="459" w:bottom="1440" w:gutter="0" w:footer="0" w:header="0"/>
        </w:sectPr>
      </w:pP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Role</w:t>
            </w:r>
          </w:p>
        </w:tc>
        <w:tc>
          <w:tcPr>
            <w:tcW w:w="2080" w:type="dxa"/>
            <w:vAlign w:val="bottom"/>
          </w:tcPr>
          <w:p>
            <w:pPr>
              <w:spacing w:after="0"/>
              <w:rPr>
                <w:sz w:val="16"/>
                <w:szCs w:val="16"/>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ind w:left="240"/>
              <w:spacing w:after="0"/>
              <w:rPr>
                <w:sz w:val="20"/>
                <w:szCs w:val="20"/>
                <w:color w:val="auto"/>
              </w:rPr>
            </w:pPr>
            <w:r>
              <w:rPr>
                <w:rFonts w:ascii="Arial" w:cs="Arial" w:eastAsia="Arial" w:hAnsi="Arial"/>
                <w:sz w:val="14"/>
                <w:szCs w:val="14"/>
                <w:b w:val="1"/>
                <w:bCs w:val="1"/>
                <w:color w:val="auto"/>
              </w:rPr>
              <w:t>Contract Duration</w:t>
            </w:r>
          </w:p>
        </w:tc>
        <w:tc>
          <w:tcPr>
            <w:tcW w:w="2300" w:type="dxa"/>
            <w:vAlign w:val="bottom"/>
          </w:tcPr>
          <w:p>
            <w:pPr>
              <w:jc w:val="right"/>
              <w:ind w:right="571"/>
              <w:spacing w:after="0"/>
              <w:rPr>
                <w:sz w:val="20"/>
                <w:szCs w:val="20"/>
                <w:color w:val="auto"/>
              </w:rPr>
            </w:pPr>
            <w:r>
              <w:rPr>
                <w:rFonts w:ascii="Arial" w:cs="Arial" w:eastAsia="Arial" w:hAnsi="Arial"/>
                <w:sz w:val="14"/>
                <w:szCs w:val="14"/>
                <w:b w:val="1"/>
                <w:bCs w:val="1"/>
                <w:color w:val="auto"/>
              </w:rPr>
              <w:t>Period of Notice</w:t>
            </w: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line="171" w:lineRule="exact"/>
              <w:rPr>
                <w:sz w:val="20"/>
                <w:szCs w:val="20"/>
                <w:color w:val="auto"/>
              </w:rPr>
            </w:pPr>
            <w:r>
              <w:rPr>
                <w:rFonts w:ascii="Arial" w:cs="Arial" w:eastAsia="Arial" w:hAnsi="Arial"/>
                <w:sz w:val="18"/>
                <w:szCs w:val="18"/>
                <w:b w:val="1"/>
                <w:bCs w:val="1"/>
                <w:color w:val="auto"/>
              </w:rPr>
              <w:t>Chief Executive Officer</w:t>
            </w:r>
          </w:p>
        </w:tc>
        <w:tc>
          <w:tcPr>
            <w:tcW w:w="1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ind w:left="180"/>
              <w:spacing w:after="0"/>
              <w:rPr>
                <w:sz w:val="20"/>
                <w:szCs w:val="20"/>
                <w:color w:val="auto"/>
              </w:rPr>
            </w:pPr>
            <w:r>
              <w:rPr>
                <w:rFonts w:ascii="Arial" w:cs="Arial" w:eastAsia="Arial" w:hAnsi="Arial"/>
                <w:sz w:val="18"/>
                <w:szCs w:val="18"/>
                <w:b w:val="1"/>
                <w:bCs w:val="1"/>
                <w:color w:val="auto"/>
              </w:rPr>
              <w:t>(CEO)</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Dr. Michael Perry</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0"/>
              </w:rPr>
              <w:t>Open ended contract</w:t>
            </w:r>
          </w:p>
        </w:tc>
        <w:tc>
          <w:tcPr>
            <w:tcW w:w="2300" w:type="dxa"/>
            <w:vAlign w:val="bottom"/>
          </w:tcPr>
          <w:p>
            <w:pPr>
              <w:jc w:val="right"/>
              <w:spacing w:after="0"/>
              <w:rPr>
                <w:sz w:val="20"/>
                <w:szCs w:val="20"/>
                <w:color w:val="auto"/>
              </w:rPr>
            </w:pPr>
            <w:r>
              <w:rPr>
                <w:rFonts w:ascii="Arial" w:cs="Arial" w:eastAsia="Arial" w:hAnsi="Arial"/>
                <w:sz w:val="18"/>
                <w:szCs w:val="18"/>
                <w:color w:val="auto"/>
              </w:rPr>
              <w:t>12-month notice period</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Chief Financial Officer</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David McIntyre</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0"/>
              </w:rPr>
              <w:t>Open ended contract</w:t>
            </w:r>
          </w:p>
        </w:tc>
        <w:tc>
          <w:tcPr>
            <w:tcW w:w="2300" w:type="dxa"/>
            <w:vAlign w:val="bottom"/>
          </w:tcPr>
          <w:p>
            <w:pPr>
              <w:jc w:val="right"/>
              <w:spacing w:after="0"/>
              <w:rPr>
                <w:sz w:val="20"/>
                <w:szCs w:val="20"/>
                <w:color w:val="auto"/>
              </w:rPr>
            </w:pPr>
            <w:r>
              <w:rPr>
                <w:rFonts w:ascii="Arial" w:cs="Arial" w:eastAsia="Arial" w:hAnsi="Arial"/>
                <w:sz w:val="18"/>
                <w:szCs w:val="18"/>
                <w:color w:val="auto"/>
              </w:rPr>
              <w:t>12-month notice period</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Chief Commercial Officer</w:t>
            </w: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ind w:left="180"/>
              <w:spacing w:after="0"/>
              <w:rPr>
                <w:sz w:val="20"/>
                <w:szCs w:val="20"/>
                <w:color w:val="auto"/>
              </w:rPr>
            </w:pPr>
            <w:r>
              <w:rPr>
                <w:rFonts w:ascii="Arial" w:cs="Arial" w:eastAsia="Arial" w:hAnsi="Arial"/>
                <w:sz w:val="18"/>
                <w:szCs w:val="18"/>
                <w:b w:val="1"/>
                <w:bCs w:val="1"/>
                <w:color w:val="auto"/>
              </w:rPr>
              <w:t>(CCO)</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Erin Liberto</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0"/>
              </w:rPr>
              <w:t>Open ended contract</w:t>
            </w:r>
          </w:p>
        </w:tc>
        <w:tc>
          <w:tcPr>
            <w:tcW w:w="2300" w:type="dxa"/>
            <w:vAlign w:val="bottom"/>
          </w:tcPr>
          <w:p>
            <w:pPr>
              <w:jc w:val="right"/>
              <w:spacing w:after="0"/>
              <w:rPr>
                <w:sz w:val="20"/>
                <w:szCs w:val="20"/>
                <w:color w:val="auto"/>
              </w:rPr>
            </w:pPr>
            <w:r>
              <w:rPr>
                <w:rFonts w:ascii="Arial" w:cs="Arial" w:eastAsia="Arial" w:hAnsi="Arial"/>
                <w:sz w:val="18"/>
                <w:szCs w:val="18"/>
                <w:color w:val="auto"/>
              </w:rPr>
              <w:t>6-month notice period</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Chief Technology Officer</w:t>
            </w: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60" w:type="dxa"/>
            <w:vAlign w:val="bottom"/>
            <w:gridSpan w:val="2"/>
          </w:tcPr>
          <w:p>
            <w:pPr>
              <w:ind w:left="180"/>
              <w:spacing w:after="0"/>
              <w:rPr>
                <w:sz w:val="20"/>
                <w:szCs w:val="20"/>
                <w:color w:val="auto"/>
              </w:rPr>
            </w:pPr>
            <w:r>
              <w:rPr>
                <w:rFonts w:ascii="Arial" w:cs="Arial" w:eastAsia="Arial" w:hAnsi="Arial"/>
                <w:sz w:val="18"/>
                <w:szCs w:val="18"/>
                <w:b w:val="1"/>
                <w:bCs w:val="1"/>
                <w:color w:val="auto"/>
              </w:rPr>
              <w:t>(CTO)</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Andrew Quick</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0"/>
              </w:rPr>
              <w:t>Open ended contract</w:t>
            </w:r>
          </w:p>
        </w:tc>
        <w:tc>
          <w:tcPr>
            <w:tcW w:w="2300" w:type="dxa"/>
            <w:vAlign w:val="bottom"/>
          </w:tcPr>
          <w:p>
            <w:pPr>
              <w:jc w:val="right"/>
              <w:spacing w:after="0"/>
              <w:rPr>
                <w:sz w:val="20"/>
                <w:szCs w:val="20"/>
                <w:color w:val="auto"/>
              </w:rPr>
            </w:pPr>
            <w:r>
              <w:rPr>
                <w:rFonts w:ascii="Arial" w:cs="Arial" w:eastAsia="Arial" w:hAnsi="Arial"/>
                <w:sz w:val="18"/>
                <w:szCs w:val="18"/>
                <w:color w:val="auto"/>
              </w:rPr>
              <w:t>3-month notice period</w:t>
            </w:r>
          </w:p>
        </w:tc>
        <w:tc>
          <w:tcPr>
            <w:tcW w:w="0" w:type="dxa"/>
            <w:vAlign w:val="bottom"/>
          </w:tcPr>
          <w:p>
            <w:pPr>
              <w:spacing w:after="0"/>
              <w:rPr>
                <w:sz w:val="1"/>
                <w:szCs w:val="1"/>
                <w:color w:val="auto"/>
              </w:rPr>
            </w:pPr>
          </w:p>
        </w:tc>
      </w:tr>
      <w:tr>
        <w:trPr>
          <w:trHeight w:val="23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General Counsel (GC)</w:t>
            </w:r>
          </w:p>
        </w:tc>
        <w:tc>
          <w:tcPr>
            <w:tcW w:w="1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Donna Shiroma</w:t>
            </w:r>
          </w:p>
        </w:tc>
        <w:tc>
          <w:tcPr>
            <w:tcW w:w="1700" w:type="dxa"/>
            <w:vAlign w:val="bottom"/>
            <w:gridSpan w:val="2"/>
            <w:vMerge w:val="restart"/>
          </w:tcPr>
          <w:p>
            <w:pPr>
              <w:ind w:left="160"/>
              <w:spacing w:after="0"/>
              <w:rPr>
                <w:sz w:val="20"/>
                <w:szCs w:val="20"/>
                <w:color w:val="auto"/>
              </w:rPr>
            </w:pPr>
            <w:r>
              <w:rPr>
                <w:rFonts w:ascii="Arial" w:cs="Arial" w:eastAsia="Arial" w:hAnsi="Arial"/>
                <w:sz w:val="18"/>
                <w:szCs w:val="18"/>
                <w:color w:val="auto"/>
                <w:w w:val="90"/>
              </w:rPr>
              <w:t>Open ended contract</w:t>
            </w:r>
          </w:p>
        </w:tc>
        <w:tc>
          <w:tcPr>
            <w:tcW w:w="2300" w:type="dxa"/>
            <w:vAlign w:val="bottom"/>
            <w:vMerge w:val="restart"/>
          </w:tcPr>
          <w:p>
            <w:pPr>
              <w:jc w:val="right"/>
              <w:spacing w:after="0"/>
              <w:rPr>
                <w:sz w:val="20"/>
                <w:szCs w:val="20"/>
                <w:color w:val="auto"/>
              </w:rPr>
            </w:pPr>
            <w:r>
              <w:rPr>
                <w:rFonts w:ascii="Arial" w:cs="Arial" w:eastAsia="Arial" w:hAnsi="Arial"/>
                <w:sz w:val="18"/>
                <w:szCs w:val="18"/>
                <w:color w:val="auto"/>
              </w:rPr>
              <w:t>3-month notice period</w:t>
            </w:r>
          </w:p>
        </w:tc>
        <w:tc>
          <w:tcPr>
            <w:tcW w:w="0" w:type="dxa"/>
            <w:vAlign w:val="bottom"/>
          </w:tcPr>
          <w:p>
            <w:pPr>
              <w:spacing w:after="0"/>
              <w:rPr>
                <w:sz w:val="1"/>
                <w:szCs w:val="1"/>
                <w:color w:val="auto"/>
              </w:rPr>
            </w:pPr>
          </w:p>
        </w:tc>
      </w:tr>
      <w:tr>
        <w:trPr>
          <w:trHeight w:val="229"/>
        </w:trPr>
        <w:tc>
          <w:tcPr>
            <w:tcW w:w="2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Non-Executive Chairman</w:t>
            </w:r>
          </w:p>
        </w:tc>
        <w:tc>
          <w:tcPr>
            <w:tcW w:w="1920" w:type="dxa"/>
            <w:vAlign w:val="bottom"/>
            <w:gridSpan w:val="2"/>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6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No notice period subject to</w:t>
            </w:r>
          </w:p>
        </w:tc>
        <w:tc>
          <w:tcPr>
            <w:tcW w:w="0" w:type="dxa"/>
            <w:vAlign w:val="bottom"/>
          </w:tcPr>
          <w:p>
            <w:pPr>
              <w:spacing w:after="0"/>
              <w:rPr>
                <w:sz w:val="1"/>
                <w:szCs w:val="1"/>
                <w:color w:val="auto"/>
              </w:rPr>
            </w:pPr>
          </w:p>
        </w:tc>
      </w:tr>
      <w:tr>
        <w:trPr>
          <w:trHeight w:val="230"/>
        </w:trPr>
        <w:tc>
          <w:tcPr>
            <w:tcW w:w="2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All other Non-Executive</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Lou Panaccio</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0"/>
              </w:rPr>
              <w:t>Open ended contract</w:t>
            </w:r>
          </w:p>
        </w:tc>
        <w:tc>
          <w:tcPr>
            <w:tcW w:w="2300" w:type="dxa"/>
            <w:vAlign w:val="bottom"/>
          </w:tcPr>
          <w:p>
            <w:pPr>
              <w:jc w:val="right"/>
              <w:spacing w:after="0"/>
              <w:rPr>
                <w:sz w:val="20"/>
                <w:szCs w:val="20"/>
                <w:color w:val="auto"/>
              </w:rPr>
            </w:pPr>
            <w:r>
              <w:rPr>
                <w:rFonts w:ascii="Arial" w:cs="Arial" w:eastAsia="Arial" w:hAnsi="Arial"/>
                <w:sz w:val="18"/>
                <w:szCs w:val="18"/>
                <w:color w:val="auto"/>
              </w:rPr>
              <w:t>Avita constitution</w:t>
            </w:r>
          </w:p>
        </w:tc>
        <w:tc>
          <w:tcPr>
            <w:tcW w:w="0" w:type="dxa"/>
            <w:vAlign w:val="bottom"/>
          </w:tcPr>
          <w:p>
            <w:pPr>
              <w:spacing w:after="0"/>
              <w:rPr>
                <w:sz w:val="1"/>
                <w:szCs w:val="1"/>
                <w:color w:val="auto"/>
              </w:rPr>
            </w:pPr>
          </w:p>
        </w:tc>
      </w:tr>
      <w:tr>
        <w:trPr>
          <w:trHeight w:val="198"/>
        </w:trPr>
        <w:tc>
          <w:tcPr>
            <w:tcW w:w="236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tcPr>
          <w:p>
            <w:pPr>
              <w:jc w:val="right"/>
              <w:spacing w:after="0" w:line="199" w:lineRule="exact"/>
              <w:rPr>
                <w:sz w:val="20"/>
                <w:szCs w:val="20"/>
                <w:color w:val="auto"/>
              </w:rPr>
            </w:pPr>
            <w:r>
              <w:rPr>
                <w:rFonts w:ascii="Arial" w:cs="Arial" w:eastAsia="Arial" w:hAnsi="Arial"/>
                <w:sz w:val="18"/>
                <w:szCs w:val="18"/>
                <w:color w:val="auto"/>
              </w:rPr>
              <w:t>No notice period subject to</w:t>
            </w:r>
          </w:p>
        </w:tc>
        <w:tc>
          <w:tcPr>
            <w:tcW w:w="0" w:type="dxa"/>
            <w:vAlign w:val="bottom"/>
          </w:tcPr>
          <w:p>
            <w:pPr>
              <w:spacing w:after="0"/>
              <w:rPr>
                <w:sz w:val="1"/>
                <w:szCs w:val="1"/>
                <w:color w:val="auto"/>
              </w:rPr>
            </w:pPr>
          </w:p>
        </w:tc>
      </w:tr>
      <w:tr>
        <w:trPr>
          <w:trHeight w:val="247"/>
        </w:trPr>
        <w:tc>
          <w:tcPr>
            <w:tcW w:w="2360" w:type="dxa"/>
            <w:vAlign w:val="bottom"/>
            <w:gridSpan w:val="2"/>
          </w:tcPr>
          <w:p>
            <w:pPr>
              <w:ind w:left="180"/>
              <w:spacing w:after="0"/>
              <w:rPr>
                <w:sz w:val="20"/>
                <w:szCs w:val="20"/>
                <w:color w:val="auto"/>
              </w:rPr>
            </w:pPr>
            <w:r>
              <w:rPr>
                <w:rFonts w:ascii="Arial" w:cs="Arial" w:eastAsia="Arial" w:hAnsi="Arial"/>
                <w:sz w:val="18"/>
                <w:szCs w:val="18"/>
                <w:b w:val="1"/>
                <w:bCs w:val="1"/>
                <w:color w:val="auto"/>
              </w:rPr>
              <w:t>Directors</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Jeremy Curnock Cook</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0"/>
              </w:rPr>
              <w:t>Open ended contract</w:t>
            </w:r>
          </w:p>
        </w:tc>
        <w:tc>
          <w:tcPr>
            <w:tcW w:w="2300" w:type="dxa"/>
            <w:vAlign w:val="bottom"/>
          </w:tcPr>
          <w:p>
            <w:pPr>
              <w:jc w:val="right"/>
              <w:spacing w:after="0"/>
              <w:rPr>
                <w:sz w:val="20"/>
                <w:szCs w:val="20"/>
                <w:color w:val="auto"/>
              </w:rPr>
            </w:pPr>
            <w:r>
              <w:rPr>
                <w:rFonts w:ascii="Arial" w:cs="Arial" w:eastAsia="Arial" w:hAnsi="Arial"/>
                <w:sz w:val="18"/>
                <w:szCs w:val="18"/>
                <w:color w:val="auto"/>
              </w:rPr>
              <w:t>Avita constitution</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No notice period subject to</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Louis Drapeau</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0"/>
              </w:rPr>
              <w:t>Open ended contract</w:t>
            </w:r>
          </w:p>
        </w:tc>
        <w:tc>
          <w:tcPr>
            <w:tcW w:w="2300" w:type="dxa"/>
            <w:vAlign w:val="bottom"/>
          </w:tcPr>
          <w:p>
            <w:pPr>
              <w:jc w:val="right"/>
              <w:spacing w:after="0"/>
              <w:rPr>
                <w:sz w:val="20"/>
                <w:szCs w:val="20"/>
                <w:color w:val="auto"/>
              </w:rPr>
            </w:pPr>
            <w:r>
              <w:rPr>
                <w:rFonts w:ascii="Arial" w:cs="Arial" w:eastAsia="Arial" w:hAnsi="Arial"/>
                <w:sz w:val="18"/>
                <w:szCs w:val="18"/>
                <w:color w:val="auto"/>
              </w:rPr>
              <w:t>Avita constitution</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No notice period subject to</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Damien McDonald</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0"/>
              </w:rPr>
              <w:t>Open ended contract</w:t>
            </w:r>
          </w:p>
        </w:tc>
        <w:tc>
          <w:tcPr>
            <w:tcW w:w="2300" w:type="dxa"/>
            <w:vAlign w:val="bottom"/>
          </w:tcPr>
          <w:p>
            <w:pPr>
              <w:jc w:val="right"/>
              <w:spacing w:after="0"/>
              <w:rPr>
                <w:sz w:val="20"/>
                <w:szCs w:val="20"/>
                <w:color w:val="auto"/>
              </w:rPr>
            </w:pPr>
            <w:r>
              <w:rPr>
                <w:rFonts w:ascii="Arial" w:cs="Arial" w:eastAsia="Arial" w:hAnsi="Arial"/>
                <w:sz w:val="18"/>
                <w:szCs w:val="18"/>
                <w:color w:val="auto"/>
              </w:rPr>
              <w:t>Avita constitution</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No notice period subject to</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Professor Suzanne Crowe</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0"/>
              </w:rPr>
              <w:t>Open ended contract</w:t>
            </w:r>
          </w:p>
        </w:tc>
        <w:tc>
          <w:tcPr>
            <w:tcW w:w="2300" w:type="dxa"/>
            <w:vAlign w:val="bottom"/>
          </w:tcPr>
          <w:p>
            <w:pPr>
              <w:jc w:val="right"/>
              <w:spacing w:after="0"/>
              <w:rPr>
                <w:sz w:val="20"/>
                <w:szCs w:val="20"/>
                <w:color w:val="auto"/>
              </w:rPr>
            </w:pPr>
            <w:r>
              <w:rPr>
                <w:rFonts w:ascii="Arial" w:cs="Arial" w:eastAsia="Arial" w:hAnsi="Arial"/>
                <w:sz w:val="18"/>
                <w:szCs w:val="18"/>
                <w:color w:val="auto"/>
              </w:rPr>
              <w:t>Avita constitution</w:t>
            </w:r>
          </w:p>
        </w:tc>
        <w:tc>
          <w:tcPr>
            <w:tcW w:w="0" w:type="dxa"/>
            <w:vAlign w:val="bottom"/>
          </w:tcPr>
          <w:p>
            <w:pPr>
              <w:spacing w:after="0"/>
              <w:rPr>
                <w:sz w:val="1"/>
                <w:szCs w:val="1"/>
                <w:color w:val="auto"/>
              </w:rPr>
            </w:pPr>
          </w:p>
        </w:tc>
      </w:tr>
      <w:tr>
        <w:trPr>
          <w:trHeight w:val="540"/>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Compensation Principles</w:t>
            </w: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-2588260</wp:posOffset>
            </wp:positionV>
            <wp:extent cx="699516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-2031365</wp:posOffset>
            </wp:positionV>
            <wp:extent cx="6995160" cy="283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2832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-1465580</wp:posOffset>
            </wp:positionV>
            <wp:extent cx="6995160" cy="283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2832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-899795</wp:posOffset>
            </wp:positionV>
            <wp:extent cx="6995160" cy="282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2825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-2999740</wp:posOffset>
            </wp:positionV>
            <wp:extent cx="699516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Termination payments</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provided for by contract</w:t>
      </w:r>
    </w:p>
    <w:p>
      <w:pPr>
        <w:spacing w:after="0" w:line="196"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12 months</w:t>
      </w:r>
    </w:p>
    <w:p>
      <w:pPr>
        <w:spacing w:after="0" w:line="46"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12 months</w:t>
      </w:r>
    </w:p>
    <w:p>
      <w:pPr>
        <w:spacing w:after="0" w:line="23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 months</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Payment in lieu of notice only, no</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other benefits specified</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Payment in lieu of notice only, no</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other benefits specified</w:t>
      </w:r>
    </w:p>
    <w:p>
      <w:pPr>
        <w:spacing w:after="0" w:line="9" w:lineRule="exact"/>
        <w:rPr>
          <w:sz w:val="20"/>
          <w:szCs w:val="20"/>
          <w:color w:val="auto"/>
        </w:rPr>
      </w:pPr>
    </w:p>
    <w:p>
      <w:pPr>
        <w:jc w:val="right"/>
        <w:ind w:right="100"/>
        <w:spacing w:after="0" w:line="258" w:lineRule="auto"/>
        <w:rPr>
          <w:sz w:val="20"/>
          <w:szCs w:val="20"/>
          <w:color w:val="auto"/>
        </w:rPr>
      </w:pPr>
      <w:r>
        <w:rPr>
          <w:rFonts w:ascii="Arial" w:cs="Arial" w:eastAsia="Arial" w:hAnsi="Arial"/>
          <w:sz w:val="18"/>
          <w:szCs w:val="18"/>
          <w:color w:val="auto"/>
        </w:rPr>
        <w:t>Payment in lieu of notice only, no other benefits specified Payment in lieu of notice only, no other benefits specified Payment in lieu of notice only, no other benefits specified Payment in lieu of notice only, no other benefits specified</w:t>
      </w:r>
    </w:p>
    <w:p>
      <w:pPr>
        <w:spacing w:after="0" w:line="2" w:lineRule="exact"/>
        <w:rPr>
          <w:sz w:val="20"/>
          <w:szCs w:val="20"/>
          <w:color w:val="auto"/>
        </w:rPr>
      </w:pPr>
    </w:p>
    <w:p>
      <w:pPr>
        <w:jc w:val="both"/>
        <w:ind w:left="740" w:right="100" w:hanging="752"/>
        <w:spacing w:after="0" w:line="341" w:lineRule="auto"/>
        <w:rPr>
          <w:sz w:val="20"/>
          <w:szCs w:val="20"/>
          <w:color w:val="auto"/>
        </w:rPr>
      </w:pPr>
      <w:r>
        <w:rPr>
          <w:rFonts w:ascii="Arial" w:cs="Arial" w:eastAsia="Arial" w:hAnsi="Arial"/>
          <w:sz w:val="16"/>
          <w:szCs w:val="16"/>
          <w:color w:val="auto"/>
        </w:rPr>
        <w:t>Payment in lieu of notice only, no other benefits specified</w:t>
      </w:r>
    </w:p>
    <w:p>
      <w:pPr>
        <w:spacing w:after="0" w:line="556" w:lineRule="exact"/>
        <w:rPr>
          <w:sz w:val="20"/>
          <w:szCs w:val="20"/>
          <w:color w:val="auto"/>
        </w:rPr>
      </w:pPr>
    </w:p>
    <w:p>
      <w:pPr>
        <w:sectPr>
          <w:pgSz w:w="11900" w:h="16838" w:orient="portrait"/>
          <w:cols w:equalWidth="0" w:num="2">
            <w:col w:w="8400" w:space="200"/>
            <w:col w:w="2520"/>
          </w:cols>
          <w:pgMar w:left="320" w:top="459" w:right="459" w:bottom="1440" w:gutter="0" w:footer="0" w:header="0"/>
          <w:type w:val="continuous"/>
        </w:sectPr>
      </w:pPr>
    </w:p>
    <w:p>
      <w:pPr>
        <w:ind w:left="120" w:right="20"/>
        <w:spacing w:after="0" w:line="263" w:lineRule="auto"/>
        <w:rPr>
          <w:sz w:val="20"/>
          <w:szCs w:val="20"/>
          <w:color w:val="auto"/>
        </w:rPr>
      </w:pPr>
      <w:r>
        <w:rPr>
          <w:rFonts w:ascii="Arial" w:cs="Arial" w:eastAsia="Arial" w:hAnsi="Arial"/>
          <w:sz w:val="18"/>
          <w:szCs w:val="18"/>
          <w:color w:val="auto"/>
        </w:rPr>
        <w:t>In prior years we identified a number of key areas for additional emphasis which has resulted in a review of compensation practices, policies and plans associated with key management personnel compensation. To develop an appropriate foundation for future practices the Compensation Committee has a formal Compensation Governance Framework which, at the core, consists of:</w:t>
      </w:r>
    </w:p>
    <w:p>
      <w:pPr>
        <w:spacing w:after="0" w:line="89" w:lineRule="exact"/>
        <w:rPr>
          <w:sz w:val="20"/>
          <w:szCs w:val="20"/>
          <w:color w:val="auto"/>
        </w:rPr>
      </w:pPr>
    </w:p>
    <w:p>
      <w:pPr>
        <w:ind w:left="1080" w:right="1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revised Compensation Committee Charter which now mandates the development and maintenance of other Compensation Governance Framework elements;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Senior Executive Compensation Policy;</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Short-Term Incentive (“</w:t>
      </w:r>
      <w:r>
        <w:rPr>
          <w:rFonts w:ascii="Arial" w:cs="Arial" w:eastAsia="Arial" w:hAnsi="Arial"/>
          <w:sz w:val="18"/>
          <w:szCs w:val="18"/>
          <w:b w:val="1"/>
          <w:bCs w:val="1"/>
          <w:color w:val="auto"/>
        </w:rPr>
        <w:t>STI</w:t>
      </w:r>
      <w:r>
        <w:rPr>
          <w:rFonts w:ascii="Arial" w:cs="Arial" w:eastAsia="Arial" w:hAnsi="Arial"/>
          <w:sz w:val="18"/>
          <w:szCs w:val="18"/>
          <w:color w:val="auto"/>
        </w:rPr>
        <w:t>”) Policy &amp; Procedure document;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Long-Term Incentive (“</w:t>
      </w:r>
      <w:r>
        <w:rPr>
          <w:rFonts w:ascii="Arial" w:cs="Arial" w:eastAsia="Arial" w:hAnsi="Arial"/>
          <w:sz w:val="18"/>
          <w:szCs w:val="18"/>
          <w:b w:val="1"/>
          <w:bCs w:val="1"/>
          <w:color w:val="auto"/>
        </w:rPr>
        <w:t>LTI</w:t>
      </w:r>
      <w:r>
        <w:rPr>
          <w:rFonts w:ascii="Arial" w:cs="Arial" w:eastAsia="Arial" w:hAnsi="Arial"/>
          <w:sz w:val="18"/>
          <w:szCs w:val="18"/>
          <w:color w:val="auto"/>
        </w:rPr>
        <w:t>”) Policy &amp; Procedure document.</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77" w:lineRule="auto"/>
        <w:rPr>
          <w:sz w:val="20"/>
          <w:szCs w:val="20"/>
          <w:color w:val="auto"/>
        </w:rPr>
      </w:pPr>
      <w:r>
        <w:rPr>
          <w:rFonts w:ascii="Arial" w:cs="Arial" w:eastAsia="Arial" w:hAnsi="Arial"/>
          <w:sz w:val="17"/>
          <w:szCs w:val="17"/>
          <w:b w:val="1"/>
          <w:bCs w:val="1"/>
          <w:color w:val="auto"/>
        </w:rPr>
        <w:t xml:space="preserve">Compensation Committee: </w:t>
      </w:r>
      <w:r>
        <w:rPr>
          <w:rFonts w:ascii="Arial" w:cs="Arial" w:eastAsia="Arial" w:hAnsi="Arial"/>
          <w:sz w:val="17"/>
          <w:szCs w:val="17"/>
          <w:color w:val="auto"/>
        </w:rPr>
        <w:t>The Compensation Committee of the Board of Directors of the Company is responsible for determining and reviewing</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arrangements for the board and our executives. The Compensation Committee assesses the appropriateness of the nature and amount of compensation of our executives on a periodic basis by reference to relevant employment market conditions with the overall objective of ensuring maximum stakeholder benefit from the retention of a high-quality board and executive team. In addition, the Compensation Committee is responsible for evaluating the performance of the Company’s key senior executives.</w:t>
      </w:r>
    </w:p>
    <w:p>
      <w:pPr>
        <w:spacing w:after="0" w:line="168"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 xml:space="preserve">Use of Compensation Consultants: </w:t>
      </w:r>
      <w:r>
        <w:rPr>
          <w:rFonts w:ascii="Arial" w:cs="Arial" w:eastAsia="Arial" w:hAnsi="Arial"/>
          <w:sz w:val="18"/>
          <w:szCs w:val="18"/>
          <w:color w:val="auto"/>
        </w:rPr>
        <w:t>The Company did not make use of any external compensation consultants during the fiscal year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2020, although it did obtain from third parties industry benchmarking information.</w:t>
      </w:r>
    </w:p>
    <w:p>
      <w:pPr>
        <w:spacing w:after="0" w:line="162"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auto"/>
        </w:rPr>
        <w:t xml:space="preserve">Compensation Framework, Philosophy and Policies: </w:t>
      </w:r>
      <w:r>
        <w:rPr>
          <w:rFonts w:ascii="Arial" w:cs="Arial" w:eastAsia="Arial" w:hAnsi="Arial"/>
          <w:sz w:val="18"/>
          <w:szCs w:val="18"/>
          <w:color w:val="auto"/>
        </w:rPr>
        <w:t>The performance of the Company depends upon the quality of its directors and executives. To</w:t>
      </w:r>
      <w:r>
        <w:rPr>
          <w:rFonts w:ascii="Arial" w:cs="Arial" w:eastAsia="Arial" w:hAnsi="Arial"/>
          <w:sz w:val="18"/>
          <w:szCs w:val="18"/>
          <w:b w:val="1"/>
          <w:bCs w:val="1"/>
          <w:color w:val="auto"/>
        </w:rPr>
        <w:t xml:space="preserve"> </w:t>
      </w:r>
      <w:r>
        <w:rPr>
          <w:rFonts w:ascii="Arial" w:cs="Arial" w:eastAsia="Arial" w:hAnsi="Arial"/>
          <w:sz w:val="18"/>
          <w:szCs w:val="18"/>
          <w:color w:val="auto"/>
        </w:rPr>
        <w:t>prosper, the Company must attract, motivate and retain highly skilled directors and executives. To this end, the Company embodies the following principles in its compensation framework:</w:t>
      </w:r>
    </w:p>
    <w:p>
      <w:pPr>
        <w:spacing w:after="0" w:line="85"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competitive rewards to attract and retain high caliber executives;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Acceptability to stockholders through transparency and engagement, and ensuring that compensation frameworks and practices are appropriate to the circumstances of the Company as it evolves;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linkage to and alignment with executive compensation;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appropriate, demanding performance hurdles as a prerequisite to payment of variable executive compensation.</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main focus of executives and of performance assessment for fiscal year ended June 30, 2020 was the commercialization of the RECELL</w:t>
      </w:r>
      <w:r>
        <w:rPr>
          <w:rFonts w:ascii="Arial" w:cs="Arial" w:eastAsia="Arial" w:hAnsi="Arial"/>
          <w:sz w:val="15"/>
          <w:szCs w:val="15"/>
          <w:color w:val="auto"/>
        </w:rPr>
        <w:t>®</w:t>
      </w:r>
      <w:r>
        <w:rPr>
          <w:rFonts w:ascii="Arial" w:cs="Arial" w:eastAsia="Arial" w:hAnsi="Arial"/>
          <w:sz w:val="18"/>
          <w:szCs w:val="18"/>
          <w:color w:val="auto"/>
        </w:rPr>
        <w:t xml:space="preserve"> System within the United States, together with the approval by the FDA of various Investigational Device Exemptions which would support the commencement of additional pivotal clinical studies. Other important activities, including advancement of the Company’s pipeline and successful completion of the listing of our ADSs on NASDAQ were items of key focus in the fiscal year. Incentives are intended to be linked to shareholder value via milestone completion and clinical trial outcomes.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Company aims to reward executives with a level and mix of compensation commensurate with their position and responsibilities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so as to:</w:t>
      </w:r>
    </w:p>
    <w:p>
      <w:pPr>
        <w:spacing w:after="0" w:line="71" w:lineRule="exact"/>
        <w:rPr>
          <w:sz w:val="20"/>
          <w:szCs w:val="20"/>
          <w:color w:val="auto"/>
        </w:rPr>
      </w:pPr>
    </w:p>
    <w:p>
      <w:pPr>
        <w:ind w:left="1080" w:right="5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reward executives for Company and individual performance against targets set by reference to appropriate benchmarks as well as to specific short- and long-term goals of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align the interests of executives with those of stockholders;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ensure total compensation is competitive by market standards.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Company’s broad framework for the Compensation Committee requires the committee to ensure that:</w:t>
      </w:r>
    </w:p>
    <w:p>
      <w:pPr>
        <w:spacing w:after="0" w:line="135" w:lineRule="exact"/>
        <w:rPr>
          <w:sz w:val="20"/>
          <w:szCs w:val="20"/>
          <w:color w:val="auto"/>
        </w:rPr>
      </w:pPr>
    </w:p>
    <w:p>
      <w:pPr>
        <w:ind w:left="1080" w:right="1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compensation packages may involve a balance between fixed and incentive pay, reflecting short and/or long-term performance objectives appropriate to the Company’s circumstances and objectives;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proportion of executives’ compensation is structured in a manner designed to link reward to corporate and individual performances;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recommendations are made to our board with respect to the quantum of bonuses to be paid to executives.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the extent that the Company adopts a different compensation structure for its Non-Executive Directors, the Compensation Committee shall document its reasons for the purpose of disclosure to stakeholders.</w:t>
      </w:r>
    </w:p>
    <w:p>
      <w:pPr>
        <w:spacing w:after="0" w:line="166"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The Compensation Committee determines the level and make-up of the Chief Executive Officer’s compensation.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reviews and approves the corporate goals and objectives relevant to the Chief Executive Officer’s compensation and evaluates the Chief Executive Officer’s performance in light of those goals and objectives, on an annual basis. The Compensation Committee takes advice from the Chief Executive Officer with input from industry benchmarking data to set and approve all other executive compensation. To assist in achieving the Company’s objectives, the Compensation Committee links the nature and number of officers’ emoluments to the Company’s performance. Compensation may consist of the following key elements:</w:t>
      </w:r>
    </w:p>
    <w:p>
      <w:pPr>
        <w:spacing w:after="0" w:line="97"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Fixed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Variable Compensation</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 Term Incentive (“</w:t>
      </w:r>
      <w:r>
        <w:rPr>
          <w:rFonts w:ascii="Arial" w:cs="Arial" w:eastAsia="Arial" w:hAnsi="Arial"/>
          <w:sz w:val="18"/>
          <w:szCs w:val="18"/>
          <w:b w:val="1"/>
          <w:bCs w:val="1"/>
          <w:color w:val="auto"/>
        </w:rPr>
        <w:t>STI</w:t>
      </w:r>
      <w:r>
        <w:rPr>
          <w:rFonts w:ascii="Arial" w:cs="Arial" w:eastAsia="Arial" w:hAnsi="Arial"/>
          <w:sz w:val="18"/>
          <w:szCs w:val="18"/>
          <w:color w:val="auto"/>
        </w:rPr>
        <w:t>”) and/or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 Term Incentive (“</w:t>
      </w:r>
      <w:r>
        <w:rPr>
          <w:rFonts w:ascii="Arial" w:cs="Arial" w:eastAsia="Arial" w:hAnsi="Arial"/>
          <w:sz w:val="18"/>
          <w:szCs w:val="18"/>
          <w:b w:val="1"/>
          <w:bCs w:val="1"/>
          <w:color w:val="auto"/>
        </w:rPr>
        <w:t>LTI</w:t>
      </w:r>
      <w:r>
        <w:rPr>
          <w:rFonts w:ascii="Arial" w:cs="Arial" w:eastAsia="Arial" w:hAnsi="Arial"/>
          <w:sz w:val="18"/>
          <w:szCs w:val="18"/>
          <w:color w:val="auto"/>
        </w:rPr>
        <w:t>”)</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proportion of fixed compensation and variable compensation (potential short term and long-term incentives) is established for each executive by the Compensation Committee annually.</w:t>
      </w:r>
    </w:p>
    <w:p>
      <w:pPr>
        <w:spacing w:after="0" w:line="166"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auto"/>
        </w:rPr>
        <w:t>Fixed Compensation Objective and Structure</w:t>
      </w:r>
      <w:r>
        <w:rPr>
          <w:rFonts w:ascii="Arial" w:cs="Arial" w:eastAsia="Arial" w:hAnsi="Arial"/>
          <w:sz w:val="17"/>
          <w:szCs w:val="17"/>
          <w:color w:val="auto"/>
        </w:rPr>
        <w:t>: The level of fixed compensation is set so as to provide a base level of compensation which is both</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to the position and is competitive in the market. Fixed Compensation is reviewed annually by the Compensation Committee and the process consists of a review of Company-wide and individual performance and relevant comparative compensation in the market.</w:t>
      </w:r>
    </w:p>
    <w:p>
      <w:pPr>
        <w:spacing w:after="0" w:line="158" w:lineRule="exact"/>
        <w:rPr>
          <w:sz w:val="20"/>
          <w:szCs w:val="20"/>
          <w:color w:val="auto"/>
        </w:rPr>
      </w:pPr>
    </w:p>
    <w:p>
      <w:pPr>
        <w:ind w:left="120" w:right="140"/>
        <w:spacing w:after="0" w:line="298" w:lineRule="auto"/>
        <w:rPr>
          <w:sz w:val="20"/>
          <w:szCs w:val="20"/>
          <w:color w:val="auto"/>
        </w:rPr>
      </w:pPr>
      <w:r>
        <w:rPr>
          <w:rFonts w:ascii="Arial" w:cs="Arial" w:eastAsia="Arial" w:hAnsi="Arial"/>
          <w:sz w:val="16"/>
          <w:szCs w:val="16"/>
          <w:b w:val="1"/>
          <w:bCs w:val="1"/>
          <w:color w:val="auto"/>
        </w:rPr>
        <w:t>Variable Compensation –STI Objective and Structure</w:t>
      </w:r>
      <w:r>
        <w:rPr>
          <w:rFonts w:ascii="Arial" w:cs="Arial" w:eastAsia="Arial" w:hAnsi="Arial"/>
          <w:sz w:val="16"/>
          <w:szCs w:val="16"/>
          <w:color w:val="auto"/>
        </w:rPr>
        <w:t>: The objective of variable compensation is to link the achievement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operational targets with the compensation received by the executives charged with meeting those targets. The Company’s operational targets are set by the Compensation Committee and the targets are based upon financial and non-financial measures. For fiscal year ended June 30, 2020, STI objectives consisted mainly of non-financial measures, primarily based around commercialization of the RECELL System in the United States. The target range was between 25-75% of base salary for the key management personnel. The Company’s STI objectives are designed to:</w:t>
      </w:r>
    </w:p>
    <w:p>
      <w:pPr>
        <w:spacing w:after="0" w:line="63"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Motivate senior executives to achieve the short-term annual objectives linked to Company success and shareholder value creation;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a strong link between performance and reward;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 company success with the senior executives that contribute to it;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Create a component of the employment cost that is responsive to short to medium term changes in the circumstances of the Company.</w:t>
      </w:r>
    </w:p>
    <w:p>
      <w:pPr>
        <w:spacing w:after="0" w:line="24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All key objectives were assessed by the Compensation Committee as being fully met. All key management personnel achieved 100% of the maximum bonus available to them under the STI plan and were paid in the current year.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Retirement, Other Termination, or Change in Control Arrangements</w:t>
      </w:r>
    </w:p>
    <w:p>
      <w:pPr>
        <w:spacing w:after="0" w:line="121"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The Company does not have any agreements or plans in place for the named executive officers that would provide additional compensation in connection with a resignation, retirement or other termination or a change in control.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information regarding outstanding equity awards held by our named executive officers as of June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Option awards</w:t>
            </w:r>
          </w:p>
        </w:tc>
        <w:tc>
          <w:tcPr>
            <w:tcW w:w="1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plan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plan</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unearned</w:t>
            </w:r>
          </w:p>
        </w:tc>
        <w:tc>
          <w:tcPr>
            <w:tcW w:w="8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payout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value of</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securities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securities</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shares or</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 of</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units or</w:t>
            </w:r>
          </w:p>
        </w:tc>
        <w:tc>
          <w:tcPr>
            <w:tcW w:w="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underlying</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underlying</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units of</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units of</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Option exercise price</w:t>
            </w:r>
          </w:p>
        </w:tc>
        <w:tc>
          <w:tcPr>
            <w:tcW w:w="20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stock that</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 that</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rights</w:t>
            </w:r>
          </w:p>
        </w:tc>
        <w:tc>
          <w:tcPr>
            <w:tcW w:w="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rights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340" w:type="dxa"/>
            <w:vAlign w:val="bottom"/>
            <w:vMerge w:val="restart"/>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options (#)</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options (#)</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unearned</w:t>
            </w:r>
          </w:p>
        </w:tc>
        <w:tc>
          <w:tcPr>
            <w:tcW w:w="1380" w:type="dxa"/>
            <w:vAlign w:val="bottom"/>
            <w:gridSpan w:val="2"/>
            <w:vMerge w:val="continue"/>
          </w:tcPr>
          <w:p>
            <w:pPr>
              <w:spacing w:after="0"/>
              <w:rPr>
                <w:sz w:val="12"/>
                <w:szCs w:val="12"/>
                <w:color w:val="auto"/>
              </w:rPr>
            </w:pPr>
          </w:p>
        </w:tc>
        <w:tc>
          <w:tcPr>
            <w:tcW w:w="2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expiration</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have not</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have not</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have not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9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8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9"/>
              </w:rPr>
              <w:t>options (#)</w:t>
            </w: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0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7"/>
              </w:rPr>
              <w:t>date</w:t>
            </w:r>
          </w:p>
        </w:tc>
        <w:tc>
          <w:tcPr>
            <w:tcW w:w="8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8"/>
              </w:rPr>
              <w:t>vested (#)</w:t>
            </w:r>
          </w:p>
        </w:tc>
        <w:tc>
          <w:tcPr>
            <w:tcW w:w="7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 xml:space="preserve">vested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7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vested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14"/>
                <w:szCs w:val="14"/>
                <w:color w:val="auto"/>
                <w:w w:val="99"/>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Michael Perry,</w:t>
            </w: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Executive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Officer </w:t>
            </w:r>
            <w:r>
              <w:rPr>
                <w:rFonts w:ascii="Arial" w:cs="Arial" w:eastAsia="Arial" w:hAnsi="Arial"/>
                <w:sz w:val="18"/>
                <w:szCs w:val="18"/>
                <w:b w:val="1"/>
                <w:bCs w:val="1"/>
                <w:color w:val="auto"/>
              </w:rPr>
              <w:t>(3)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$ 6.00</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11/30/2028</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294,359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8,989,729</w:t>
            </w:r>
          </w:p>
        </w:tc>
        <w:tc>
          <w:tcPr>
            <w:tcW w:w="0" w:type="dxa"/>
            <w:vAlign w:val="bottom"/>
          </w:tcPr>
          <w:p>
            <w:pPr>
              <w:spacing w:after="0"/>
              <w:rPr>
                <w:sz w:val="1"/>
                <w:szCs w:val="1"/>
                <w:color w:val="auto"/>
              </w:rPr>
            </w:pPr>
          </w:p>
        </w:tc>
      </w:tr>
      <w:tr>
        <w:trPr>
          <w:trHeight w:val="202"/>
        </w:trPr>
        <w:tc>
          <w:tcPr>
            <w:tcW w:w="17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David McIntyre,</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Chief Financial</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Officer and Board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 xml:space="preserve">Member </w:t>
            </w:r>
            <w:r>
              <w:rPr>
                <w:rFonts w:ascii="Arial" w:cs="Arial" w:eastAsia="Arial" w:hAnsi="Arial"/>
                <w:sz w:val="18"/>
                <w:szCs w:val="18"/>
                <w:b w:val="1"/>
                <w:bCs w:val="1"/>
                <w:color w:val="auto"/>
              </w:rPr>
              <w:t>(4)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45,000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90,000</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$ 37.99</w:t>
            </w:r>
          </w:p>
        </w:tc>
        <w:tc>
          <w:tcPr>
            <w:tcW w:w="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11/25/2029</w:t>
            </w:r>
          </w:p>
        </w:tc>
        <w:tc>
          <w:tcPr>
            <w:tcW w:w="8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45,000</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1,374,300</w:t>
            </w:r>
          </w:p>
        </w:tc>
        <w:tc>
          <w:tcPr>
            <w:tcW w:w="0" w:type="dxa"/>
            <w:vAlign w:val="bottom"/>
          </w:tcPr>
          <w:p>
            <w:pPr>
              <w:spacing w:after="0"/>
              <w:rPr>
                <w:sz w:val="1"/>
                <w:szCs w:val="1"/>
                <w:color w:val="auto"/>
              </w:rPr>
            </w:pPr>
          </w:p>
        </w:tc>
      </w:tr>
      <w:tr>
        <w:trPr>
          <w:trHeight w:val="202"/>
        </w:trPr>
        <w:tc>
          <w:tcPr>
            <w:tcW w:w="1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Erin Liberto,</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Commercial</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Officer and Board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Member</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43,200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114,800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$5.04 - $6.41 (2)</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9/6/2027 -11/30/2028(2)</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Andrew Quick,</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Chief Technology</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Officer and Board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180"/>
              <w:spacing w:after="0"/>
              <w:rPr>
                <w:sz w:val="20"/>
                <w:szCs w:val="20"/>
                <w:color w:val="auto"/>
              </w:rPr>
            </w:pPr>
            <w:r>
              <w:rPr>
                <w:rFonts w:ascii="Arial" w:cs="Arial" w:eastAsia="Arial" w:hAnsi="Arial"/>
                <w:sz w:val="18"/>
                <w:szCs w:val="18"/>
                <w:color w:val="auto"/>
              </w:rPr>
              <w:t>Member</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53,516</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67,284</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$6.00 - $21.33 (2)</w:t>
            </w:r>
          </w:p>
        </w:tc>
        <w:tc>
          <w:tcPr>
            <w:tcW w:w="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5/18/2027 - 4/1/2029 (2)</w:t>
            </w:r>
          </w:p>
        </w:tc>
        <w:tc>
          <w:tcPr>
            <w:tcW w:w="8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Donna Shiroma,</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Counsel</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and Board Member</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26,900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80,900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$4.37 - $6.41 (2)</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6/25/2028 - 11/30/2028(2)</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100" w:hanging="424"/>
        <w:spacing w:after="0" w:line="25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in this column are calculated by multiplying the closing market price of the Company’s stock at the end of the last completed fiscal year by the number of shares or units of stock or the amount of equity incentive plan awards, respectively.</w:t>
      </w:r>
    </w:p>
    <w:p>
      <w:pPr>
        <w:spacing w:after="0" w:line="1"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range of exercise price and expiration dates for all of Erin Liberto, Andrew Quick, and Donna Shiroma stock options. Options were granted on different dates throughout their tenure.</w:t>
      </w: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November 26, 3019 shareholders approved 395,543 long term incentives that vest over tenure and performance metrics</w:t>
      </w:r>
    </w:p>
    <w:p>
      <w:pPr>
        <w:spacing w:after="0" w:line="9" w:lineRule="exact"/>
        <w:rPr>
          <w:rFonts w:ascii="Arial" w:cs="Arial" w:eastAsia="Arial" w:hAnsi="Arial"/>
          <w:sz w:val="18"/>
          <w:szCs w:val="18"/>
          <w:color w:val="auto"/>
        </w:rPr>
      </w:pPr>
    </w:p>
    <w:p>
      <w:pPr>
        <w:ind w:left="540" w:right="320" w:hanging="424"/>
        <w:spacing w:after="0" w:line="26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David McIntyre was granted 135,000 stock options and 45,000 long term incentives which vest based upon continued employment, tenure and performance metrics determined by the board.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Approval for the issue of the above mentioned equity awards to Mr. Perry was obtained under ASX Listing Rule 10.14.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w:t>
      </w:r>
    </w:p>
    <w:p>
      <w:pPr>
        <w:spacing w:after="0" w:line="117"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 xml:space="preserve">Objective: </w:t>
      </w:r>
      <w:r>
        <w:rPr>
          <w:rFonts w:ascii="Arial" w:cs="Arial" w:eastAsia="Arial" w:hAnsi="Arial"/>
          <w:sz w:val="18"/>
          <w:szCs w:val="18"/>
          <w:color w:val="auto"/>
        </w:rPr>
        <w:t>Our board seeks to set aggregate compensation at a level which provides the Company with the ability to attract and retain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highest caliber, whilst incurring a cost which is acceptable to stockholders.</w:t>
      </w:r>
    </w:p>
    <w:p>
      <w:pPr>
        <w:spacing w:after="0" w:line="162" w:lineRule="exact"/>
        <w:rPr>
          <w:sz w:val="20"/>
          <w:szCs w:val="20"/>
          <w:color w:val="auto"/>
        </w:rPr>
      </w:pPr>
    </w:p>
    <w:p>
      <w:pPr>
        <w:ind w:left="120" w:right="340"/>
        <w:spacing w:after="0" w:line="266" w:lineRule="auto"/>
        <w:rPr>
          <w:sz w:val="20"/>
          <w:szCs w:val="20"/>
          <w:color w:val="auto"/>
        </w:rPr>
      </w:pPr>
      <w:r>
        <w:rPr>
          <w:rFonts w:ascii="Arial" w:cs="Arial" w:eastAsia="Arial" w:hAnsi="Arial"/>
          <w:sz w:val="18"/>
          <w:szCs w:val="18"/>
          <w:b w:val="1"/>
          <w:bCs w:val="1"/>
          <w:color w:val="auto"/>
        </w:rPr>
        <w:t xml:space="preserve">Policy: </w:t>
      </w:r>
      <w:r>
        <w:rPr>
          <w:rFonts w:ascii="Arial" w:cs="Arial" w:eastAsia="Arial" w:hAnsi="Arial"/>
          <w:sz w:val="18"/>
          <w:szCs w:val="18"/>
          <w:color w:val="auto"/>
        </w:rPr>
        <w:t>The amount of aggregate compensation sought to be approved by stockholders and the fee structure is to be commercially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and subject to an annual review. Our board considers industry benchmarking data regarding the fees paid to Non-Executive Directors of comparable companies when undertaking the annual review process.</w:t>
      </w:r>
    </w:p>
    <w:p>
      <w:pPr>
        <w:spacing w:after="0" w:line="176"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b w:val="1"/>
          <w:bCs w:val="1"/>
          <w:color w:val="auto"/>
        </w:rPr>
        <w:t xml:space="preserve">Structure: </w:t>
      </w:r>
      <w:r>
        <w:rPr>
          <w:rFonts w:ascii="Arial" w:cs="Arial" w:eastAsia="Arial" w:hAnsi="Arial"/>
          <w:sz w:val="18"/>
          <w:szCs w:val="18"/>
          <w:color w:val="auto"/>
        </w:rPr>
        <w:t>In accordance with best practice corporate governance, the structure of Non-Executive Director and Senior Management compensation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 and distinct. The Constitution of our former parent company AVITA Medical Limited and the ASX Listing Rules specify that the aggregate compensation of Non-Executive Directors shall be determined from time to time by a general meeting. The latest determination was at the Annual General Meeting held on November 29, 2005 when shareholders approved an aggregate compensation of A$450,000 per year in respect of fees payable to Non-Executive Directors.</w:t>
      </w:r>
    </w:p>
    <w:p>
      <w:pPr>
        <w:spacing w:after="0" w:line="18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Each director receives a fee for being a director of the Company and includes attendance and participation at board and committee meetings. The Non-Executive Directors do not participate in any incentive programs.</w:t>
      </w:r>
    </w:p>
    <w:p>
      <w:pPr>
        <w:spacing w:after="0" w:line="170"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The following table sets forth certain information regarding the compensation earned by or awarded to each non-employee director who served on our board during the fiscal year ended June 30, 2020. We do not provide separate compensation to our executive directors, such as Dr. Michael Perry, our Chief Executive Officer. Dr. Perry’s compensation is reported in this Annual Report under “Item 11. Executive Compensation.”</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Equity-</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3"/>
              </w:rPr>
              <w:t>Proportion of Element of</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settled</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80" w:type="dxa"/>
            <w:vAlign w:val="bottom"/>
            <w:gridSpan w:val="4"/>
            <w:vMerge w:val="continue"/>
          </w:tcPr>
          <w:p>
            <w:pPr>
              <w:spacing w:after="0"/>
              <w:rPr>
                <w:sz w:val="12"/>
                <w:szCs w:val="12"/>
                <w:color w:val="auto"/>
              </w:rPr>
            </w:pP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Elements of</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Short-term</w:t>
            </w: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Post-employment</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Share-</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Compensation Related to</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based</w:t>
            </w: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5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Performance (Other</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Not Related to</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Benefits</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c>
          <w:tcPr>
            <w:tcW w:w="960" w:type="dxa"/>
            <w:vAlign w:val="bottom"/>
            <w:gridSpan w:val="2"/>
            <w:vMerge w:val="continue"/>
          </w:tcPr>
          <w:p>
            <w:pPr>
              <w:spacing w:after="0"/>
              <w:rPr>
                <w:sz w:val="16"/>
                <w:szCs w:val="16"/>
                <w:color w:val="auto"/>
              </w:rPr>
            </w:pPr>
          </w:p>
        </w:tc>
        <w:tc>
          <w:tcPr>
            <w:tcW w:w="25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than Options Issued)(1)</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Salary, fees</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401K Match and</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Non-salary Cash</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and leave</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Superannuation</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Shares/Units</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based Incentives</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Shares/Units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9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4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Non-Executive Directors</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 Panaccio - Chairman</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48,492</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5,029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4,442</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57,963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 Curnock Cook</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37,546</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37,546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 Drapeau</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43,600</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43,600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 McDonald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32,700</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10,900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43,600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 Crowe</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34,326</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3,560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3,144</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41,030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Non-Executive Directors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196,664</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8,588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18,486</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223,739</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Non-salary cash-based incentives % is equal to profit share and bonuses divided by total compensation. Shares or unit % is equal to shares or units divided by total compensation.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During fiscal year ended June 30, 2020, Suzanne Crowe, Louis Drapeau, and Jeremy Cook served as members of our Compensation Committee. None of the members of our Compensation Committee was, during fiscal year ended June 30, 2020, an officer or employee of the Company and none of the members of our Compensation Committee was formerly an officer of the Company. None of the members of our Compensation Committee had any relationship requiring disclosure by us under any paragraph of Item 404 of Regulation S-K. None of our executive officers currently serves, nor in the past fiscal year has served, as a member of the board of directors or Compensation Committee of any entity that has one or more executive officers serving on our board of directors or Compensation Committee.</w:t>
      </w:r>
    </w:p>
    <w:p>
      <w:pPr>
        <w:spacing w:after="0" w:line="282"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Stockholders and Management</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The following table provides certain information regarding the ownership of our common stock, as of August 20, 2020 by each person or group of affiliated persons known to us to be the beneficial owner of more than 5% of our common stock; each of our named executive officers; each of our directors; and all of our executive officers and directors as a group. The table also sets out the names of all persons (of which the Company is aware) who have disclosed pursuant to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to be “substantial shareholders” of the Company and carry 5% or more of the voting rights attached to the issued securities of the Company.</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320" w:top="459" w:right="6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Amount and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Nature of</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48"/>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7000" w:type="dxa"/>
            <w:vAlign w:val="bottom"/>
            <w:gridSpan w:val="2"/>
            <w:vMerge w:val="restart"/>
          </w:tcPr>
          <w:p>
            <w:pPr>
              <w:ind w:left="2140"/>
              <w:spacing w:after="0"/>
              <w:rPr>
                <w:sz w:val="20"/>
                <w:szCs w:val="20"/>
                <w:color w:val="auto"/>
              </w:rPr>
            </w:pPr>
            <w:r>
              <w:rPr>
                <w:rFonts w:ascii="Arial" w:cs="Arial" w:eastAsia="Arial" w:hAnsi="Arial"/>
                <w:sz w:val="14"/>
                <w:szCs w:val="14"/>
                <w:b w:val="1"/>
                <w:bCs w:val="1"/>
                <w:color w:val="auto"/>
              </w:rPr>
              <w:t>Name and Address of Beneficial Owner</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Beneficial</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560" w:type="dxa"/>
            <w:vAlign w:val="bottom"/>
            <w:gridSpan w:val="2"/>
            <w:vMerge w:val="continue"/>
          </w:tcPr>
          <w:p>
            <w:pPr>
              <w:spacing w:after="0"/>
              <w:rPr>
                <w:sz w:val="14"/>
                <w:szCs w:val="14"/>
                <w:color w:val="auto"/>
              </w:rPr>
            </w:pPr>
          </w:p>
        </w:tc>
        <w:tc>
          <w:tcPr>
            <w:tcW w:w="7000" w:type="dxa"/>
            <w:vAlign w:val="bottom"/>
            <w:gridSpan w:val="2"/>
            <w:vMerge w:val="continue"/>
          </w:tcPr>
          <w:p>
            <w:pPr>
              <w:spacing w:after="0"/>
              <w:rPr>
                <w:sz w:val="14"/>
                <w:szCs w:val="14"/>
                <w:color w:val="auto"/>
              </w:rPr>
            </w:pPr>
          </w:p>
        </w:tc>
        <w:tc>
          <w:tcPr>
            <w:tcW w:w="14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(1)</w:t>
            </w:r>
          </w:p>
        </w:tc>
        <w:tc>
          <w:tcPr>
            <w:tcW w:w="10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Class</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6"/>
        </w:trPr>
        <w:tc>
          <w:tcPr>
            <w:tcW w:w="8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More than 5% stockholders:</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Common Stock</w:t>
            </w:r>
          </w:p>
        </w:tc>
        <w:tc>
          <w:tcPr>
            <w:tcW w:w="7000" w:type="dxa"/>
            <w:vAlign w:val="bottom"/>
            <w:gridSpan w:val="2"/>
          </w:tcPr>
          <w:p>
            <w:pPr>
              <w:spacing w:after="0" w:line="201" w:lineRule="exact"/>
              <w:rPr>
                <w:sz w:val="20"/>
                <w:szCs w:val="20"/>
                <w:color w:val="auto"/>
              </w:rPr>
            </w:pPr>
            <w:r>
              <w:rPr>
                <w:rFonts w:ascii="Arial" w:cs="Arial" w:eastAsia="Arial" w:hAnsi="Arial"/>
                <w:sz w:val="18"/>
                <w:szCs w:val="18"/>
                <w:color w:val="auto"/>
              </w:rPr>
              <w:t>Redmile Group, LLC</w:t>
            </w: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One Letterman Drive, Bldg. D, Ste D3-300</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San Francisco, CA 94129.</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2,001,787</w:t>
            </w:r>
            <w:r>
              <w:rPr>
                <w:rFonts w:ascii="Arial" w:cs="Arial" w:eastAsia="Arial" w:hAnsi="Arial"/>
                <w:sz w:val="15"/>
                <w:szCs w:val="15"/>
                <w:color w:val="auto"/>
                <w:w w:val="99"/>
              </w:rPr>
              <w:t>(3)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2"/>
        </w:trPr>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w:t>
            </w:r>
          </w:p>
        </w:tc>
        <w:tc>
          <w:tcPr>
            <w:tcW w:w="7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Vanguard Group</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 Box 2600</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V26 Valley Forge, PA 19482</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1,119,918</w:t>
            </w:r>
            <w:r>
              <w:rPr>
                <w:rFonts w:ascii="Arial" w:cs="Arial" w:eastAsia="Arial" w:hAnsi="Arial"/>
                <w:sz w:val="15"/>
                <w:szCs w:val="15"/>
                <w:color w:val="auto"/>
                <w:w w:val="99"/>
              </w:rPr>
              <w:t>(4)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2"/>
        </w:trPr>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Common Stock</w:t>
            </w:r>
          </w:p>
        </w:tc>
        <w:tc>
          <w:tcPr>
            <w:tcW w:w="7000" w:type="dxa"/>
            <w:vAlign w:val="bottom"/>
            <w:gridSpan w:val="2"/>
          </w:tcPr>
          <w:p>
            <w:pPr>
              <w:spacing w:after="0" w:line="201" w:lineRule="exact"/>
              <w:rPr>
                <w:sz w:val="20"/>
                <w:szCs w:val="20"/>
                <w:color w:val="auto"/>
              </w:rPr>
            </w:pPr>
            <w:r>
              <w:rPr>
                <w:rFonts w:ascii="Arial" w:cs="Arial" w:eastAsia="Arial" w:hAnsi="Arial"/>
                <w:sz w:val="18"/>
                <w:szCs w:val="18"/>
                <w:color w:val="auto"/>
              </w:rPr>
              <w:t>Blackcrane Capital, LLC</w:t>
            </w: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500 108th Avenue NE, STE 960</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Bellevue, WA 98004</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1,261,938</w:t>
            </w:r>
            <w:r>
              <w:rPr>
                <w:rFonts w:ascii="Arial" w:cs="Arial" w:eastAsia="Arial" w:hAnsi="Arial"/>
                <w:sz w:val="15"/>
                <w:szCs w:val="15"/>
                <w:color w:val="auto"/>
                <w:w w:val="99"/>
              </w:rPr>
              <w:t>(5)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tcPr>
          <w:p>
            <w:pPr>
              <w:spacing w:after="0"/>
              <w:rPr>
                <w:sz w:val="20"/>
                <w:szCs w:val="20"/>
                <w:color w:val="auto"/>
              </w:rPr>
            </w:pPr>
            <w:r>
              <w:rPr>
                <w:rFonts w:ascii="Arial" w:cs="Arial" w:eastAsia="Arial" w:hAnsi="Arial"/>
                <w:sz w:val="18"/>
                <w:szCs w:val="18"/>
                <w:color w:val="auto"/>
              </w:rPr>
              <w:t>Lou Panaccio 28159 Avenue Stanford Suite 220 Valencia, CA 91355</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20,064</w:t>
            </w:r>
            <w:r>
              <w:rPr>
                <w:rFonts w:ascii="Arial" w:cs="Arial" w:eastAsia="Arial" w:hAnsi="Arial"/>
                <w:sz w:val="15"/>
                <w:szCs w:val="15"/>
                <w:color w:val="auto"/>
              </w:rPr>
              <w:t>(6)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Michael Perry 28159 Avenue Stanford Suite 220 Valencia, CA 91355</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473,239</w:t>
            </w:r>
            <w:r>
              <w:rPr>
                <w:rFonts w:ascii="Arial" w:cs="Arial" w:eastAsia="Arial" w:hAnsi="Arial"/>
                <w:sz w:val="15"/>
                <w:szCs w:val="15"/>
                <w:color w:val="auto"/>
              </w:rPr>
              <w:t>(7)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tcPr>
          <w:p>
            <w:pPr>
              <w:spacing w:after="0"/>
              <w:rPr>
                <w:sz w:val="20"/>
                <w:szCs w:val="20"/>
                <w:color w:val="auto"/>
              </w:rPr>
            </w:pPr>
            <w:r>
              <w:rPr>
                <w:rFonts w:ascii="Arial" w:cs="Arial" w:eastAsia="Arial" w:hAnsi="Arial"/>
                <w:sz w:val="18"/>
                <w:szCs w:val="18"/>
                <w:color w:val="auto"/>
              </w:rPr>
              <w:t>Erin Liberto 28159 Avenue Stanford Suite 220 Valencia, CA 91355</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43,200</w:t>
            </w:r>
            <w:r>
              <w:rPr>
                <w:rFonts w:ascii="Arial" w:cs="Arial" w:eastAsia="Arial" w:hAnsi="Arial"/>
                <w:sz w:val="15"/>
                <w:szCs w:val="15"/>
                <w:color w:val="auto"/>
              </w:rPr>
              <w:t>(8)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McIntyre 28159 Avenue Stanford Suite 220 Valencia, CA 91355</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46,393</w:t>
            </w:r>
            <w:r>
              <w:rPr>
                <w:rFonts w:ascii="Arial" w:cs="Arial" w:eastAsia="Arial" w:hAnsi="Arial"/>
                <w:sz w:val="15"/>
                <w:szCs w:val="15"/>
                <w:color w:val="auto"/>
              </w:rPr>
              <w:t>(9)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tcPr>
          <w:p>
            <w:pPr>
              <w:spacing w:after="0"/>
              <w:rPr>
                <w:sz w:val="20"/>
                <w:szCs w:val="20"/>
                <w:color w:val="auto"/>
              </w:rPr>
            </w:pPr>
            <w:r>
              <w:rPr>
                <w:rFonts w:ascii="Arial" w:cs="Arial" w:eastAsia="Arial" w:hAnsi="Arial"/>
                <w:sz w:val="18"/>
                <w:szCs w:val="18"/>
                <w:color w:val="auto"/>
              </w:rPr>
              <w:t>Andrew Quick 28159 Avenue Stanford Suite 220 Valencia, CA 91355</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53,516</w:t>
            </w:r>
            <w:r>
              <w:rPr>
                <w:rFonts w:ascii="Arial" w:cs="Arial" w:eastAsia="Arial" w:hAnsi="Arial"/>
                <w:sz w:val="15"/>
                <w:szCs w:val="15"/>
                <w:color w:val="auto"/>
              </w:rPr>
              <w:t>(10)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Donna Shiroma 28159 Avenue Stanford Suite 220 Valencia, CA 91355</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26,900</w:t>
            </w:r>
            <w:r>
              <w:rPr>
                <w:rFonts w:ascii="Arial" w:cs="Arial" w:eastAsia="Arial" w:hAnsi="Arial"/>
                <w:sz w:val="15"/>
                <w:szCs w:val="15"/>
                <w:color w:val="auto"/>
              </w:rPr>
              <w:t>(11)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tcPr>
          <w:p>
            <w:pPr>
              <w:spacing w:after="0"/>
              <w:rPr>
                <w:sz w:val="20"/>
                <w:szCs w:val="20"/>
                <w:color w:val="auto"/>
              </w:rPr>
            </w:pPr>
            <w:r>
              <w:rPr>
                <w:rFonts w:ascii="Arial" w:cs="Arial" w:eastAsia="Arial" w:hAnsi="Arial"/>
                <w:sz w:val="18"/>
                <w:szCs w:val="18"/>
                <w:color w:val="auto"/>
              </w:rPr>
              <w:t>Jeremy Curnock Cook 28159 Avenue Stanford Suite 220 Valencia, CA 91355</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 *</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Drapeau 28159 Avenue Stanford Suite 220 Valencia, CA 91355</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r>
              <w:rPr>
                <w:rFonts w:ascii="Arial" w:cs="Arial" w:eastAsia="Arial" w:hAnsi="Arial"/>
                <w:sz w:val="15"/>
                <w:szCs w:val="15"/>
                <w:color w:val="auto"/>
              </w:rPr>
              <w:t>(12)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tcPr>
          <w:p>
            <w:pPr>
              <w:spacing w:after="0"/>
              <w:rPr>
                <w:sz w:val="20"/>
                <w:szCs w:val="20"/>
                <w:color w:val="auto"/>
              </w:rPr>
            </w:pPr>
            <w:r>
              <w:rPr>
                <w:rFonts w:ascii="Arial" w:cs="Arial" w:eastAsia="Arial" w:hAnsi="Arial"/>
                <w:sz w:val="18"/>
                <w:szCs w:val="18"/>
                <w:color w:val="auto"/>
              </w:rPr>
              <w:t>Damien McDonald 28159 Avenue Stanford Suite 220 Valencia, CA 91355</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16,310</w:t>
            </w:r>
            <w:r>
              <w:rPr>
                <w:rFonts w:ascii="Arial" w:cs="Arial" w:eastAsia="Arial" w:hAnsi="Arial"/>
                <w:sz w:val="15"/>
                <w:szCs w:val="15"/>
                <w:color w:val="auto"/>
              </w:rPr>
              <w:t>(13)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Professor Suzanne Crowe 28159 Avenue Stanford Suite 220 Valencia, CA 91355</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3,046</w:t>
            </w:r>
            <w:r>
              <w:rPr>
                <w:rFonts w:ascii="Arial" w:cs="Arial" w:eastAsia="Arial" w:hAnsi="Arial"/>
                <w:sz w:val="15"/>
                <w:szCs w:val="15"/>
                <w:color w:val="auto"/>
              </w:rPr>
              <w:t>(14)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 (10 persons)</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683,007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common stock.</w:t>
      </w:r>
    </w:p>
    <w:p>
      <w:pPr>
        <w:spacing w:after="0" w:line="23" w:lineRule="exact"/>
        <w:rPr>
          <w:sz w:val="20"/>
          <w:szCs w:val="20"/>
          <w:color w:val="auto"/>
        </w:rPr>
      </w:pPr>
    </w:p>
    <w:p>
      <w:pPr>
        <w:ind w:left="540" w:right="280" w:hanging="424"/>
        <w:spacing w:after="0" w:line="28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Except as otherwise indicated, we believe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1"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Percentage of ownership is based on 21,467,911 shares of our common stock issued and outstanding as of August 10, 2020. Common stock subject to options or warrants exercisable within 60 days of August 20, 2020 are deemed outstanding for purposes of computing the percentage ownership of the person holding such option or warrants, but are not deemed outstanding for purposes of computing the percentage ownership of any other person.</w:t>
      </w:r>
    </w:p>
    <w:p>
      <w:pPr>
        <w:spacing w:after="0" w:line="1" w:lineRule="exact"/>
        <w:rPr>
          <w:rFonts w:ascii="Arial" w:cs="Arial" w:eastAsia="Arial" w:hAnsi="Arial"/>
          <w:sz w:val="18"/>
          <w:szCs w:val="18"/>
          <w:color w:val="auto"/>
        </w:rPr>
      </w:pPr>
    </w:p>
    <w:p>
      <w:pPr>
        <w:ind w:left="540" w:right="120" w:hanging="424"/>
        <w:spacing w:after="0" w:line="255"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554,939 CHESS Depositary Interests, CDIs, held by Redmile Offshore II Master Fund Ltd., 63,800 CDIs held by Redmile Strategic Master Fund LP. Redmile Group, LLC is the investment manager/adviser of Redmile Offshore II Master Fund Ltd. and Redmile Strategic Master Fund LP. 503,671 CDIs held by Redmile Capital Offshore Master Fund Ltd, 210,329</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68" w:lineRule="auto"/>
        <w:rPr>
          <w:sz w:val="20"/>
          <w:szCs w:val="20"/>
          <w:color w:val="auto"/>
        </w:rPr>
      </w:pPr>
      <w:r>
        <w:rPr>
          <w:rFonts w:ascii="Arial" w:cs="Arial" w:eastAsia="Arial" w:hAnsi="Arial"/>
          <w:sz w:val="17"/>
          <w:szCs w:val="17"/>
          <w:color w:val="auto"/>
        </w:rPr>
        <w:t>CDIs held by Redmile Capital Fund LP, 63,063 CDIs held by a segregated portfolio of LMA SPC, and 31,785 CDIs held by Remile Capital Offshre Fund (ERISA), Ltd. Based solely on disclosures provided by Redmile Group, LLC to the ASX on January 28, 2020, these CDIs are owned by certain investment limited partnerships, pooled investment vehicle(s), separately managed accounts, etc., for which Redmile Group, LLC serves as the general partner and/or investment manager. Jeremy Green serves as the managing member of Redmile Group, LLC, and as such has a deemed relevant interest in the shares under section 608(3) of the Corporations Act.</w:t>
      </w:r>
    </w:p>
    <w:p>
      <w:pPr>
        <w:spacing w:after="0" w:line="3" w:lineRule="exact"/>
        <w:rPr>
          <w:sz w:val="20"/>
          <w:szCs w:val="20"/>
          <w:color w:val="auto"/>
        </w:rPr>
      </w:pPr>
    </w:p>
    <w:p>
      <w:pPr>
        <w:ind w:left="540" w:right="140" w:hanging="424"/>
        <w:spacing w:after="0" w:line="28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8,956 CDIs held by Brown Brothers Harriman, 75,864 shares of common stock held by BNY Mellon, 622,960 shares of common stock held by JP Morgan Chase Bank, N.A., 142,736 shares of common stock held by State Street Bank and Trust Company, and 269,400 shares of common stock held by various other. Vanguard Group is the manager of various Mutual funds and accounts and that capacity has the power to dispose of the shares. The other members of Vanguard Group have a relevant interest under section 608(3) of the Corporations Act.</w:t>
      </w:r>
    </w:p>
    <w:p>
      <w:pPr>
        <w:spacing w:after="0" w:line="2" w:lineRule="exact"/>
        <w:rPr>
          <w:rFonts w:ascii="Arial" w:cs="Arial" w:eastAsia="Arial" w:hAnsi="Arial"/>
          <w:sz w:val="16"/>
          <w:szCs w:val="16"/>
          <w:color w:val="auto"/>
        </w:rPr>
      </w:pPr>
    </w:p>
    <w:p>
      <w:pPr>
        <w:ind w:left="540" w:right="100" w:hanging="424"/>
        <w:spacing w:after="0" w:line="265"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Consists of 824,824 common shares, and 437,114 CDIs. 3,888 common shares held by Blackcrane Overseas Alpha Fund, LLC; 1,410 common shares and 59 CDIs held by Blackcrane Partners Fund, LLC; 805,565 ordinary shares and 434,248 CDIs held by Blackcrane Capital LLC; 13,964 ordinary shares held by Daniel Kim. Mr. Kim has a relevant interest in the securities held by Blackcrane Capital, LLC and Blackcrane Overseas Alpha Fund as he holds voting power of more than 20% in Blackcrane Capital, LLC.</w:t>
      </w:r>
    </w:p>
    <w:p>
      <w:pPr>
        <w:ind w:left="540" w:right="42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70,460 CDIs, which translates into 14,092 shares of the common stock. . Includes 29,860 CDIs which translates into 5,972 shares of common stock. These CDI’s are held by The Panaccio Superannuation Fund.</w:t>
      </w:r>
    </w:p>
    <w:p>
      <w:pPr>
        <w:ind w:left="540" w:right="8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of 1,266,125 CDI’s which translates into 348,239 shares of common stock. In addition amount includes stock options to acquire 125,000 shares of our common stock exercisable within 60 days of August 20, 2020.</w:t>
      </w: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stock options to acquire 43,200 shares of our common stock exercisable within 60 days of August 20, 2020.</w:t>
      </w:r>
    </w:p>
    <w:p>
      <w:pPr>
        <w:spacing w:after="0" w:line="9"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4,966 CDIs which translates into 1,393 shares of our common stock. In addition includes stock options to acquire 45,000 shares of our common stock exercisable within 60 days of August 20, 2020.</w:t>
      </w: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stock options to acquire 53,516 shares of our common stock exercisable within 60 days of August 20,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stock options to acquire 26,900 shares of our common stock exercisable within 60 days of August 20,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of 1,695 CDIs which translates into 339 shares of our common stock.</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of 81,550 CDIs which translates into 16,310 shares of our common stock.</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of 15,230 CDIs which translates into 3,046 shares of our common stock.</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out equity compensation plan information as at June 30, 2020.</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securities to</w:t>
            </w:r>
          </w:p>
        </w:tc>
        <w:tc>
          <w:tcPr>
            <w:tcW w:w="2400" w:type="dxa"/>
            <w:vAlign w:val="bottom"/>
            <w:gridSpan w:val="3"/>
            <w:vMerge w:val="restart"/>
          </w:tcPr>
          <w:p>
            <w:pPr>
              <w:jc w:val="center"/>
              <w:ind w:left="656"/>
              <w:spacing w:after="0"/>
              <w:rPr>
                <w:sz w:val="20"/>
                <w:szCs w:val="20"/>
                <w:color w:val="auto"/>
              </w:rPr>
            </w:pPr>
            <w:r>
              <w:rPr>
                <w:rFonts w:ascii="Arial" w:cs="Arial" w:eastAsia="Arial" w:hAnsi="Arial"/>
                <w:sz w:val="14"/>
                <w:szCs w:val="14"/>
                <w:b w:val="1"/>
                <w:bCs w:val="1"/>
                <w:color w:val="auto"/>
                <w:w w:val="89"/>
              </w:rPr>
              <w:t>Weighted-average exercise</w:t>
            </w:r>
          </w:p>
        </w:tc>
        <w:tc>
          <w:tcPr>
            <w:tcW w:w="2580" w:type="dxa"/>
            <w:vAlign w:val="bottom"/>
            <w:gridSpan w:val="3"/>
          </w:tcPr>
          <w:p>
            <w:pPr>
              <w:jc w:val="center"/>
              <w:ind w:left="616"/>
              <w:spacing w:after="0" w:line="149" w:lineRule="exact"/>
              <w:rPr>
                <w:sz w:val="20"/>
                <w:szCs w:val="20"/>
                <w:color w:val="auto"/>
              </w:rPr>
            </w:pPr>
            <w:r>
              <w:rPr>
                <w:rFonts w:ascii="Arial" w:cs="Arial" w:eastAsia="Arial" w:hAnsi="Arial"/>
                <w:sz w:val="14"/>
                <w:szCs w:val="14"/>
                <w:b w:val="1"/>
                <w:bCs w:val="1"/>
                <w:color w:val="auto"/>
                <w:w w:val="91"/>
              </w:rPr>
              <w:t>future issuance 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price of outstanding</w:t>
            </w:r>
          </w:p>
        </w:tc>
        <w:tc>
          <w:tcPr>
            <w:tcW w:w="760" w:type="dxa"/>
            <w:vAlign w:val="bottom"/>
          </w:tcPr>
          <w:p>
            <w:pPr>
              <w:spacing w:after="0"/>
              <w:rPr>
                <w:sz w:val="12"/>
                <w:szCs w:val="12"/>
                <w:color w:val="auto"/>
              </w:rPr>
            </w:pPr>
          </w:p>
        </w:tc>
        <w:tc>
          <w:tcPr>
            <w:tcW w:w="1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15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760" w:type="dxa"/>
            <w:vAlign w:val="bottom"/>
          </w:tcPr>
          <w:p>
            <w:pPr>
              <w:spacing w:after="0"/>
              <w:rPr>
                <w:sz w:val="12"/>
                <w:szCs w:val="12"/>
                <w:color w:val="auto"/>
              </w:rPr>
            </w:pPr>
          </w:p>
        </w:tc>
        <w:tc>
          <w:tcPr>
            <w:tcW w:w="1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reflected in the second</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jc w:val="right"/>
              <w:ind w:right="44"/>
              <w:spacing w:after="0" w:line="158" w:lineRule="exact"/>
              <w:rPr>
                <w:sz w:val="20"/>
                <w:szCs w:val="20"/>
                <w:color w:val="auto"/>
              </w:rPr>
            </w:pPr>
            <w:r>
              <w:rPr>
                <w:rFonts w:ascii="Arial" w:cs="Arial" w:eastAsia="Arial" w:hAnsi="Arial"/>
                <w:sz w:val="14"/>
                <w:szCs w:val="14"/>
                <w:b w:val="1"/>
                <w:bCs w:val="1"/>
                <w:color w:val="auto"/>
              </w:rPr>
              <w:t>warrants and rights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92"/>
              </w:rPr>
              <w:t>rights</w:t>
            </w:r>
          </w:p>
        </w:tc>
        <w:tc>
          <w:tcPr>
            <w:tcW w:w="760" w:type="dxa"/>
            <w:vAlign w:val="bottom"/>
          </w:tcPr>
          <w:p>
            <w:pPr>
              <w:spacing w:after="0"/>
              <w:rPr>
                <w:sz w:val="15"/>
                <w:szCs w:val="15"/>
                <w:color w:val="auto"/>
              </w:rPr>
            </w:pPr>
          </w:p>
        </w:tc>
        <w:tc>
          <w:tcPr>
            <w:tcW w:w="18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column) (1)</w:t>
            </w: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w:t>
            </w:r>
          </w:p>
        </w:tc>
        <w:tc>
          <w:tcPr>
            <w:tcW w:w="4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approved by security</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 (2)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1,260,524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not approved by security</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420" w:type="dxa"/>
            <w:vAlign w:val="bottom"/>
          </w:tcPr>
          <w:p>
            <w:pPr>
              <w:spacing w:after="0"/>
              <w:rPr>
                <w:sz w:val="20"/>
                <w:szCs w:val="20"/>
                <w:color w:val="auto"/>
              </w:rPr>
            </w:pPr>
          </w:p>
        </w:tc>
        <w:tc>
          <w:tcPr>
            <w:tcW w:w="14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8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1,260,524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closing of the Redomicile Transaction, the 2016 Plans were terminated with respect to future grants and accordingly, there are no more shares available to be issued under the 2016 Plans. At the 2020 annual meeting of stockholders that the Company intends to hold in late September or early October, the Company intends to seek stockholder approval of a new employee stock option plan.</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2016 Plans were previously approved and adopted by the shareholders of Avita Medical Limited, our predecessor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Australian Disclosure Requirements</w:t>
      </w:r>
    </w:p>
    <w:p>
      <w:pPr>
        <w:spacing w:after="0" w:line="11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In addition to the Company’s primary listing on the NASDAQ Global Market, the Company’s shares of common stock are also quoted in the form of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on the Australian Securities Exchange (“</w:t>
      </w:r>
      <w:r>
        <w:rPr>
          <w:rFonts w:ascii="Arial" w:cs="Arial" w:eastAsia="Arial" w:hAnsi="Arial"/>
          <w:sz w:val="17"/>
          <w:szCs w:val="17"/>
          <w:b w:val="1"/>
          <w:bCs w:val="1"/>
          <w:color w:val="auto"/>
        </w:rPr>
        <w:t>ASX”</w:t>
      </w:r>
      <w:r>
        <w:rPr>
          <w:rFonts w:ascii="Arial" w:cs="Arial" w:eastAsia="Arial" w:hAnsi="Arial"/>
          <w:sz w:val="17"/>
          <w:szCs w:val="17"/>
          <w:color w:val="auto"/>
        </w:rPr>
        <w:t>) and trade under ticker symbol “AVH”. As part of our ASX listing, we are required to comply with the various disclosure requirements as set out under the ASX Listing Rules. The following information is intended to comply with the ASX Listing Rules (where that information has not been provided elsewhere in this Annual Report).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Jurisdiction of incorporation and restrictions on the acquisition of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incorporated in the State of Delaware in the United States of America.</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As a foreign company registered in Australia, the Company is not subject to Chapters 6, 6A, 6B and 6C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dealing with the acquisition of its shares (including substantial holdings and takeovers).</w:t>
      </w:r>
    </w:p>
    <w:p>
      <w:pPr>
        <w:spacing w:after="0" w:line="170"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Under the Delaware General Corporation Law, the Company’s shares are generally freely transferable, subject to restrictions imposed by United States federal or state securities laws, by the Company’s certificate of incorporation or by-laws or by an agreement signed with the holders of shares on issue. The Company’s certificate of incorporation and by-laws do not impose any specific restrictions on the transfer of its shares. Repurchases of the Company’s securities are governed by the safe harbor provisions set forth in Rule 10b-18 of the Securities Exchange Act or 1934.</w:t>
      </w:r>
    </w:p>
    <w:p>
      <w:pPr>
        <w:spacing w:after="0" w:line="15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However, provisions of the Delaware General Corporation Law,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Company’s board may consider inadequate and encourage persons seeking to acquire control of the Company to first negotiate with the board.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Australian Corporate Governance Statement</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board of directors and employees of the Company are committed to developing, promoting and maintaining a strong culture of good corporate governance and ethical conduct.</w:t>
      </w:r>
    </w:p>
    <w:p>
      <w:pPr>
        <w:spacing w:after="0" w:line="170"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board of directors confirm that the Company’s corporate governance framework is generally consistent with the ASX’s Corporate Governance Council’s “Corporate Governance Principles and Recommendations” (4th Edition) (“</w:t>
      </w:r>
      <w:r>
        <w:rPr>
          <w:rFonts w:ascii="Arial" w:cs="Arial" w:eastAsia="Arial" w:hAnsi="Arial"/>
          <w:sz w:val="17"/>
          <w:szCs w:val="17"/>
          <w:b w:val="1"/>
          <w:bCs w:val="1"/>
          <w:color w:val="auto"/>
        </w:rPr>
        <w:t>ASX Governance Recommendations</w:t>
      </w:r>
      <w:r>
        <w:rPr>
          <w:rFonts w:ascii="Arial" w:cs="Arial" w:eastAsia="Arial" w:hAnsi="Arial"/>
          <w:sz w:val="17"/>
          <w:szCs w:val="17"/>
          <w:color w:val="auto"/>
        </w:rPr>
        <w:t>”). The Company’s Corporate Governance Statement is available for viewing at https://ir.avitamedical.com/corporate-governance. The Corporate Governance Statement sets out the ASX Governance Recommendations and the Company’s response as to how and whether it follows those recommendations. Where the Company’s practices depart from a recommendation, the board of directors have disclosed in the Corporate Governance Statement the departure along with reasons for adoption of its own practices.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Corporate Governance Statement is accurate and up to date as at August 24, 2020 and has been approved by the board of directors.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Issued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at August 14, 2020, the Company’s issued share capital was as follows:</w:t>
      </w:r>
    </w:p>
    <w:p>
      <w:pPr>
        <w:spacing w:after="0" w:line="131"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21,468,494 shares of common stock, of which: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8,043,445 shares of common stock were held by 13,215 stockholders and quoted on NASDAQ; and</w:t>
      </w:r>
    </w:p>
    <w:p>
      <w:pPr>
        <w:spacing w:after="0" w:line="126" w:lineRule="exact"/>
        <w:rPr>
          <w:rFonts w:ascii="Arial" w:cs="Arial" w:eastAsia="Arial" w:hAnsi="Arial"/>
          <w:sz w:val="18"/>
          <w:szCs w:val="18"/>
          <w:color w:val="auto"/>
        </w:rPr>
      </w:pPr>
    </w:p>
    <w:p>
      <w:pPr>
        <w:ind w:left="1080" w:right="440" w:hanging="424"/>
        <w:spacing w:after="0" w:line="282"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13,430,049 shares of common stock were held by CHESS Depositary Nominees Pty Limited (“</w:t>
      </w:r>
      <w:r>
        <w:rPr>
          <w:rFonts w:ascii="Arial" w:cs="Arial" w:eastAsia="Arial" w:hAnsi="Arial"/>
          <w:sz w:val="18"/>
          <w:szCs w:val="18"/>
          <w:b w:val="1"/>
          <w:bCs w:val="1"/>
          <w:color w:val="auto"/>
        </w:rPr>
        <w:t>Authorised Nominee</w:t>
      </w:r>
      <w:r>
        <w:rPr>
          <w:rFonts w:ascii="Arial" w:cs="Arial" w:eastAsia="Arial" w:hAnsi="Arial"/>
          <w:sz w:val="18"/>
          <w:szCs w:val="18"/>
          <w:color w:val="auto"/>
        </w:rPr>
        <w:t>”) (on behalf of 22,731 CDI holders) underpinning 67,150,245 CDIs quoted on ASX.</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In addition, the following unquoted securities in AVITA Medical are on issue, which entitle the holders of those securities, upon vesting of their conversion rights, to be issued shares of our common stock in the Company rather than shares in AVITA Medical on a 100:1 consolidation ratio in accordance with, and pursuant to, their terms of issue and the deed poll entered into by the Company on or about May 6, 2020 in favor of, amongst others, the holders of those securities:</w:t>
      </w:r>
    </w:p>
    <w:p>
      <w:pPr>
        <w:spacing w:after="0" w:line="92" w:lineRule="exact"/>
        <w:rPr>
          <w:sz w:val="20"/>
          <w:szCs w:val="20"/>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1,259,662 unquoted options in the Company held by 99 option holders. Specifically: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150,000 options are on issue to Dr Michael Perry, CEO;</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1,101,900 options were granted (and are on issue) to 96 employees of the AVITA Group under AVITA Medical’s Employee Incentive Option Plan;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7,761 options are on issue to 3 warrant holders.</w:t>
      </w:r>
    </w:p>
    <w:p>
      <w:pPr>
        <w:spacing w:after="0" w:line="126" w:lineRule="exact"/>
        <w:rPr>
          <w:rFonts w:ascii="Arial" w:cs="Arial" w:eastAsia="Arial" w:hAnsi="Arial"/>
          <w:sz w:val="18"/>
          <w:szCs w:val="18"/>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339,359 unquoted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held by:</w:t>
      </w:r>
    </w:p>
    <w:p>
      <w:pPr>
        <w:spacing w:after="0" w:line="134" w:lineRule="exact"/>
        <w:rPr>
          <w:rFonts w:ascii="Arial" w:cs="Arial" w:eastAsia="Arial" w:hAnsi="Arial"/>
          <w:sz w:val="18"/>
          <w:szCs w:val="18"/>
          <w:color w:val="auto"/>
        </w:rPr>
      </w:pPr>
    </w:p>
    <w:p>
      <w:pPr>
        <w:ind w:left="1080" w:hanging="424"/>
        <w:spacing w:after="0"/>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Dr Michael Perry, CEO (294,359 RSUs);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David McIntyre, CFO (45,000 RSUs).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by-laws provide that each stockholder has one vote for every share of common stock entitled to vote held of record by such stockholder.</w:t>
      </w:r>
    </w:p>
    <w:p>
      <w:pPr>
        <w:spacing w:after="0" w:line="248"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If holders of CDIs wish to attend and vote at the Company’s general meetings, they will be able to do so. Under the ASX Listing Rules and ASX Settlement Operating Rules, the Company must allow CDI holders to attend any meeting of the holders of the underlying securities, unless relevant United States laws at the time of the meeting prevent CDI holders from attending those meetings.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vote as such meetings, CDI holders have the following options:</w:t>
      </w:r>
    </w:p>
    <w:p>
      <w:pPr>
        <w:spacing w:after="0" w:line="131" w:lineRule="exact"/>
        <w:rPr>
          <w:sz w:val="20"/>
          <w:szCs w:val="20"/>
          <w:color w:val="auto"/>
        </w:rPr>
      </w:pPr>
    </w:p>
    <w:p>
      <w:pPr>
        <w:ind w:left="540" w:right="200" w:hanging="316"/>
        <w:spacing w:after="0" w:line="279"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instruct the Authorised Nominee (as the legal owner of the shares of common stock) to vote the common stock represented by their CDIs in a particular manner. A voting instruction form will be sent to CDI holders with the notice of meeting or proxy statement for the meeting and that instruction form must be completed and returned to the Company’s registry prior to the record date fixed for the relevant meeting (“</w:t>
      </w:r>
      <w:r>
        <w:rPr>
          <w:rFonts w:ascii="Arial" w:cs="Arial" w:eastAsia="Arial" w:hAnsi="Arial"/>
          <w:sz w:val="17"/>
          <w:szCs w:val="17"/>
          <w:b w:val="1"/>
          <w:bCs w:val="1"/>
          <w:color w:val="auto"/>
        </w:rPr>
        <w:t>CDI Voting</w:t>
      </w:r>
      <w:r>
        <w:rPr>
          <w:rFonts w:ascii="Arial" w:cs="Arial" w:eastAsia="Arial" w:hAnsi="Arial"/>
          <w:sz w:val="17"/>
          <w:szCs w:val="17"/>
          <w:color w:val="auto"/>
        </w:rPr>
        <w:t xml:space="preserve"> </w:t>
      </w:r>
      <w:r>
        <w:rPr>
          <w:rFonts w:ascii="Arial" w:cs="Arial" w:eastAsia="Arial" w:hAnsi="Arial"/>
          <w:sz w:val="17"/>
          <w:szCs w:val="17"/>
          <w:b w:val="1"/>
          <w:bCs w:val="1"/>
          <w:color w:val="auto"/>
        </w:rPr>
        <w:t>Instruction Receipt Time</w:t>
      </w:r>
      <w:r>
        <w:rPr>
          <w:rFonts w:ascii="Arial" w:cs="Arial" w:eastAsia="Arial" w:hAnsi="Arial"/>
          <w:sz w:val="17"/>
          <w:szCs w:val="17"/>
          <w:color w:val="auto"/>
        </w:rPr>
        <w:t>”), which is notified to the CDI holder in the voting instructions included in the notice of meeting; or</w:t>
      </w:r>
    </w:p>
    <w:p>
      <w:pPr>
        <w:spacing w:after="0" w:line="76" w:lineRule="exact"/>
        <w:rPr>
          <w:rFonts w:ascii="Arial" w:cs="Arial" w:eastAsia="Arial" w:hAnsi="Arial"/>
          <w:sz w:val="17"/>
          <w:szCs w:val="17"/>
          <w:color w:val="auto"/>
        </w:rPr>
      </w:pPr>
    </w:p>
    <w:p>
      <w:pPr>
        <w:jc w:val="both"/>
        <w:ind w:left="540" w:right="240" w:hanging="316"/>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 the Company that they wish to nominate themselves or a third party to be appointed as the Authorised Nominee’s proxy with respect to their common stock underlying their CDIs for the purposes of attending and voting at the meeting. The instruction form must be completed and returned to the Company’s registry prior to the CDI Voting Instruction Receipt Time.</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Alternatively, a CDI holder can convert their CDIs into a holding of common stock and vote those shares of common stock at a meeting of stockholders. Such a conversion must be undertaken prior to the record date fixed by the Company’s board of directors for determining the entitlement of stockholders to attend and vote at the meeting. However, if the former CDI holder later wishes to sell their investment on the ASX, it would be necessary to convert those shares of common stock back to CDIs.</w:t>
      </w:r>
    </w:p>
    <w:p>
      <w:pPr>
        <w:spacing w:after="0" w:line="18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As CDI holders will not appear on the Company’s register as the legal holders of the underlying common stock, they will not be entitled to vote at a stockholder meeting unless one of the above steps is undertaken. As each CDI represents 1/5 of a share of common stock, if the CDI holder takes one of the steps noted above to allow it to vote at a stockholder meeting, the CDI holder will be entitled to one vote for every five CDIs it holds.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options, warrants and RSUs are not entitled to vote.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Substantial Shareholders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information required in relation to the substantial shareholders of the Company is included in this Annual Report at Item 12 of Part III.</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 of Common Stock and CDI Holders at August 14, 2020</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Below is a distribution schedule of the number of holders of CDIs, categorised by the size of their holdings, based on the Company’s registers as at August 14, 2020 (assuming all issued shares of common stock are held as CDIs).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4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color w:val="auto"/>
              </w:rPr>
              <w:t>CDIs</w:t>
            </w:r>
          </w:p>
        </w:tc>
      </w:tr>
      <w:tr>
        <w:trPr>
          <w:trHeight w:val="142"/>
        </w:trPr>
        <w:tc>
          <w:tcPr>
            <w:tcW w:w="4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w w:val="93"/>
              </w:rPr>
              <w:t>Number of Holders</w:t>
            </w:r>
          </w:p>
        </w:tc>
        <w:tc>
          <w:tcPr>
            <w:tcW w:w="5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Number of CDIs</w:t>
            </w:r>
          </w:p>
        </w:tc>
        <w:tc>
          <w:tcPr>
            <w:tcW w:w="40" w:type="dxa"/>
            <w:vAlign w:val="bottom"/>
          </w:tcPr>
          <w:p>
            <w:pPr>
              <w:spacing w:after="0"/>
              <w:rPr>
                <w:sz w:val="12"/>
                <w:szCs w:val="12"/>
                <w:color w:val="auto"/>
              </w:rPr>
            </w:pPr>
          </w:p>
        </w:tc>
      </w:tr>
      <w:tr>
        <w:trPr>
          <w:trHeight w:val="209"/>
        </w:trPr>
        <w:tc>
          <w:tcPr>
            <w:tcW w:w="5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1 - 1000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5,519,187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88"/>
              </w:rPr>
              <w:t>1,001</w:t>
            </w:r>
          </w:p>
        </w:tc>
        <w:tc>
          <w:tcPr>
            <w:tcW w:w="5220" w:type="dxa"/>
            <w:vAlign w:val="bottom"/>
          </w:tcPr>
          <w:p>
            <w:pPr>
              <w:ind w:left="20"/>
              <w:spacing w:after="0"/>
              <w:rPr>
                <w:sz w:val="20"/>
                <w:szCs w:val="20"/>
                <w:color w:val="auto"/>
              </w:rPr>
            </w:pPr>
            <w:r>
              <w:rPr>
                <w:rFonts w:ascii="Arial" w:cs="Arial" w:eastAsia="Arial" w:hAnsi="Arial"/>
                <w:sz w:val="18"/>
                <w:szCs w:val="18"/>
                <w:color w:val="auto"/>
              </w:rPr>
              <w:t>- 5,000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3,965</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8,984,196</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5,001</w:t>
            </w: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3,785,787</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10,001 - 100,000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10,662,775</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100,001 - and over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38,198,300</w:t>
            </w:r>
          </w:p>
        </w:tc>
      </w:tr>
      <w:tr>
        <w:trPr>
          <w:trHeight w:val="223"/>
        </w:trPr>
        <w:tc>
          <w:tcPr>
            <w:tcW w:w="4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22,731</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67,150,245</w:t>
            </w:r>
          </w:p>
        </w:tc>
        <w:tc>
          <w:tcPr>
            <w:tcW w:w="4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number of stockholders and/or CDI holders holding less than a marketable parcel of shares of common stock and/or CDIs (where a “marketable parcel” means a parcel of securities worth at least A$500, pursuant to the ASX Operating Rules) was ten based on the closing market price as of August 14,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is no current on-market buy-back of our securities.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Twenty Largest CDI Holders as at August 14, 2020</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Below is a statement of the 20 largest holders of CDIs, and the number and percentage of issued CDIs held by those holders, based on the Company’s registers as at August 14, 2020 (assuming all shares of common stock of the Company are held as CDIs, with 5 CDIs representing a beneficial ownership interest in one share of common stock in the Company).</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00"/>
          </w:cols>
          <w:pgMar w:left="320" w:top="459" w:right="6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rPr>
              <w:t>Rank</w:t>
            </w:r>
          </w:p>
        </w:tc>
        <w:tc>
          <w:tcPr>
            <w:tcW w:w="6020" w:type="dxa"/>
            <w:vAlign w:val="bottom"/>
          </w:tcPr>
          <w:p>
            <w:pPr>
              <w:ind w:left="18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jc w:val="right"/>
              <w:ind w:right="371"/>
              <w:spacing w:after="0"/>
              <w:rPr>
                <w:sz w:val="20"/>
                <w:szCs w:val="20"/>
                <w:color w:val="auto"/>
              </w:rPr>
            </w:pPr>
            <w:r>
              <w:rPr>
                <w:rFonts w:ascii="Arial" w:cs="Arial" w:eastAsia="Arial" w:hAnsi="Arial"/>
                <w:sz w:val="14"/>
                <w:szCs w:val="14"/>
                <w:b w:val="1"/>
                <w:bCs w:val="1"/>
                <w:color w:val="auto"/>
              </w:rPr>
              <w:t>Number of CDIs Held</w:t>
            </w:r>
          </w:p>
        </w:tc>
        <w:tc>
          <w:tcPr>
            <w:tcW w:w="2440" w:type="dxa"/>
            <w:vAlign w:val="bottom"/>
          </w:tcPr>
          <w:p>
            <w:pPr>
              <w:jc w:val="right"/>
              <w:ind w:right="431"/>
              <w:spacing w:after="0"/>
              <w:rPr>
                <w:sz w:val="20"/>
                <w:szCs w:val="20"/>
                <w:color w:val="auto"/>
              </w:rPr>
            </w:pPr>
            <w:r>
              <w:rPr>
                <w:rFonts w:ascii="Arial" w:cs="Arial" w:eastAsia="Arial" w:hAnsi="Arial"/>
                <w:sz w:val="14"/>
                <w:szCs w:val="14"/>
                <w:b w:val="1"/>
                <w:bCs w:val="1"/>
                <w:color w:val="auto"/>
              </w:rPr>
              <w:t>% of CDIs Outstanding</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CEDE &amp; CO</w:t>
            </w:r>
          </w:p>
        </w:tc>
        <w:tc>
          <w:tcPr>
            <w:tcW w:w="2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40,188,890</w:t>
            </w:r>
          </w:p>
        </w:tc>
        <w:tc>
          <w:tcPr>
            <w:tcW w:w="2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37.44%(1)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6020" w:type="dxa"/>
            <w:vAlign w:val="bottom"/>
          </w:tcPr>
          <w:p>
            <w:pPr>
              <w:ind w:left="180"/>
              <w:spacing w:after="0"/>
              <w:rPr>
                <w:sz w:val="20"/>
                <w:szCs w:val="20"/>
                <w:color w:val="auto"/>
              </w:rPr>
            </w:pPr>
            <w:r>
              <w:rPr>
                <w:rFonts w:ascii="Arial" w:cs="Arial" w:eastAsia="Arial" w:hAnsi="Arial"/>
                <w:sz w:val="18"/>
                <w:szCs w:val="18"/>
                <w:color w:val="auto"/>
              </w:rPr>
              <w:t>HSBC CUSTODY NOMINEES (AUSTRALIA) LIMITED</w:t>
            </w:r>
          </w:p>
        </w:tc>
        <w:tc>
          <w:tcPr>
            <w:tcW w:w="2060" w:type="dxa"/>
            <w:vAlign w:val="bottom"/>
          </w:tcPr>
          <w:p>
            <w:pPr>
              <w:jc w:val="right"/>
              <w:ind w:right="371"/>
              <w:spacing w:after="0"/>
              <w:rPr>
                <w:sz w:val="20"/>
                <w:szCs w:val="20"/>
                <w:color w:val="auto"/>
              </w:rPr>
            </w:pPr>
            <w:r>
              <w:rPr>
                <w:rFonts w:ascii="Arial" w:cs="Arial" w:eastAsia="Arial" w:hAnsi="Arial"/>
                <w:sz w:val="18"/>
                <w:szCs w:val="18"/>
                <w:color w:val="auto"/>
              </w:rPr>
              <w:t>7,253,182</w:t>
            </w:r>
          </w:p>
        </w:tc>
        <w:tc>
          <w:tcPr>
            <w:tcW w:w="2440" w:type="dxa"/>
            <w:vAlign w:val="bottom"/>
          </w:tcPr>
          <w:p>
            <w:pPr>
              <w:jc w:val="right"/>
              <w:ind w:right="291"/>
              <w:spacing w:after="0"/>
              <w:rPr>
                <w:sz w:val="20"/>
                <w:szCs w:val="20"/>
                <w:color w:val="auto"/>
              </w:rPr>
            </w:pPr>
            <w:r>
              <w:rPr>
                <w:rFonts w:ascii="Arial" w:cs="Arial" w:eastAsia="Arial" w:hAnsi="Arial"/>
                <w:sz w:val="18"/>
                <w:szCs w:val="18"/>
                <w:color w:val="auto"/>
              </w:rPr>
              <w:t>6.76%</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CITICORP NOMINEES PTY LIMITED</w:t>
            </w:r>
          </w:p>
        </w:tc>
        <w:tc>
          <w:tcPr>
            <w:tcW w:w="2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7,045,639</w:t>
            </w:r>
          </w:p>
        </w:tc>
        <w:tc>
          <w:tcPr>
            <w:tcW w:w="2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6.56%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6020" w:type="dxa"/>
            <w:vAlign w:val="bottom"/>
          </w:tcPr>
          <w:p>
            <w:pPr>
              <w:ind w:left="180"/>
              <w:spacing w:after="0"/>
              <w:rPr>
                <w:sz w:val="20"/>
                <w:szCs w:val="20"/>
                <w:color w:val="auto"/>
              </w:rPr>
            </w:pPr>
            <w:r>
              <w:rPr>
                <w:rFonts w:ascii="Arial" w:cs="Arial" w:eastAsia="Arial" w:hAnsi="Arial"/>
                <w:sz w:val="18"/>
                <w:szCs w:val="18"/>
                <w:color w:val="auto"/>
              </w:rPr>
              <w:t>J P MORGAN NOMINEES AUSTRALIA PTY LIMITED</w:t>
            </w:r>
          </w:p>
        </w:tc>
        <w:tc>
          <w:tcPr>
            <w:tcW w:w="2060" w:type="dxa"/>
            <w:vAlign w:val="bottom"/>
          </w:tcPr>
          <w:p>
            <w:pPr>
              <w:jc w:val="right"/>
              <w:ind w:right="371"/>
              <w:spacing w:after="0"/>
              <w:rPr>
                <w:sz w:val="20"/>
                <w:szCs w:val="20"/>
                <w:color w:val="auto"/>
              </w:rPr>
            </w:pPr>
            <w:r>
              <w:rPr>
                <w:rFonts w:ascii="Arial" w:cs="Arial" w:eastAsia="Arial" w:hAnsi="Arial"/>
                <w:sz w:val="18"/>
                <w:szCs w:val="18"/>
                <w:color w:val="auto"/>
              </w:rPr>
              <w:t>6,687,839</w:t>
            </w:r>
          </w:p>
        </w:tc>
        <w:tc>
          <w:tcPr>
            <w:tcW w:w="2440" w:type="dxa"/>
            <w:vAlign w:val="bottom"/>
          </w:tcPr>
          <w:p>
            <w:pPr>
              <w:jc w:val="right"/>
              <w:ind w:right="291"/>
              <w:spacing w:after="0"/>
              <w:rPr>
                <w:sz w:val="20"/>
                <w:szCs w:val="20"/>
                <w:color w:val="auto"/>
              </w:rPr>
            </w:pPr>
            <w:r>
              <w:rPr>
                <w:rFonts w:ascii="Arial" w:cs="Arial" w:eastAsia="Arial" w:hAnsi="Arial"/>
                <w:sz w:val="18"/>
                <w:szCs w:val="18"/>
                <w:color w:val="auto"/>
              </w:rPr>
              <w:t>6.23%</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NATIONAL NOMINEES LIMITED</w:t>
            </w:r>
          </w:p>
        </w:tc>
        <w:tc>
          <w:tcPr>
            <w:tcW w:w="2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5,395,728</w:t>
            </w:r>
          </w:p>
        </w:tc>
        <w:tc>
          <w:tcPr>
            <w:tcW w:w="2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5.03%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6020" w:type="dxa"/>
            <w:vAlign w:val="bottom"/>
          </w:tcPr>
          <w:p>
            <w:pPr>
              <w:ind w:left="180"/>
              <w:spacing w:after="0"/>
              <w:rPr>
                <w:sz w:val="20"/>
                <w:szCs w:val="20"/>
                <w:color w:val="auto"/>
              </w:rPr>
            </w:pPr>
            <w:r>
              <w:rPr>
                <w:rFonts w:ascii="Arial" w:cs="Arial" w:eastAsia="Arial" w:hAnsi="Arial"/>
                <w:sz w:val="18"/>
                <w:szCs w:val="18"/>
                <w:color w:val="auto"/>
              </w:rPr>
              <w:t>MERRILL LYNCH (AUSTRALIA) NOMINEES PTY LIMITED</w:t>
            </w:r>
          </w:p>
        </w:tc>
        <w:tc>
          <w:tcPr>
            <w:tcW w:w="2060" w:type="dxa"/>
            <w:vAlign w:val="bottom"/>
          </w:tcPr>
          <w:p>
            <w:pPr>
              <w:jc w:val="right"/>
              <w:ind w:right="371"/>
              <w:spacing w:after="0"/>
              <w:rPr>
                <w:sz w:val="20"/>
                <w:szCs w:val="20"/>
                <w:color w:val="auto"/>
              </w:rPr>
            </w:pPr>
            <w:r>
              <w:rPr>
                <w:rFonts w:ascii="Arial" w:cs="Arial" w:eastAsia="Arial" w:hAnsi="Arial"/>
                <w:sz w:val="18"/>
                <w:szCs w:val="18"/>
                <w:color w:val="auto"/>
              </w:rPr>
              <w:t>1,816,130</w:t>
            </w:r>
          </w:p>
        </w:tc>
        <w:tc>
          <w:tcPr>
            <w:tcW w:w="2440" w:type="dxa"/>
            <w:vAlign w:val="bottom"/>
          </w:tcPr>
          <w:p>
            <w:pPr>
              <w:jc w:val="right"/>
              <w:ind w:right="291"/>
              <w:spacing w:after="0"/>
              <w:rPr>
                <w:sz w:val="20"/>
                <w:szCs w:val="20"/>
                <w:color w:val="auto"/>
              </w:rPr>
            </w:pPr>
            <w:r>
              <w:rPr>
                <w:rFonts w:ascii="Arial" w:cs="Arial" w:eastAsia="Arial" w:hAnsi="Arial"/>
                <w:sz w:val="18"/>
                <w:szCs w:val="18"/>
                <w:color w:val="auto"/>
              </w:rPr>
              <w:t>1.69%</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MR MICHAEL PERRY</w:t>
            </w:r>
          </w:p>
        </w:tc>
        <w:tc>
          <w:tcPr>
            <w:tcW w:w="2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1,263,045</w:t>
            </w:r>
          </w:p>
        </w:tc>
        <w:tc>
          <w:tcPr>
            <w:tcW w:w="2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1.18%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6020" w:type="dxa"/>
            <w:vAlign w:val="bottom"/>
          </w:tcPr>
          <w:p>
            <w:pPr>
              <w:ind w:left="180"/>
              <w:spacing w:after="0"/>
              <w:rPr>
                <w:sz w:val="20"/>
                <w:szCs w:val="20"/>
                <w:color w:val="auto"/>
              </w:rPr>
            </w:pPr>
            <w:r>
              <w:rPr>
                <w:rFonts w:ascii="Arial" w:cs="Arial" w:eastAsia="Arial" w:hAnsi="Arial"/>
                <w:sz w:val="18"/>
                <w:szCs w:val="18"/>
                <w:color w:val="auto"/>
              </w:rPr>
              <w:t>HSBC CUSTODY NOMINEES (AUSTRALIA) LIMITED-GSCO ECA</w:t>
            </w:r>
          </w:p>
        </w:tc>
        <w:tc>
          <w:tcPr>
            <w:tcW w:w="2060" w:type="dxa"/>
            <w:vAlign w:val="bottom"/>
          </w:tcPr>
          <w:p>
            <w:pPr>
              <w:jc w:val="right"/>
              <w:ind w:right="371"/>
              <w:spacing w:after="0"/>
              <w:rPr>
                <w:sz w:val="20"/>
                <w:szCs w:val="20"/>
                <w:color w:val="auto"/>
              </w:rPr>
            </w:pPr>
            <w:r>
              <w:rPr>
                <w:rFonts w:ascii="Arial" w:cs="Arial" w:eastAsia="Arial" w:hAnsi="Arial"/>
                <w:sz w:val="18"/>
                <w:szCs w:val="18"/>
                <w:color w:val="auto"/>
              </w:rPr>
              <w:t>1,252,369</w:t>
            </w:r>
          </w:p>
        </w:tc>
        <w:tc>
          <w:tcPr>
            <w:tcW w:w="2440" w:type="dxa"/>
            <w:vAlign w:val="bottom"/>
          </w:tcPr>
          <w:p>
            <w:pPr>
              <w:jc w:val="right"/>
              <w:ind w:right="291"/>
              <w:spacing w:after="0"/>
              <w:rPr>
                <w:sz w:val="20"/>
                <w:szCs w:val="20"/>
                <w:color w:val="auto"/>
              </w:rPr>
            </w:pPr>
            <w:r>
              <w:rPr>
                <w:rFonts w:ascii="Arial" w:cs="Arial" w:eastAsia="Arial" w:hAnsi="Arial"/>
                <w:sz w:val="18"/>
                <w:szCs w:val="18"/>
                <w:color w:val="auto"/>
              </w:rPr>
              <w:t>1.17%</w:t>
            </w:r>
          </w:p>
        </w:tc>
      </w:tr>
      <w:tr>
        <w:trPr>
          <w:trHeight w:val="202"/>
        </w:trPr>
        <w:tc>
          <w:tcPr>
            <w:tcW w:w="500" w:type="dxa"/>
            <w:vAlign w:val="bottom"/>
            <w:shd w:val="clear" w:color="auto" w:fill="CCEEFF"/>
          </w:tcPr>
          <w:p>
            <w:pPr>
              <w:spacing w:after="0"/>
              <w:rPr>
                <w:sz w:val="17"/>
                <w:szCs w:val="17"/>
                <w:color w:val="auto"/>
              </w:rPr>
            </w:pPr>
          </w:p>
        </w:tc>
        <w:tc>
          <w:tcPr>
            <w:tcW w:w="60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CS FOURTH NOMINEES PTY LIMITED &lt;HSBC CUST NOM AU LTD 11</w:t>
            </w:r>
          </w:p>
        </w:tc>
        <w:tc>
          <w:tcPr>
            <w:tcW w:w="20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r>
        <w:trPr>
          <w:trHeight w:val="23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A/C&gt;</w:t>
            </w:r>
          </w:p>
        </w:tc>
        <w:tc>
          <w:tcPr>
            <w:tcW w:w="2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1,097,835</w:t>
            </w:r>
          </w:p>
        </w:tc>
        <w:tc>
          <w:tcPr>
            <w:tcW w:w="2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1.02%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6020" w:type="dxa"/>
            <w:vAlign w:val="bottom"/>
          </w:tcPr>
          <w:p>
            <w:pPr>
              <w:ind w:left="180"/>
              <w:spacing w:after="0"/>
              <w:rPr>
                <w:sz w:val="20"/>
                <w:szCs w:val="20"/>
                <w:color w:val="auto"/>
              </w:rPr>
            </w:pPr>
            <w:r>
              <w:rPr>
                <w:rFonts w:ascii="Arial" w:cs="Arial" w:eastAsia="Arial" w:hAnsi="Arial"/>
                <w:sz w:val="18"/>
                <w:szCs w:val="18"/>
                <w:color w:val="auto"/>
              </w:rPr>
              <w:t>HSBC CUSTODY NOMINEES (AUSTRALIA) LIMITED</w:t>
            </w:r>
          </w:p>
        </w:tc>
        <w:tc>
          <w:tcPr>
            <w:tcW w:w="2060" w:type="dxa"/>
            <w:vAlign w:val="bottom"/>
          </w:tcPr>
          <w:p>
            <w:pPr>
              <w:jc w:val="right"/>
              <w:ind w:right="371"/>
              <w:spacing w:after="0"/>
              <w:rPr>
                <w:sz w:val="20"/>
                <w:szCs w:val="20"/>
                <w:color w:val="auto"/>
              </w:rPr>
            </w:pPr>
            <w:r>
              <w:rPr>
                <w:rFonts w:ascii="Arial" w:cs="Arial" w:eastAsia="Arial" w:hAnsi="Arial"/>
                <w:sz w:val="18"/>
                <w:szCs w:val="18"/>
                <w:color w:val="auto"/>
              </w:rPr>
              <w:t>735,579</w:t>
            </w:r>
          </w:p>
        </w:tc>
        <w:tc>
          <w:tcPr>
            <w:tcW w:w="2440" w:type="dxa"/>
            <w:vAlign w:val="bottom"/>
          </w:tcPr>
          <w:p>
            <w:pPr>
              <w:jc w:val="right"/>
              <w:ind w:right="291"/>
              <w:spacing w:after="0"/>
              <w:rPr>
                <w:sz w:val="20"/>
                <w:szCs w:val="20"/>
                <w:color w:val="auto"/>
              </w:rPr>
            </w:pPr>
            <w:r>
              <w:rPr>
                <w:rFonts w:ascii="Arial" w:cs="Arial" w:eastAsia="Arial" w:hAnsi="Arial"/>
                <w:sz w:val="18"/>
                <w:szCs w:val="18"/>
                <w:color w:val="auto"/>
              </w:rPr>
              <w:t>0.69%</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ATEQ INVESTMENTS PTY LTD</w:t>
            </w:r>
          </w:p>
        </w:tc>
        <w:tc>
          <w:tcPr>
            <w:tcW w:w="2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590,000</w:t>
            </w:r>
          </w:p>
        </w:tc>
        <w:tc>
          <w:tcPr>
            <w:tcW w:w="2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0.55%</w:t>
            </w:r>
          </w:p>
        </w:tc>
      </w:tr>
      <w:tr>
        <w:trPr>
          <w:trHeight w:val="202"/>
        </w:trPr>
        <w:tc>
          <w:tcPr>
            <w:tcW w:w="500" w:type="dxa"/>
            <w:vAlign w:val="bottom"/>
          </w:tcPr>
          <w:p>
            <w:pPr>
              <w:spacing w:after="0"/>
              <w:rPr>
                <w:sz w:val="17"/>
                <w:szCs w:val="17"/>
                <w:color w:val="auto"/>
              </w:rPr>
            </w:pPr>
          </w:p>
        </w:tc>
        <w:tc>
          <w:tcPr>
            <w:tcW w:w="6020" w:type="dxa"/>
            <w:vAlign w:val="bottom"/>
          </w:tcPr>
          <w:p>
            <w:pPr>
              <w:ind w:left="180"/>
              <w:spacing w:after="0" w:line="201" w:lineRule="exact"/>
              <w:rPr>
                <w:sz w:val="20"/>
                <w:szCs w:val="20"/>
                <w:color w:val="auto"/>
              </w:rPr>
            </w:pPr>
            <w:r>
              <w:rPr>
                <w:rFonts w:ascii="Arial" w:cs="Arial" w:eastAsia="Arial" w:hAnsi="Arial"/>
                <w:sz w:val="18"/>
                <w:szCs w:val="18"/>
                <w:color w:val="auto"/>
              </w:rPr>
              <w:t>BNP PARIBAS NOMINEES PTY LTD &lt;IB AU NOMS RETAILCLIENT</w:t>
            </w:r>
          </w:p>
        </w:tc>
        <w:tc>
          <w:tcPr>
            <w:tcW w:w="20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6020" w:type="dxa"/>
            <w:vAlign w:val="bottom"/>
          </w:tcPr>
          <w:p>
            <w:pPr>
              <w:ind w:left="360"/>
              <w:spacing w:after="0"/>
              <w:rPr>
                <w:sz w:val="20"/>
                <w:szCs w:val="20"/>
                <w:color w:val="auto"/>
              </w:rPr>
            </w:pPr>
            <w:r>
              <w:rPr>
                <w:rFonts w:ascii="Arial" w:cs="Arial" w:eastAsia="Arial" w:hAnsi="Arial"/>
                <w:sz w:val="18"/>
                <w:szCs w:val="18"/>
                <w:color w:val="auto"/>
              </w:rPr>
              <w:t>DRP&gt;</w:t>
            </w:r>
          </w:p>
        </w:tc>
        <w:tc>
          <w:tcPr>
            <w:tcW w:w="2060" w:type="dxa"/>
            <w:vAlign w:val="bottom"/>
          </w:tcPr>
          <w:p>
            <w:pPr>
              <w:jc w:val="right"/>
              <w:ind w:right="371"/>
              <w:spacing w:after="0"/>
              <w:rPr>
                <w:sz w:val="20"/>
                <w:szCs w:val="20"/>
                <w:color w:val="auto"/>
              </w:rPr>
            </w:pPr>
            <w:r>
              <w:rPr>
                <w:rFonts w:ascii="Arial" w:cs="Arial" w:eastAsia="Arial" w:hAnsi="Arial"/>
                <w:sz w:val="18"/>
                <w:szCs w:val="18"/>
                <w:color w:val="auto"/>
              </w:rPr>
              <w:t>490,104</w:t>
            </w:r>
          </w:p>
        </w:tc>
        <w:tc>
          <w:tcPr>
            <w:tcW w:w="2440" w:type="dxa"/>
            <w:vAlign w:val="bottom"/>
          </w:tcPr>
          <w:p>
            <w:pPr>
              <w:jc w:val="right"/>
              <w:ind w:right="291"/>
              <w:spacing w:after="0"/>
              <w:rPr>
                <w:sz w:val="20"/>
                <w:szCs w:val="20"/>
                <w:color w:val="auto"/>
              </w:rPr>
            </w:pPr>
            <w:r>
              <w:rPr>
                <w:rFonts w:ascii="Arial" w:cs="Arial" w:eastAsia="Arial" w:hAnsi="Arial"/>
                <w:sz w:val="18"/>
                <w:szCs w:val="18"/>
                <w:color w:val="auto"/>
              </w:rPr>
              <w:t>0.46%</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BNP PARIBAS NOMINEES PTY LTD &lt;AGENCY LENDING DRP A/C&gt;</w:t>
            </w:r>
          </w:p>
        </w:tc>
        <w:tc>
          <w:tcPr>
            <w:tcW w:w="2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412,302</w:t>
            </w:r>
          </w:p>
        </w:tc>
        <w:tc>
          <w:tcPr>
            <w:tcW w:w="2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0.38%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6020" w:type="dxa"/>
            <w:vAlign w:val="bottom"/>
          </w:tcPr>
          <w:p>
            <w:pPr>
              <w:ind w:left="180"/>
              <w:spacing w:after="0"/>
              <w:rPr>
                <w:sz w:val="20"/>
                <w:szCs w:val="20"/>
                <w:color w:val="auto"/>
              </w:rPr>
            </w:pPr>
            <w:r>
              <w:rPr>
                <w:rFonts w:ascii="Arial" w:cs="Arial" w:eastAsia="Arial" w:hAnsi="Arial"/>
                <w:sz w:val="18"/>
                <w:szCs w:val="18"/>
                <w:color w:val="auto"/>
              </w:rPr>
              <w:t>WARBONT NOMINEES PTY LTD &lt;UNPAID ENTREPOT A/C&gt;</w:t>
            </w:r>
          </w:p>
        </w:tc>
        <w:tc>
          <w:tcPr>
            <w:tcW w:w="2060" w:type="dxa"/>
            <w:vAlign w:val="bottom"/>
          </w:tcPr>
          <w:p>
            <w:pPr>
              <w:jc w:val="right"/>
              <w:ind w:right="371"/>
              <w:spacing w:after="0"/>
              <w:rPr>
                <w:sz w:val="20"/>
                <w:szCs w:val="20"/>
                <w:color w:val="auto"/>
              </w:rPr>
            </w:pPr>
            <w:r>
              <w:rPr>
                <w:rFonts w:ascii="Arial" w:cs="Arial" w:eastAsia="Arial" w:hAnsi="Arial"/>
                <w:sz w:val="18"/>
                <w:szCs w:val="18"/>
                <w:color w:val="auto"/>
              </w:rPr>
              <w:t>403,116</w:t>
            </w:r>
          </w:p>
        </w:tc>
        <w:tc>
          <w:tcPr>
            <w:tcW w:w="2440" w:type="dxa"/>
            <w:vAlign w:val="bottom"/>
          </w:tcPr>
          <w:p>
            <w:pPr>
              <w:jc w:val="right"/>
              <w:ind w:right="291"/>
              <w:spacing w:after="0"/>
              <w:rPr>
                <w:sz w:val="20"/>
                <w:szCs w:val="20"/>
                <w:color w:val="auto"/>
              </w:rPr>
            </w:pPr>
            <w:r>
              <w:rPr>
                <w:rFonts w:ascii="Arial" w:cs="Arial" w:eastAsia="Arial" w:hAnsi="Arial"/>
                <w:sz w:val="18"/>
                <w:szCs w:val="18"/>
                <w:color w:val="auto"/>
              </w:rPr>
              <w:t>0.38%</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BRISPOT NOMINEES PTY LTD &lt;HOUSE HEAD NOMINEE A/C&gt;</w:t>
            </w:r>
          </w:p>
        </w:tc>
        <w:tc>
          <w:tcPr>
            <w:tcW w:w="2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359,195</w:t>
            </w:r>
          </w:p>
        </w:tc>
        <w:tc>
          <w:tcPr>
            <w:tcW w:w="2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0.33%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6020" w:type="dxa"/>
            <w:vAlign w:val="bottom"/>
          </w:tcPr>
          <w:p>
            <w:pPr>
              <w:ind w:left="180"/>
              <w:spacing w:after="0"/>
              <w:rPr>
                <w:sz w:val="20"/>
                <w:szCs w:val="20"/>
                <w:color w:val="auto"/>
              </w:rPr>
            </w:pPr>
            <w:r>
              <w:rPr>
                <w:rFonts w:ascii="Arial" w:cs="Arial" w:eastAsia="Arial" w:hAnsi="Arial"/>
                <w:sz w:val="18"/>
                <w:szCs w:val="18"/>
                <w:color w:val="auto"/>
              </w:rPr>
              <w:t>MR ADRIAN SIMUN PULJICH</w:t>
            </w:r>
          </w:p>
        </w:tc>
        <w:tc>
          <w:tcPr>
            <w:tcW w:w="2060" w:type="dxa"/>
            <w:vAlign w:val="bottom"/>
          </w:tcPr>
          <w:p>
            <w:pPr>
              <w:jc w:val="right"/>
              <w:ind w:right="371"/>
              <w:spacing w:after="0"/>
              <w:rPr>
                <w:sz w:val="20"/>
                <w:szCs w:val="20"/>
                <w:color w:val="auto"/>
              </w:rPr>
            </w:pPr>
            <w:r>
              <w:rPr>
                <w:rFonts w:ascii="Arial" w:cs="Arial" w:eastAsia="Arial" w:hAnsi="Arial"/>
                <w:sz w:val="18"/>
                <w:szCs w:val="18"/>
                <w:color w:val="auto"/>
              </w:rPr>
              <w:t>271,765</w:t>
            </w:r>
          </w:p>
        </w:tc>
        <w:tc>
          <w:tcPr>
            <w:tcW w:w="2440" w:type="dxa"/>
            <w:vAlign w:val="bottom"/>
          </w:tcPr>
          <w:p>
            <w:pPr>
              <w:jc w:val="right"/>
              <w:ind w:right="291"/>
              <w:spacing w:after="0"/>
              <w:rPr>
                <w:sz w:val="20"/>
                <w:szCs w:val="20"/>
                <w:color w:val="auto"/>
              </w:rPr>
            </w:pPr>
            <w:r>
              <w:rPr>
                <w:rFonts w:ascii="Arial" w:cs="Arial" w:eastAsia="Arial" w:hAnsi="Arial"/>
                <w:sz w:val="18"/>
                <w:szCs w:val="18"/>
                <w:color w:val="auto"/>
              </w:rPr>
              <w:t>0.25%</w:t>
            </w:r>
          </w:p>
        </w:tc>
      </w:tr>
      <w:tr>
        <w:trPr>
          <w:trHeight w:val="202"/>
        </w:trPr>
        <w:tc>
          <w:tcPr>
            <w:tcW w:w="500" w:type="dxa"/>
            <w:vAlign w:val="bottom"/>
            <w:shd w:val="clear" w:color="auto" w:fill="CCEEFF"/>
          </w:tcPr>
          <w:p>
            <w:pPr>
              <w:spacing w:after="0"/>
              <w:rPr>
                <w:sz w:val="17"/>
                <w:szCs w:val="17"/>
                <w:color w:val="auto"/>
              </w:rPr>
            </w:pPr>
          </w:p>
        </w:tc>
        <w:tc>
          <w:tcPr>
            <w:tcW w:w="60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BNP PARIBAS NOMINEES PTY LTD HUB24 CUSTODIAL SERV LTD</w:t>
            </w:r>
          </w:p>
        </w:tc>
        <w:tc>
          <w:tcPr>
            <w:tcW w:w="20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r>
        <w:trPr>
          <w:trHeight w:val="23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&lt;DRP A/C&gt;</w:t>
            </w:r>
          </w:p>
        </w:tc>
        <w:tc>
          <w:tcPr>
            <w:tcW w:w="2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244,938</w:t>
            </w:r>
          </w:p>
        </w:tc>
        <w:tc>
          <w:tcPr>
            <w:tcW w:w="2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0.23%</w:t>
            </w:r>
          </w:p>
        </w:tc>
      </w:tr>
      <w:tr>
        <w:trPr>
          <w:trHeight w:val="202"/>
        </w:trPr>
        <w:tc>
          <w:tcPr>
            <w:tcW w:w="500" w:type="dxa"/>
            <w:vAlign w:val="bottom"/>
          </w:tcPr>
          <w:p>
            <w:pPr>
              <w:spacing w:after="0"/>
              <w:rPr>
                <w:sz w:val="17"/>
                <w:szCs w:val="17"/>
                <w:color w:val="auto"/>
              </w:rPr>
            </w:pPr>
          </w:p>
        </w:tc>
        <w:tc>
          <w:tcPr>
            <w:tcW w:w="6020" w:type="dxa"/>
            <w:vAlign w:val="bottom"/>
          </w:tcPr>
          <w:p>
            <w:pPr>
              <w:ind w:left="180"/>
              <w:spacing w:after="0" w:line="201" w:lineRule="exact"/>
              <w:rPr>
                <w:sz w:val="20"/>
                <w:szCs w:val="20"/>
                <w:color w:val="auto"/>
              </w:rPr>
            </w:pPr>
            <w:r>
              <w:rPr>
                <w:rFonts w:ascii="Arial" w:cs="Arial" w:eastAsia="Arial" w:hAnsi="Arial"/>
                <w:sz w:val="18"/>
                <w:szCs w:val="18"/>
                <w:color w:val="auto"/>
              </w:rPr>
              <w:t>DIBBENS DEVELOPMENTS PTY LIMITED &lt;DIBBENS SUPER BEN</w:t>
            </w:r>
          </w:p>
        </w:tc>
        <w:tc>
          <w:tcPr>
            <w:tcW w:w="20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6020" w:type="dxa"/>
            <w:vAlign w:val="bottom"/>
          </w:tcPr>
          <w:p>
            <w:pPr>
              <w:ind w:left="360"/>
              <w:spacing w:after="0"/>
              <w:rPr>
                <w:sz w:val="20"/>
                <w:szCs w:val="20"/>
                <w:color w:val="auto"/>
              </w:rPr>
            </w:pPr>
            <w:r>
              <w:rPr>
                <w:rFonts w:ascii="Arial" w:cs="Arial" w:eastAsia="Arial" w:hAnsi="Arial"/>
                <w:sz w:val="18"/>
                <w:szCs w:val="18"/>
                <w:color w:val="auto"/>
              </w:rPr>
              <w:t>FUND A/C&gt;</w:t>
            </w:r>
          </w:p>
        </w:tc>
        <w:tc>
          <w:tcPr>
            <w:tcW w:w="2060" w:type="dxa"/>
            <w:vAlign w:val="bottom"/>
          </w:tcPr>
          <w:p>
            <w:pPr>
              <w:jc w:val="right"/>
              <w:ind w:right="371"/>
              <w:spacing w:after="0"/>
              <w:rPr>
                <w:sz w:val="20"/>
                <w:szCs w:val="20"/>
                <w:color w:val="auto"/>
              </w:rPr>
            </w:pPr>
            <w:r>
              <w:rPr>
                <w:rFonts w:ascii="Arial" w:cs="Arial" w:eastAsia="Arial" w:hAnsi="Arial"/>
                <w:sz w:val="18"/>
                <w:szCs w:val="18"/>
                <w:color w:val="auto"/>
              </w:rPr>
              <w:t>225,000</w:t>
            </w:r>
          </w:p>
        </w:tc>
        <w:tc>
          <w:tcPr>
            <w:tcW w:w="2440" w:type="dxa"/>
            <w:vAlign w:val="bottom"/>
          </w:tcPr>
          <w:p>
            <w:pPr>
              <w:jc w:val="right"/>
              <w:ind w:right="291"/>
              <w:spacing w:after="0"/>
              <w:rPr>
                <w:sz w:val="20"/>
                <w:szCs w:val="20"/>
                <w:color w:val="auto"/>
              </w:rPr>
            </w:pPr>
            <w:r>
              <w:rPr>
                <w:rFonts w:ascii="Arial" w:cs="Arial" w:eastAsia="Arial" w:hAnsi="Arial"/>
                <w:sz w:val="18"/>
                <w:szCs w:val="18"/>
                <w:color w:val="auto"/>
              </w:rPr>
              <w:t>0.21%</w:t>
            </w:r>
          </w:p>
        </w:tc>
      </w:tr>
      <w:tr>
        <w:trPr>
          <w:trHeight w:val="202"/>
        </w:trPr>
        <w:tc>
          <w:tcPr>
            <w:tcW w:w="500" w:type="dxa"/>
            <w:vAlign w:val="bottom"/>
            <w:shd w:val="clear" w:color="auto" w:fill="CCEEFF"/>
          </w:tcPr>
          <w:p>
            <w:pPr>
              <w:spacing w:after="0"/>
              <w:rPr>
                <w:sz w:val="17"/>
                <w:szCs w:val="17"/>
                <w:color w:val="auto"/>
              </w:rPr>
            </w:pPr>
          </w:p>
        </w:tc>
        <w:tc>
          <w:tcPr>
            <w:tcW w:w="60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MR ANTHONY MARK SAIA &amp; MRS CARMEN SAIA &lt;SAIA FAMILY</w:t>
            </w:r>
          </w:p>
        </w:tc>
        <w:tc>
          <w:tcPr>
            <w:tcW w:w="20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r>
        <w:trPr>
          <w:trHeight w:val="23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SUPER FUND A/C&gt;</w:t>
            </w:r>
          </w:p>
        </w:tc>
        <w:tc>
          <w:tcPr>
            <w:tcW w:w="20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217,500</w:t>
            </w:r>
          </w:p>
        </w:tc>
        <w:tc>
          <w:tcPr>
            <w:tcW w:w="24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0.20%</w:t>
            </w:r>
          </w:p>
        </w:tc>
      </w:tr>
      <w:tr>
        <w:trPr>
          <w:trHeight w:val="202"/>
        </w:trPr>
        <w:tc>
          <w:tcPr>
            <w:tcW w:w="500" w:type="dxa"/>
            <w:vAlign w:val="bottom"/>
          </w:tcPr>
          <w:p>
            <w:pPr>
              <w:spacing w:after="0"/>
              <w:rPr>
                <w:sz w:val="17"/>
                <w:szCs w:val="17"/>
                <w:color w:val="auto"/>
              </w:rPr>
            </w:pPr>
          </w:p>
        </w:tc>
        <w:tc>
          <w:tcPr>
            <w:tcW w:w="6020" w:type="dxa"/>
            <w:vAlign w:val="bottom"/>
          </w:tcPr>
          <w:p>
            <w:pPr>
              <w:ind w:left="180"/>
              <w:spacing w:after="0" w:line="201" w:lineRule="exact"/>
              <w:rPr>
                <w:sz w:val="20"/>
                <w:szCs w:val="20"/>
                <w:color w:val="auto"/>
              </w:rPr>
            </w:pPr>
            <w:r>
              <w:rPr>
                <w:rFonts w:ascii="Arial" w:cs="Arial" w:eastAsia="Arial" w:hAnsi="Arial"/>
                <w:sz w:val="18"/>
                <w:szCs w:val="18"/>
                <w:color w:val="auto"/>
              </w:rPr>
              <w:t>CITICORP NOMINEES PTY LIMITED &lt;COLONIAL FIRST STATE INV</w:t>
            </w:r>
          </w:p>
        </w:tc>
        <w:tc>
          <w:tcPr>
            <w:tcW w:w="20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6020" w:type="dxa"/>
            <w:vAlign w:val="bottom"/>
          </w:tcPr>
          <w:p>
            <w:pPr>
              <w:ind w:left="360"/>
              <w:spacing w:after="0"/>
              <w:rPr>
                <w:sz w:val="20"/>
                <w:szCs w:val="20"/>
                <w:color w:val="auto"/>
              </w:rPr>
            </w:pPr>
            <w:r>
              <w:rPr>
                <w:rFonts w:ascii="Arial" w:cs="Arial" w:eastAsia="Arial" w:hAnsi="Arial"/>
                <w:sz w:val="18"/>
                <w:szCs w:val="18"/>
                <w:color w:val="auto"/>
              </w:rPr>
              <w:t>A/C&gt;</w:t>
            </w:r>
          </w:p>
        </w:tc>
        <w:tc>
          <w:tcPr>
            <w:tcW w:w="2060" w:type="dxa"/>
            <w:vAlign w:val="bottom"/>
          </w:tcPr>
          <w:p>
            <w:pPr>
              <w:jc w:val="right"/>
              <w:ind w:right="371"/>
              <w:spacing w:after="0"/>
              <w:rPr>
                <w:sz w:val="20"/>
                <w:szCs w:val="20"/>
                <w:color w:val="auto"/>
              </w:rPr>
            </w:pPr>
            <w:r>
              <w:rPr>
                <w:rFonts w:ascii="Arial" w:cs="Arial" w:eastAsia="Arial" w:hAnsi="Arial"/>
                <w:sz w:val="18"/>
                <w:szCs w:val="18"/>
                <w:color w:val="auto"/>
              </w:rPr>
              <w:t>213,979</w:t>
            </w:r>
          </w:p>
        </w:tc>
        <w:tc>
          <w:tcPr>
            <w:tcW w:w="2440" w:type="dxa"/>
            <w:vAlign w:val="bottom"/>
          </w:tcPr>
          <w:p>
            <w:pPr>
              <w:jc w:val="right"/>
              <w:ind w:right="291"/>
              <w:spacing w:after="0"/>
              <w:rPr>
                <w:sz w:val="20"/>
                <w:szCs w:val="20"/>
                <w:color w:val="auto"/>
              </w:rPr>
            </w:pPr>
            <w:r>
              <w:rPr>
                <w:rFonts w:ascii="Arial" w:cs="Arial" w:eastAsia="Arial" w:hAnsi="Arial"/>
                <w:sz w:val="18"/>
                <w:szCs w:val="18"/>
                <w:color w:val="auto"/>
              </w:rPr>
              <w:t>0.20%</w:t>
            </w:r>
          </w:p>
        </w:tc>
      </w:tr>
    </w:tbl>
    <w:p>
      <w:pPr>
        <w:spacing w:after="0" w:line="229"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shares of common stock converted into CDIs.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name of our Secretary is Donna Shiroma.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ASX liaison officer who is responsible for communications with the ASX is Mark Licciardo.</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complete mailing address, including zip code, of our principal executive office is 28159 Avenue Stanford, Suite 220, Valencia, CA 91355, USA.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telephone number is +1(661) 367-9170.</w:t>
      </w:r>
    </w:p>
    <w:p>
      <w:pPr>
        <w:spacing w:after="0" w:line="21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address of the principal registered office in Australia is c/- Mertons Corporate Services Pty Ltd, Level 7, 330 Collins Street, Melbourne VIC 3000, Australia and our telephone number there is +61 3 8689 9997.</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Registers of securities are held as follows:</w:t>
      </w:r>
    </w:p>
    <w:p>
      <w:pPr>
        <w:spacing w:after="0" w:line="131" w:lineRule="exact"/>
        <w:rPr>
          <w:sz w:val="20"/>
          <w:szCs w:val="20"/>
          <w:color w:val="auto"/>
        </w:rPr>
      </w:pPr>
    </w:p>
    <w:p>
      <w:pPr>
        <w:ind w:left="1080" w:right="1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CDIs in Australia at Computershare Investor Services Pty Limited, Level 2, 45 St Georges Terrace, Perth WA 6000 Australia, Investor Enquiries +61 8 9323 2000 (within Australia) +61 3 9415 4677 (outside Australia); and</w:t>
      </w:r>
    </w:p>
    <w:p>
      <w:pPr>
        <w:spacing w:after="0" w:line="75" w:lineRule="exact"/>
        <w:rPr>
          <w:rFonts w:ascii="Arial" w:cs="Arial" w:eastAsia="Arial" w:hAnsi="Arial"/>
          <w:sz w:val="18"/>
          <w:szCs w:val="18"/>
          <w:color w:val="auto"/>
        </w:rPr>
      </w:pPr>
    </w:p>
    <w:p>
      <w:pPr>
        <w:ind w:left="1080" w:right="10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common stock in the United States at Computershare Investor Services, 250 Royall Street, Canton, MA 02021 USA, Tel: 866-644-4127.</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Application of funds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advises that it has used the cash and assets in a form readily convertible to cash that it had at the time of the Company’s admission to the Official List of ASX in a way that is consistent with its business objectives.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Declaration</w:t>
      </w:r>
    </w:p>
    <w:p>
      <w:pPr>
        <w:spacing w:after="0" w:line="117"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As at the date of this report, the directors confirm that they are of the opinion that there are reasonable grounds to believe that the members of the “extended closed group” identified in Note 17, being the Company and the Australian Subsidiaries that are party to the deed of cross guarantee that is detailed in Note 17, will be able to meet any liabilities to which they are, or may become, subject, by virtue of the deed of cross guarantee.</w:t>
      </w:r>
    </w:p>
    <w:p>
      <w:pPr>
        <w:spacing w:after="0" w:line="253" w:lineRule="exact"/>
        <w:rPr>
          <w:sz w:val="20"/>
          <w:szCs w:val="20"/>
          <w:color w:val="auto"/>
        </w:rPr>
      </w:pPr>
    </w:p>
    <w:p>
      <w:pPr>
        <w:ind w:left="120" w:right="1580"/>
        <w:spacing w:after="0" w:line="377" w:lineRule="auto"/>
        <w:rPr>
          <w:sz w:val="20"/>
          <w:szCs w:val="20"/>
          <w:color w:val="auto"/>
        </w:rPr>
      </w:pPr>
      <w:r>
        <w:rPr>
          <w:rFonts w:ascii="Arial" w:cs="Arial" w:eastAsia="Arial" w:hAnsi="Arial"/>
          <w:sz w:val="18"/>
          <w:szCs w:val="18"/>
          <w:b w:val="1"/>
          <w:bCs w:val="1"/>
          <w:color w:val="auto"/>
        </w:rPr>
        <w:t>Item 13. CERTAIN RELATIONSHIPS AND RELATED PARTY TRANSACTIONS, AND DIRECTOR INDEPENDENCE Transactions with Related Persons</w:t>
      </w:r>
    </w:p>
    <w:p>
      <w:pPr>
        <w:spacing w:after="0" w:line="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Other than employment matters and indemnification agreements between our directors and executive officers, related party transactions were limited to director fees, consultancy fees and travel reimbursements paid under normal terms and conditions to Bioscience Managers Pty Ltd of which Jeremy Curnock Cook is an officer and Dr. Michael Perry is a director. Such transactions have been reviewed and approved by our board of directors after review and approval by our Audit Committee and Nominating Committee.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board of directors has determined that all members of our board of directors, except Dr. Michael Perry, are independent directors for purposes of the rules of NASDAQ and the SEC and for the purposes of the ASX Listing Rules and the ASX Corporate Governance Council’s 4</w:t>
      </w:r>
      <w:r>
        <w:rPr>
          <w:rFonts w:ascii="Arial" w:cs="Arial" w:eastAsia="Arial" w:hAnsi="Arial"/>
          <w:sz w:val="14"/>
          <w:szCs w:val="14"/>
          <w:color w:val="auto"/>
        </w:rPr>
        <w:t>th</w:t>
      </w:r>
      <w:r>
        <w:rPr>
          <w:rFonts w:ascii="Arial" w:cs="Arial" w:eastAsia="Arial" w:hAnsi="Arial"/>
          <w:sz w:val="17"/>
          <w:szCs w:val="17"/>
          <w:color w:val="auto"/>
        </w:rPr>
        <w:t xml:space="preserve"> Edition Corporate Governance Principles and Recommendations. In making this determination, our board of directors considered the relationships that each non-executive director has with us and all other facts and circumstances that our board of directors deemed relevant, including the beneficial ownership of our common stock by each non-executive director and Mr Perry’s executive role within the Avita Group.</w:t>
      </w:r>
    </w:p>
    <w:p>
      <w:pPr>
        <w:spacing w:after="0" w:line="17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composition and functioning of our board of directors and each of our committees complies with all applicable requirements of NASDAQ and the rules and regulations of the SEC as well as the ASX Listing Rules and the ASX Corporate Governance Council’s 4</w:t>
      </w:r>
      <w:r>
        <w:rPr>
          <w:rFonts w:ascii="Arial" w:cs="Arial" w:eastAsia="Arial" w:hAnsi="Arial"/>
          <w:sz w:val="15"/>
          <w:szCs w:val="15"/>
          <w:color w:val="auto"/>
        </w:rPr>
        <w:t>th</w:t>
      </w:r>
      <w:r>
        <w:rPr>
          <w:rFonts w:ascii="Arial" w:cs="Arial" w:eastAsia="Arial" w:hAnsi="Arial"/>
          <w:sz w:val="18"/>
          <w:szCs w:val="18"/>
          <w:color w:val="auto"/>
        </w:rPr>
        <w:t xml:space="preserve"> Edition Corporate Governance Principles and Recommendations.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Grant Thornton Audit Pty Ltd, a subsidiary of Grant Thornton Australia Ltd, independent registered public accountants served as our independent public accountant for the years ended June 30, 2020 and 2019. Grant Thornton LLP, the U.S. member of Grant Thornton International Ltd, independent registered public accountants have served as our independent public accountant for the period ended June 30, 2020. The following table sets forth fees billed or accrued by our independent registered public accountants during the fiscal years ended June 30, 2020 and 2019:</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2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Audit fees - Grant Thornton LLP (1)</w:t>
            </w:r>
          </w:p>
        </w:tc>
        <w:tc>
          <w:tcPr>
            <w:tcW w:w="2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$265,423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Audit fees - Grant Thornton Audit Pty Ltd (1)</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212,147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86,785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Audit related fees</w:t>
            </w:r>
          </w:p>
        </w:tc>
        <w:tc>
          <w:tcPr>
            <w:tcW w:w="2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Tax fees - Grant Thornton LLP (2)</w:t>
            </w:r>
          </w:p>
        </w:tc>
        <w:tc>
          <w:tcPr>
            <w:tcW w:w="3780" w:type="dxa"/>
            <w:vAlign w:val="bottom"/>
            <w:gridSpan w:val="3"/>
          </w:tcPr>
          <w:p>
            <w:pPr>
              <w:jc w:val="right"/>
              <w:ind w:right="160"/>
              <w:spacing w:after="0"/>
              <w:rPr>
                <w:sz w:val="20"/>
                <w:szCs w:val="20"/>
                <w:color w:val="auto"/>
              </w:rPr>
            </w:pPr>
            <w:r>
              <w:rPr>
                <w:rFonts w:ascii="Arial" w:cs="Arial" w:eastAsia="Arial" w:hAnsi="Arial"/>
                <w:sz w:val="18"/>
                <w:szCs w:val="18"/>
                <w:color w:val="auto"/>
              </w:rPr>
              <w:t>90,737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Tax fees - Grant Thornton Audit Pty Ltd (2)</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73,308</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All other fees (3)</w:t>
            </w:r>
          </w:p>
        </w:tc>
        <w:tc>
          <w:tcPr>
            <w:tcW w:w="29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589,122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160,093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940" w:type="dxa"/>
            <w:vAlign w:val="bottom"/>
            <w:vMerge w:val="restart"/>
          </w:tcPr>
          <w:p>
            <w:pPr>
              <w:jc w:val="right"/>
              <w:ind w:right="2270"/>
              <w:spacing w:after="0"/>
              <w:rPr>
                <w:sz w:val="20"/>
                <w:szCs w:val="20"/>
                <w:color w:val="auto"/>
              </w:rPr>
            </w:pPr>
            <w:r>
              <w:rPr>
                <w:rFonts w:ascii="Arial" w:cs="Arial" w:eastAsia="Arial" w:hAnsi="Arial"/>
                <w:sz w:val="18"/>
                <w:szCs w:val="18"/>
                <w:color w:val="auto"/>
              </w:rPr>
              <w:t>71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hanging="424"/>
        <w:spacing w:after="0" w:line="255"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Audit fees consist of fees billed for the professional services rendered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w:t>
      </w:r>
    </w:p>
    <w:p>
      <w:pPr>
        <w:spacing w:after="0" w:line="2"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fees include the aggregate fees billed in each of the last two fiscal years for professional services rendered by the principal accountant for tax compliance, tax advice, and tax planning.</w:t>
      </w:r>
    </w:p>
    <w:p>
      <w:pPr>
        <w:ind w:left="540" w:hanging="424"/>
        <w:spacing w:after="0" w:line="26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other fees consists of products and services provided by the principal accountant, other than the services reported in Audit Fees, Audit Related Fees, or Tax Fees.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Audit Committee’s policy is for the Audit Committee to approve all audit and non-audit services prior to such services being performed by the independent registered public accounting firm. Before engaging an independent registered public accountant firm to render audit or non-audit services, the engagement is approved by our audit committee or the engagement to render services is entered into pursuant to pre-approval policies and procedures established by the audit committee.</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5"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Financial Statements</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See Index to Financial Statements in Part II, Item 8 of this Annual Report.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100" w:right="480"/>
        <w:spacing w:after="0" w:line="263"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since the required information was not applicable or was not present in amounts sufficient to require submission of the schedules, or because the information required is included in the financial statements or the accompanying notes.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7"/>
          <w:szCs w:val="17"/>
          <w:color w:val="auto"/>
        </w:rPr>
        <w:t>The exhibits listed in the following Index to Exhibits are filed, furnished or incorporated by reference as part of this Annual Report</w:t>
      </w:r>
    </w:p>
    <w:p>
      <w:pPr>
        <w:spacing w:after="0" w:line="200" w:lineRule="exact"/>
        <w:rPr>
          <w:sz w:val="20"/>
          <w:szCs w:val="20"/>
          <w:color w:val="auto"/>
        </w:rPr>
      </w:pP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180" w:type="dxa"/>
            <w:vAlign w:val="bottom"/>
            <w:gridSpan w:val="2"/>
          </w:tcPr>
          <w:p>
            <w:pPr>
              <w:ind w:left="258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30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r>
      <w:tr>
        <w:trPr>
          <w:trHeight w:val="17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30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rPr>
                <w:sz w:val="23"/>
                <w:szCs w:val="23"/>
                <w:color w:val="auto"/>
              </w:rPr>
            </w:pPr>
          </w:p>
        </w:tc>
        <w:tc>
          <w:tcPr>
            <w:tcW w:w="8980" w:type="dxa"/>
            <w:vAlign w:val="bottom"/>
            <w:tcBorders>
              <w:bottom w:val="single" w:sz="8" w:color="0000EE"/>
            </w:tcBorders>
            <w:gridSpan w:val="3"/>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Scheme Implementation Agreement (incorporated by reference to Exhibit 99.2 of Form 6-K of Avita Medical Limited dated</w:t>
              </w:r>
            </w:hyperlink>
          </w:p>
        </w:tc>
        <w:tc>
          <w:tcPr>
            <w:tcW w:w="320" w:type="dxa"/>
            <w:vAlign w:val="bottom"/>
          </w:tcPr>
          <w:p>
            <w:pPr>
              <w:spacing w:after="0"/>
              <w:rPr>
                <w:sz w:val="23"/>
                <w:szCs w:val="23"/>
                <w:color w:val="auto"/>
              </w:rPr>
            </w:pPr>
          </w:p>
        </w:tc>
      </w:tr>
      <w:tr>
        <w:trPr>
          <w:trHeight w:val="196"/>
        </w:trPr>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April 20, 2020)</w:t>
              </w:r>
            </w:hyperlink>
          </w:p>
        </w:tc>
        <w:tc>
          <w:tcPr>
            <w:tcW w:w="8180" w:type="dxa"/>
            <w:vAlign w:val="bottom"/>
            <w:gridSpan w:val="2"/>
          </w:tcPr>
          <w:p>
            <w:pPr>
              <w:spacing w:after="0"/>
              <w:rPr>
                <w:sz w:val="17"/>
                <w:szCs w:val="17"/>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9300" w:type="dxa"/>
            <w:vAlign w:val="bottom"/>
            <w:gridSpan w:val="4"/>
          </w:tcPr>
          <w:p>
            <w:pPr>
              <w:spacing w:after="0"/>
              <w:rPr>
                <w:rFonts w:ascii="Arial" w:cs="Arial" w:eastAsia="Arial" w:hAnsi="Arial"/>
                <w:sz w:val="18"/>
                <w:szCs w:val="18"/>
                <w:u w:val="single" w:color="auto"/>
                <w:color w:val="0000EE"/>
                <w:w w:val="94"/>
              </w:rPr>
            </w:pPr>
            <w:hyperlink r:id="rId111">
              <w:r>
                <w:rPr>
                  <w:rFonts w:ascii="Arial" w:cs="Arial" w:eastAsia="Arial" w:hAnsi="Arial"/>
                  <w:sz w:val="18"/>
                  <w:szCs w:val="18"/>
                  <w:u w:val="single" w:color="auto"/>
                  <w:color w:val="0000EE"/>
                  <w:w w:val="94"/>
                </w:rPr>
                <w:t>Certificate of Incorporation (incorporated by reference to Exhibit 3.1 to the registrant’s Form 8-K12B filed on June 30, 2020)</w:t>
              </w:r>
            </w:hyperlink>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24"/>
                <w:szCs w:val="24"/>
                <w:color w:val="auto"/>
              </w:rPr>
            </w:pPr>
          </w:p>
        </w:tc>
        <w:tc>
          <w:tcPr>
            <w:tcW w:w="9300" w:type="dxa"/>
            <w:vAlign w:val="bottom"/>
            <w:gridSpan w:val="4"/>
          </w:tcPr>
          <w:p>
            <w:pPr>
              <w:spacing w:after="0"/>
              <w:rPr>
                <w:rFonts w:ascii="Arial" w:cs="Arial" w:eastAsia="Arial" w:hAnsi="Arial"/>
                <w:sz w:val="18"/>
                <w:szCs w:val="18"/>
                <w:u w:val="single" w:color="auto"/>
                <w:color w:val="0000EE"/>
                <w:w w:val="91"/>
              </w:rPr>
            </w:pPr>
            <w:hyperlink r:id="rId112">
              <w:r>
                <w:rPr>
                  <w:rFonts w:ascii="Arial" w:cs="Arial" w:eastAsia="Arial" w:hAnsi="Arial"/>
                  <w:sz w:val="18"/>
                  <w:szCs w:val="18"/>
                  <w:u w:val="single" w:color="auto"/>
                  <w:color w:val="0000EE"/>
                  <w:w w:val="91"/>
                </w:rPr>
                <w:t>Amended and Restated Bylaws (incorporated by reference to Exhibit 3.2 to the registrant’s Form 8-K12B filed on June 30, 2020)</w:t>
              </w:r>
            </w:hyperlink>
          </w:p>
        </w:tc>
      </w:tr>
      <w:tr>
        <w:trPr>
          <w:trHeight w:val="365"/>
        </w:trPr>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980" w:type="dxa"/>
            <w:vAlign w:val="bottom"/>
            <w:gridSpan w:val="3"/>
          </w:tcPr>
          <w:p>
            <w:pPr>
              <w:ind w:left="406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4.1</w:t>
            </w:r>
          </w:p>
        </w:tc>
        <w:tc>
          <w:tcPr>
            <w:tcW w:w="9860" w:type="dxa"/>
            <w:vAlign w:val="bottom"/>
            <w:gridSpan w:val="15"/>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Description of Capital Stock (incorporated by reference to the registrant’s Form 8-K12B filed on June 30, 2020)</w:t>
              </w:r>
            </w:hyperlink>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gridSpan w:val="15"/>
          </w:tcPr>
          <w:p>
            <w:pPr>
              <w:spacing w:after="0"/>
              <w:rPr>
                <w:rFonts w:ascii="Arial" w:cs="Arial" w:eastAsia="Arial" w:hAnsi="Arial"/>
                <w:sz w:val="18"/>
                <w:szCs w:val="18"/>
                <w:color w:val="0000EE"/>
              </w:rPr>
            </w:pPr>
            <w:hyperlink r:id="rId115">
              <w:r>
                <w:rPr>
                  <w:rFonts w:ascii="Arial" w:cs="Arial" w:eastAsia="Arial" w:hAnsi="Arial"/>
                  <w:sz w:val="18"/>
                  <w:szCs w:val="18"/>
                  <w:color w:val="0000EE"/>
                </w:rPr>
                <w:t>Employee Incentive Option Plan (incorporated by reference to Exhibit 4.1 of the Form 20-F of Avita Medical Limited filed</w:t>
              </w:r>
            </w:hyperlink>
          </w:p>
        </w:tc>
      </w:tr>
      <w:tr>
        <w:trPr>
          <w:trHeight w:val="196"/>
        </w:trPr>
        <w:tc>
          <w:tcPr>
            <w:tcW w:w="110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September 27, 2019)†</w:t>
              </w:r>
            </w:hyperlink>
          </w:p>
        </w:tc>
        <w:tc>
          <w:tcPr>
            <w:tcW w:w="7260" w:type="dxa"/>
            <w:vAlign w:val="bottom"/>
            <w:tcBorders>
              <w:top w:val="single" w:sz="8" w:color="0000EE"/>
            </w:tcBorders>
            <w:gridSpan w:val="6"/>
          </w:tcPr>
          <w:p>
            <w:pPr>
              <w:spacing w:after="0"/>
              <w:rPr>
                <w:sz w:val="17"/>
                <w:szCs w:val="17"/>
                <w:color w:val="auto"/>
              </w:rPr>
            </w:pPr>
          </w:p>
        </w:tc>
        <w:tc>
          <w:tcPr>
            <w:tcW w:w="1000" w:type="dxa"/>
            <w:vAlign w:val="bottom"/>
            <w:gridSpan w:val="8"/>
          </w:tcPr>
          <w:p>
            <w:pPr>
              <w:spacing w:after="0"/>
              <w:rPr>
                <w:sz w:val="17"/>
                <w:szCs w:val="17"/>
                <w:color w:val="auto"/>
              </w:rPr>
            </w:pPr>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gridSpan w:val="15"/>
          </w:tcPr>
          <w:p>
            <w:pPr>
              <w:spacing w:after="0"/>
              <w:rPr>
                <w:rFonts w:ascii="Arial" w:cs="Arial" w:eastAsia="Arial" w:hAnsi="Arial"/>
                <w:sz w:val="18"/>
                <w:szCs w:val="18"/>
                <w:u w:val="single" w:color="auto"/>
                <w:color w:val="0000EE"/>
                <w:w w:val="93"/>
              </w:rPr>
            </w:pPr>
            <w:hyperlink r:id="rId116">
              <w:r>
                <w:rPr>
                  <w:rFonts w:ascii="Arial" w:cs="Arial" w:eastAsia="Arial" w:hAnsi="Arial"/>
                  <w:sz w:val="18"/>
                  <w:szCs w:val="18"/>
                  <w:u w:val="single" w:color="auto"/>
                  <w:color w:val="0000EE"/>
                  <w:w w:val="93"/>
                </w:rPr>
                <w:t>Employee Share Plan (incorporated by reference to Exhibit 4.2 of the Form 20-F of Avita Medical Limited filed September 27, 2019)†</w:t>
              </w:r>
            </w:hyperlink>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9360" w:type="dxa"/>
            <w:vAlign w:val="bottom"/>
            <w:tcBorders>
              <w:bottom w:val="single" w:sz="8" w:color="0000EE"/>
            </w:tcBorders>
            <w:gridSpan w:val="9"/>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Award Contract dated September 29, 2015 by and between the registrant and the U.S. Department of Health and Human Services</w:t>
              </w:r>
            </w:hyperlink>
          </w:p>
        </w:tc>
        <w:tc>
          <w:tcPr>
            <w:tcW w:w="500" w:type="dxa"/>
            <w:vAlign w:val="bottom"/>
            <w:gridSpan w:val="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5"/>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Biomedical Advanced Research and Development Authority (BARDA) (incorporated by reference to Exhibit 4.3 of the Form 20-F of</w:t>
              </w:r>
            </w:hyperlink>
          </w:p>
        </w:tc>
      </w:tr>
      <w:tr>
        <w:trPr>
          <w:trHeight w:val="196"/>
        </w:trPr>
        <w:tc>
          <w:tcPr>
            <w:tcW w:w="11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Avita Medical Limited filed September 27, 2019)*</w:t>
              </w:r>
            </w:hyperlink>
          </w:p>
        </w:tc>
        <w:tc>
          <w:tcPr>
            <w:tcW w:w="5960" w:type="dxa"/>
            <w:vAlign w:val="bottom"/>
            <w:tcBorders>
              <w:top w:val="single" w:sz="8" w:color="0000EE"/>
            </w:tcBorders>
            <w:gridSpan w:val="9"/>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15"/>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Award Contract dated September 29, 2015 by and between the registrant and BARDA (incorporated by reference to Exhibit 4.4 of the</w:t>
              </w:r>
            </w:hyperlink>
          </w:p>
        </w:tc>
      </w:tr>
      <w:tr>
        <w:trPr>
          <w:trHeight w:val="196"/>
        </w:trPr>
        <w:tc>
          <w:tcPr>
            <w:tcW w:w="110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Form 20-F of Avita Medical Limited filed September 27, 2019) *</w:t>
              </w:r>
            </w:hyperlink>
          </w:p>
        </w:tc>
        <w:tc>
          <w:tcPr>
            <w:tcW w:w="4920" w:type="dxa"/>
            <w:vAlign w:val="bottom"/>
            <w:tcBorders>
              <w:top w:val="single" w:sz="8" w:color="0000EE"/>
            </w:tcBorders>
            <w:gridSpan w:val="8"/>
          </w:tcPr>
          <w:p>
            <w:pPr>
              <w:spacing w:after="0"/>
              <w:rPr>
                <w:sz w:val="17"/>
                <w:szCs w:val="17"/>
                <w:color w:val="auto"/>
              </w:rPr>
            </w:pPr>
          </w:p>
        </w:tc>
        <w:tc>
          <w:tcPr>
            <w:tcW w:w="220" w:type="dxa"/>
            <w:vAlign w:val="bottom"/>
            <w:gridSpan w:val="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9860" w:type="dxa"/>
            <w:vAlign w:val="bottom"/>
            <w:gridSpan w:val="15"/>
          </w:tcPr>
          <w:p>
            <w:pPr>
              <w:spacing w:after="0"/>
              <w:rPr>
                <w:rFonts w:ascii="Arial" w:cs="Arial" w:eastAsia="Arial" w:hAnsi="Arial"/>
                <w:sz w:val="18"/>
                <w:szCs w:val="18"/>
                <w:color w:val="0000EE"/>
                <w:w w:val="93"/>
              </w:rPr>
            </w:pPr>
            <w:hyperlink r:id="rId119">
              <w:r>
                <w:rPr>
                  <w:rFonts w:ascii="Arial" w:cs="Arial" w:eastAsia="Arial" w:hAnsi="Arial"/>
                  <w:sz w:val="18"/>
                  <w:szCs w:val="18"/>
                  <w:color w:val="0000EE"/>
                  <w:w w:val="93"/>
                </w:rPr>
                <w:t>Amendment of Solicitation/Modification of Contract dated June 24, 2016 by and between the registrant and BARDA (incorporated by</w:t>
              </w:r>
            </w:hyperlink>
          </w:p>
        </w:tc>
      </w:tr>
      <w:tr>
        <w:trPr>
          <w:trHeight w:val="196"/>
        </w:trPr>
        <w:tc>
          <w:tcPr>
            <w:tcW w:w="110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reference to Exhibit 4.5 of the Form 20-F of Avita Medical Limited filed September 27, 2019) *</w:t>
              </w:r>
            </w:hyperlink>
          </w:p>
        </w:tc>
        <w:tc>
          <w:tcPr>
            <w:tcW w:w="2800" w:type="dxa"/>
            <w:vAlign w:val="bottom"/>
            <w:tcBorders>
              <w:top w:val="single" w:sz="8" w:color="0000EE"/>
            </w:tcBorders>
            <w:gridSpan w:val="7"/>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9860" w:type="dxa"/>
            <w:vAlign w:val="bottom"/>
            <w:gridSpan w:val="15"/>
          </w:tcPr>
          <w:p>
            <w:pPr>
              <w:spacing w:after="0"/>
              <w:rPr>
                <w:rFonts w:ascii="Arial" w:cs="Arial" w:eastAsia="Arial" w:hAnsi="Arial"/>
                <w:sz w:val="18"/>
                <w:szCs w:val="18"/>
                <w:color w:val="0000EE"/>
              </w:rPr>
            </w:pPr>
            <w:hyperlink r:id="rId120">
              <w:r>
                <w:rPr>
                  <w:rFonts w:ascii="Arial" w:cs="Arial" w:eastAsia="Arial" w:hAnsi="Arial"/>
                  <w:sz w:val="18"/>
                  <w:szCs w:val="18"/>
                  <w:color w:val="0000EE"/>
                </w:rPr>
                <w:t>Amendment of Solicitation/Modification of Contract dated September 28, 2017 by and between the registrant and BARDA</w:t>
              </w:r>
            </w:hyperlink>
          </w:p>
        </w:tc>
      </w:tr>
      <w:tr>
        <w:trPr>
          <w:trHeight w:val="237"/>
        </w:trPr>
        <w:tc>
          <w:tcPr>
            <w:tcW w:w="1100" w:type="dxa"/>
            <w:vAlign w:val="bottom"/>
          </w:tcPr>
          <w:p>
            <w:pPr>
              <w:spacing w:after="0"/>
              <w:rPr>
                <w:sz w:val="20"/>
                <w:szCs w:val="20"/>
                <w:color w:val="auto"/>
              </w:rPr>
            </w:pPr>
          </w:p>
        </w:tc>
        <w:tc>
          <w:tcPr>
            <w:tcW w:w="892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(incorporated by reference to Exhibit 4.6 of the Form 20-F of Avita Medical Limited filed September 27, 2019) *</w:t>
              </w:r>
            </w:hyperlink>
          </w:p>
        </w:tc>
        <w:tc>
          <w:tcPr>
            <w:tcW w:w="940" w:type="dxa"/>
            <w:vAlign w:val="bottom"/>
            <w:gridSpan w:val="7"/>
          </w:tcPr>
          <w:p>
            <w:pPr>
              <w:spacing w:after="0"/>
              <w:rPr>
                <w:sz w:val="20"/>
                <w:szCs w:val="20"/>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9860" w:type="dxa"/>
            <w:vAlign w:val="bottom"/>
            <w:gridSpan w:val="15"/>
          </w:tcPr>
          <w:p>
            <w:pPr>
              <w:spacing w:after="0"/>
              <w:rPr>
                <w:rFonts w:ascii="Arial" w:cs="Arial" w:eastAsia="Arial" w:hAnsi="Arial"/>
                <w:sz w:val="18"/>
                <w:szCs w:val="18"/>
                <w:color w:val="0000EE"/>
                <w:w w:val="95"/>
              </w:rPr>
            </w:pPr>
            <w:hyperlink r:id="rId121">
              <w:r>
                <w:rPr>
                  <w:rFonts w:ascii="Arial" w:cs="Arial" w:eastAsia="Arial" w:hAnsi="Arial"/>
                  <w:sz w:val="18"/>
                  <w:szCs w:val="18"/>
                  <w:color w:val="0000EE"/>
                  <w:w w:val="95"/>
                </w:rPr>
                <w:t>Amendment of Solicitation/Modification of Contract dated July 2, 2018 by and between the registrant and BARDA (incorporated by</w:t>
              </w:r>
            </w:hyperlink>
          </w:p>
        </w:tc>
      </w:tr>
      <w:tr>
        <w:trPr>
          <w:trHeight w:val="196"/>
        </w:trPr>
        <w:tc>
          <w:tcPr>
            <w:tcW w:w="110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reference to Exhibit 4.7 of the Form 20-F of Avita Medical Limited filed September 27, 2019) *</w:t>
              </w:r>
            </w:hyperlink>
          </w:p>
        </w:tc>
        <w:tc>
          <w:tcPr>
            <w:tcW w:w="2680" w:type="dxa"/>
            <w:vAlign w:val="bottom"/>
            <w:tcBorders>
              <w:top w:val="single" w:sz="8" w:color="0000EE"/>
            </w:tcBorders>
            <w:gridSpan w:val="4"/>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9860" w:type="dxa"/>
            <w:vAlign w:val="bottom"/>
            <w:tcBorders>
              <w:bottom w:val="single" w:sz="8" w:color="0000EE"/>
            </w:tcBorders>
            <w:gridSpan w:val="15"/>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Lease Agreement between the registrant and Hartco Ventura Inc. dated January 25, 2018 (incorporated by reference to Exhibit 4.8 of the</w:t>
              </w:r>
            </w:hyperlink>
          </w:p>
        </w:tc>
      </w:tr>
      <w:tr>
        <w:trPr>
          <w:trHeight w:val="196"/>
        </w:trPr>
        <w:tc>
          <w:tcPr>
            <w:tcW w:w="1100" w:type="dxa"/>
            <w:vAlign w:val="bottom"/>
          </w:tcPr>
          <w:p>
            <w:pPr>
              <w:spacing w:after="0"/>
              <w:rPr>
                <w:sz w:val="17"/>
                <w:szCs w:val="17"/>
                <w:color w:val="auto"/>
              </w:rPr>
            </w:pPr>
          </w:p>
        </w:tc>
        <w:tc>
          <w:tcPr>
            <w:tcW w:w="45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Form 20-F of Avita Medical Limited filed September 27, 2019)</w:t>
              </w:r>
            </w:hyperlink>
          </w:p>
        </w:tc>
        <w:tc>
          <w:tcPr>
            <w:tcW w:w="5280" w:type="dxa"/>
            <w:vAlign w:val="bottom"/>
            <w:gridSpan w:val="1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9860" w:type="dxa"/>
            <w:vAlign w:val="bottom"/>
            <w:gridSpan w:val="15"/>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Lease Agreement between the registrant and RIF-Avenue Stanford LLC, dated October 3, 2016, as amended (incorporated by reference</w:t>
              </w:r>
            </w:hyperlink>
          </w:p>
        </w:tc>
      </w:tr>
      <w:tr>
        <w:trPr>
          <w:trHeight w:val="196"/>
        </w:trPr>
        <w:tc>
          <w:tcPr>
            <w:tcW w:w="1100" w:type="dxa"/>
            <w:vAlign w:val="bottom"/>
          </w:tcPr>
          <w:p>
            <w:pPr>
              <w:spacing w:after="0"/>
              <w:rPr>
                <w:sz w:val="17"/>
                <w:szCs w:val="17"/>
                <w:color w:val="auto"/>
              </w:rPr>
            </w:pPr>
          </w:p>
        </w:tc>
        <w:tc>
          <w:tcPr>
            <w:tcW w:w="9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to Exhibit 4.9 of the Form 20-F of Avita Medical Limited filed September 27, 2019)</w:t>
              </w:r>
            </w:hyperlink>
          </w:p>
        </w:tc>
        <w:tc>
          <w:tcPr>
            <w:tcW w:w="60" w:type="dxa"/>
            <w:vAlign w:val="bottom"/>
          </w:tcPr>
          <w:p>
            <w:pPr>
              <w:spacing w:after="0"/>
              <w:rPr>
                <w:sz w:val="17"/>
                <w:szCs w:val="17"/>
                <w:color w:val="auto"/>
              </w:rPr>
            </w:pPr>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14.1</w:t>
            </w:r>
          </w:p>
        </w:tc>
        <w:tc>
          <w:tcPr>
            <w:tcW w:w="606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Code of Ethics **</w:t>
              </w:r>
            </w:hyperlink>
          </w:p>
        </w:tc>
        <w:tc>
          <w:tcPr>
            <w:tcW w:w="3800" w:type="dxa"/>
            <w:vAlign w:val="bottom"/>
            <w:gridSpan w:val="10"/>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21.1</w:t>
            </w:r>
          </w:p>
        </w:tc>
        <w:tc>
          <w:tcPr>
            <w:tcW w:w="9860" w:type="dxa"/>
            <w:vAlign w:val="bottom"/>
            <w:gridSpan w:val="15"/>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Subsidiaries of the Registrant **</w:t>
              </w:r>
            </w:hyperlink>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gridSpan w:val="15"/>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Certification of CEO pursuant to Section 302 of The Sarbanes-Oxley Act of 2002 **</w:t>
              </w:r>
            </w:hyperlink>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gridSpan w:val="15"/>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Certification of CFO pursuant to Section 302 of The Sarbanes-Oxley Act of 2002 **</w:t>
              </w:r>
            </w:hyperlink>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gridSpan w:val="15"/>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Certification of CEO and CFO pursuant to Section 906 of The Sarbanes-Oxley Act of 2002**</w:t>
              </w:r>
            </w:hyperlink>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23"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Certain identified confidential information has been redacted from this exhibit because it is both (i) not material and (ii) would be competitively</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harmful if publicly disclosed.</w:t>
      </w:r>
    </w:p>
    <w:p>
      <w:pPr>
        <w:spacing w:after="0" w:line="9"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139"/>
          </w:cols>
          <w:pgMar w:left="320" w:top="45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 August 27, 2020</w:t>
      </w:r>
      <w:r>
        <w:rPr>
          <w:sz w:val="20"/>
          <w:szCs w:val="20"/>
          <w:color w:val="auto"/>
        </w:rPr>
        <w:tab/>
      </w:r>
      <w:r>
        <w:rPr>
          <w:rFonts w:ascii="Arial" w:cs="Arial" w:eastAsia="Arial" w:hAnsi="Arial"/>
          <w:sz w:val="16"/>
          <w:szCs w:val="16"/>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 August 27, 2020</w:t>
      </w:r>
      <w:r>
        <w:rPr>
          <w:sz w:val="20"/>
          <w:szCs w:val="20"/>
          <w:color w:val="auto"/>
        </w:rPr>
        <w:tab/>
      </w:r>
      <w:r>
        <w:rPr>
          <w:rFonts w:ascii="Arial" w:cs="Arial" w:eastAsia="Arial" w:hAnsi="Arial"/>
          <w:sz w:val="17"/>
          <w:szCs w:val="17"/>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McIntyre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Title</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3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/s/ Dr. Michael Perry</w:t>
            </w:r>
          </w:p>
        </w:tc>
        <w:tc>
          <w:tcPr>
            <w:tcW w:w="120" w:type="dxa"/>
            <w:vAlign w:val="bottom"/>
          </w:tcPr>
          <w:p>
            <w:pPr>
              <w:spacing w:after="0"/>
              <w:rPr>
                <w:sz w:val="18"/>
                <w:szCs w:val="18"/>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00" w:type="dxa"/>
            <w:vAlign w:val="bottom"/>
          </w:tcPr>
          <w:p>
            <w:pPr>
              <w:spacing w:after="0"/>
              <w:rPr>
                <w:sz w:val="18"/>
                <w:szCs w:val="18"/>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August 27, 2020</w:t>
            </w: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2"/>
              </w:rPr>
              <w:t>Dr. Michael Perry</w:t>
            </w:r>
          </w:p>
        </w:tc>
        <w:tc>
          <w:tcPr>
            <w:tcW w:w="120" w:type="dxa"/>
            <w:vAlign w:val="bottom"/>
          </w:tcPr>
          <w:p>
            <w:pPr>
              <w:spacing w:after="0"/>
              <w:rPr>
                <w:sz w:val="19"/>
                <w:szCs w:val="19"/>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Executive Officer)</w:t>
            </w:r>
          </w:p>
        </w:tc>
        <w:tc>
          <w:tcPr>
            <w:tcW w:w="2880" w:type="dxa"/>
            <w:vAlign w:val="bottom"/>
          </w:tcPr>
          <w:p>
            <w:pPr>
              <w:spacing w:after="0"/>
              <w:rPr>
                <w:sz w:val="19"/>
                <w:szCs w:val="19"/>
                <w:color w:val="auto"/>
              </w:rPr>
            </w:pPr>
          </w:p>
        </w:tc>
      </w:tr>
      <w:tr>
        <w:trPr>
          <w:trHeight w:val="43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McIntyre</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August 27, 2020</w:t>
            </w: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6"/>
              </w:rPr>
              <w:t>David McIntyre</w:t>
            </w:r>
          </w:p>
        </w:tc>
        <w:tc>
          <w:tcPr>
            <w:tcW w:w="120" w:type="dxa"/>
            <w:vAlign w:val="bottom"/>
          </w:tcPr>
          <w:p>
            <w:pPr>
              <w:spacing w:after="0"/>
              <w:rPr>
                <w:sz w:val="19"/>
                <w:szCs w:val="19"/>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Financial and Accounting Officer)</w:t>
            </w:r>
          </w:p>
        </w:tc>
        <w:tc>
          <w:tcPr>
            <w:tcW w:w="2880" w:type="dxa"/>
            <w:vAlign w:val="bottom"/>
          </w:tcPr>
          <w:p>
            <w:pPr>
              <w:spacing w:after="0"/>
              <w:rPr>
                <w:sz w:val="19"/>
                <w:szCs w:val="19"/>
                <w:color w:val="auto"/>
              </w:rPr>
            </w:pPr>
          </w:p>
        </w:tc>
      </w:tr>
      <w:tr>
        <w:trPr>
          <w:trHeight w:val="43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Lou Pannaccio</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August 27, 2020</w:t>
            </w: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1"/>
              </w:rPr>
              <w:t>Lou Panaccio</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3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Jeremy Curnock Cook</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August 27, 2020</w:t>
            </w: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0"/>
              </w:rPr>
              <w:t>Jeremy Curnock Cook</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3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Louis Drapeau</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August 27, 2020</w:t>
            </w: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2"/>
              </w:rPr>
              <w:t>Louis Drapeau</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3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Damien McDonald</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August 27, 2020</w:t>
            </w: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94"/>
              </w:rPr>
              <w:t>Damien McDonald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31"/>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Suzanne Crowe</w:t>
            </w:r>
          </w:p>
        </w:tc>
        <w:tc>
          <w:tcPr>
            <w:tcW w:w="120" w:type="dxa"/>
            <w:vAlign w:val="bottom"/>
          </w:tcPr>
          <w:p>
            <w:pPr>
              <w:spacing w:after="0"/>
              <w:rPr>
                <w:sz w:val="24"/>
                <w:szCs w:val="24"/>
                <w:color w:val="auto"/>
              </w:rPr>
            </w:pPr>
          </w:p>
        </w:tc>
        <w:tc>
          <w:tcPr>
            <w:tcW w:w="4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August 27, 2020</w:t>
            </w:r>
          </w:p>
        </w:tc>
      </w:tr>
      <w:tr>
        <w:trPr>
          <w:trHeight w:val="224"/>
        </w:trPr>
        <w:tc>
          <w:tcPr>
            <w:tcW w:w="3080" w:type="dxa"/>
            <w:vAlign w:val="bottom"/>
          </w:tcPr>
          <w:p>
            <w:pPr>
              <w:jc w:val="center"/>
              <w:spacing w:after="0"/>
              <w:rPr>
                <w:sz w:val="20"/>
                <w:szCs w:val="20"/>
                <w:color w:val="auto"/>
              </w:rPr>
            </w:pPr>
            <w:r>
              <w:rPr>
                <w:rFonts w:ascii="Arial" w:cs="Arial" w:eastAsia="Arial" w:hAnsi="Arial"/>
                <w:sz w:val="18"/>
                <w:szCs w:val="18"/>
                <w:color w:val="auto"/>
                <w:w w:val="87"/>
              </w:rPr>
              <w:t>Suzanne Crowe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364"/>
        </w:trPr>
        <w:tc>
          <w:tcPr>
            <w:tcW w:w="3080" w:type="dxa"/>
            <w:vAlign w:val="bottom"/>
          </w:tcPr>
          <w:p>
            <w:pPr>
              <w:spacing w:after="0"/>
              <w:rPr>
                <w:sz w:val="24"/>
                <w:szCs w:val="24"/>
                <w:color w:val="auto"/>
              </w:rPr>
            </w:pPr>
          </w:p>
        </w:tc>
        <w:tc>
          <w:tcPr>
            <w:tcW w:w="4960" w:type="dxa"/>
            <w:vAlign w:val="bottom"/>
            <w:gridSpan w:val="2"/>
          </w:tcPr>
          <w:p>
            <w:pPr>
              <w:jc w:val="right"/>
              <w:ind w:right="235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195"/>
        </w:trPr>
        <w:tc>
          <w:tcPr>
            <w:tcW w:w="1066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w:t>
            </w:r>
          </w:p>
        </w:tc>
        <w:tc>
          <w:tcPr>
            <w:tcW w:w="20" w:type="dxa"/>
            <w:vAlign w:val="bottom"/>
          </w:tcPr>
          <w:p>
            <w:pPr>
              <w:spacing w:after="0"/>
              <w:rPr>
                <w:sz w:val="16"/>
                <w:szCs w:val="16"/>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106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Consolidated Balance Sheets as of June 30, 2020 and 2019</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106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Consolidated Statements of Operations for the Years Ended June 30, 2020, 2019 and 2018</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106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Consolidated Statements of Comprehensive Loss for the Years Ended June 30, 2020, 2019 and 2018</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106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Consolidated Statements of Stockholders’ Equity for the Years Ended June 20, 2020, 2019 and 2018</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106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Consolidated Statements of Cash Flows for the Years Ended June 30, 2020, 2019 and 2018</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106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r>
      <w:tr>
        <w:trPr>
          <w:trHeight w:val="230"/>
        </w:trPr>
        <w:tc>
          <w:tcPr>
            <w:tcW w:w="1066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Notes to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64"/>
        </w:trPr>
        <w:tc>
          <w:tcPr>
            <w:tcW w:w="10660" w:type="dxa"/>
            <w:vAlign w:val="bottom"/>
          </w:tcPr>
          <w:p>
            <w:pPr>
              <w:ind w:left="538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AVITA Therapeutics, Inc.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audited the accompanying consolidated balance sheets of AVITA Therapeutics, Inc. (a Delaware corporation) and subsidiaries (the</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as of June 30, 2020 and 2019, the related consolidated statements of operations, comprehensive loss, shareholders’ equity, and cash flows for each of the three years in the period ended June 30, 2020, and the related notes (collectively referred to as the “financial statements”). In our opinion, the financial statements present fairly, in all material respects, the financial position of the Company as of June 30, 2020 and 2019, and the results of its operations and its cash flows for each of the three years in the period ended June 30, 2020, in conformity with accounting principles generally accepted in the United States of America.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jc w:val="both"/>
        <w:ind w:left="120" w:right="140"/>
        <w:spacing w:after="0" w:line="342" w:lineRule="auto"/>
        <w:rPr>
          <w:sz w:val="20"/>
          <w:szCs w:val="20"/>
          <w:color w:val="auto"/>
        </w:rPr>
      </w:pPr>
      <w:r>
        <w:rPr>
          <w:rFonts w:ascii="Arial" w:cs="Arial" w:eastAsia="Arial" w:hAnsi="Arial"/>
          <w:sz w:val="16"/>
          <w:szCs w:val="16"/>
          <w:color w:val="auto"/>
        </w:rPr>
        <w:t>As discussed in Note 2 to the consolidated financial statements, the Company has changed its method of accounting for leasing arrangements effective July 1, 2019 due to the adoption of the guidance in Accounting Standards Codification Topic 842, Leases, using the current period adjustment method.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statements based on our audits. We are a public accounting firm registered with the Public Company Accounting Oversight Board (United States)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PCAOB</w:t>
      </w:r>
      <w:r>
        <w:rPr>
          <w:rFonts w:ascii="Arial" w:cs="Arial" w:eastAsia="Arial" w:hAnsi="Arial"/>
          <w:sz w:val="16"/>
          <w:szCs w:val="16"/>
          <w:color w:val="auto"/>
        </w:rPr>
        <w:t>”) and are required to be independent with respect to the Company in accordance with the U.S. federal securities laws and the applicable rules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regulations of the Securities and Exchange Commission and the PCAOB.</w:t>
      </w:r>
    </w:p>
    <w:p>
      <w:pPr>
        <w:spacing w:after="0" w:line="21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August 27,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9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73,639</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20,174</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1,403</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BARDA receivables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382</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R&amp;D tax credits</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Prepaids and other current assets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1,098</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24,125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Plant and equipment, net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1,309</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82,462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25,784</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4,333</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1,916</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wages and fringe benefits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2,127</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Contract liabilities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long term</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4,952</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Contingencies (Note 10)</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100" w:type="dxa"/>
            <w:vAlign w:val="bottom"/>
          </w:tcPr>
          <w:p>
            <w:pPr>
              <w:spacing w:after="0" w:line="201" w:lineRule="exact"/>
              <w:rPr>
                <w:sz w:val="20"/>
                <w:szCs w:val="20"/>
                <w:color w:val="auto"/>
              </w:rPr>
            </w:pPr>
            <w:r>
              <w:rPr>
                <w:rFonts w:ascii="Arial" w:cs="Arial" w:eastAsia="Arial" w:hAnsi="Arial"/>
                <w:sz w:val="18"/>
                <w:szCs w:val="18"/>
                <w:color w:val="auto"/>
                <w:w w:val="91"/>
              </w:rPr>
              <w:t>Common stock, $0.0001 par value per share, 200,000,000 shares authorized, 21,467,912 and 18,712,996 shares issued and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100" w:type="dxa"/>
            <w:vAlign w:val="bottom"/>
          </w:tcPr>
          <w:p>
            <w:pPr>
              <w:ind w:left="180"/>
              <w:spacing w:after="0"/>
              <w:rPr>
                <w:sz w:val="20"/>
                <w:szCs w:val="20"/>
                <w:color w:val="auto"/>
              </w:rPr>
            </w:pPr>
            <w:r>
              <w:rPr>
                <w:rFonts w:ascii="Arial" w:cs="Arial" w:eastAsia="Arial" w:hAnsi="Arial"/>
                <w:sz w:val="18"/>
                <w:szCs w:val="18"/>
                <w:color w:val="auto"/>
              </w:rPr>
              <w:t>outstanding at June 30, 2020 and 2019, respectively</w:t>
            </w: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02"/>
        </w:trPr>
        <w:tc>
          <w:tcPr>
            <w:tcW w:w="9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$0.0001 par value per share, 10,000,000 shares authorized, no shares issued or outstanding at June 30,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and 2019</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259,165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165,473</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8,184</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(194,913)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(152,828)</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20,832</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82,462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25,784</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Year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Cost of sales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r>
      <w:tr>
        <w:trPr>
          <w:trHeight w:val="27"/>
        </w:trPr>
        <w:tc>
          <w:tcPr>
            <w:tcW w:w="5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BARDA income</w:t>
            </w:r>
          </w:p>
        </w:tc>
        <w:tc>
          <w:tcPr>
            <w:tcW w:w="2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7,734</w:t>
            </w:r>
          </w:p>
        </w:tc>
        <w:tc>
          <w:tcPr>
            <w:tcW w:w="12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Sales and marketing expenses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14,813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12,253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4,875</w:t>
            </w: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9,403</w:t>
            </w: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8,461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6,257</w:t>
            </w: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21,958</w:t>
            </w:r>
          </w:p>
        </w:tc>
        <w:tc>
          <w:tcPr>
            <w:tcW w:w="12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(13,841)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(42,026)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(13,809)</w:t>
            </w:r>
          </w:p>
        </w:tc>
        <w:tc>
          <w:tcPr>
            <w:tcW w:w="12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2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(12,735)</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Basic</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20,290,966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16,064,588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9,326,810</w:t>
            </w: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20,290,966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16,064,588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9,326,810</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36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40" w:type="dxa"/>
            <w:vAlign w:val="bottom"/>
            <w:gridSpan w:val="3"/>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04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Paid-in-Capital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Gain (Loss)</w:t>
            </w:r>
          </w:p>
        </w:tc>
        <w:tc>
          <w:tcPr>
            <w:tcW w:w="120" w:type="dxa"/>
            <w:vAlign w:val="bottom"/>
          </w:tcPr>
          <w:p>
            <w:pPr>
              <w:spacing w:after="0"/>
              <w:rPr>
                <w:sz w:val="14"/>
                <w:szCs w:val="14"/>
                <w:color w:val="auto"/>
              </w:rPr>
            </w:pPr>
          </w:p>
        </w:tc>
        <w:tc>
          <w:tcPr>
            <w:tcW w:w="102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1, 2017</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6,732,198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84"/>
              </w:rPr>
              <w:t>8,058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(114,991)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(12,735)</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direct placement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6,329,615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22,792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Issuance costs associated with direct placement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9"/>
              </w:rPr>
              <w:t>Issuance of common stock to director in lieu of directors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fees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6,970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Cancelled shares</w:t>
            </w:r>
          </w:p>
        </w:tc>
        <w:tc>
          <w:tcPr>
            <w:tcW w:w="1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(295,000)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Translation gain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12,773,783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8,083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w w:val="98"/>
              </w:rPr>
              <w:t>(127,726)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14,032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(25,102)</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direct placement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5,870,613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32,454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Issuance costs associated with direct placement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68,600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Translation gain</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18,712,996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165,473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w w:val="84"/>
              </w:rPr>
              <w:t>8,184</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(152,828)</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(42,030)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(42,030)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Issuance of common stock under direct placement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2,033,898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81,702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81,702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associated with direct placement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16,486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Vesting of RSU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605,183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to director in lieu of directors</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15,853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9"/>
              </w:rPr>
              <w:t>Beginning balance adjustment related ot the adoption of</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ASC 842</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Translation loss</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21,467,912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259,165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4"/>
              </w:rPr>
              <w:t>8,146</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(194,913</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(42,030)</w:t>
            </w:r>
          </w:p>
        </w:tc>
        <w:tc>
          <w:tcPr>
            <w:tcW w:w="4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(25,102)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(12,735)</w:t>
            </w:r>
          </w:p>
        </w:tc>
        <w:tc>
          <w:tcPr>
            <w:tcW w:w="12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 comprehensive income gain/(loss):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(42,068</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(25,001</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(12,710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7"/>
              <w:spacing w:after="0"/>
              <w:rPr>
                <w:sz w:val="20"/>
                <w:szCs w:val="20"/>
                <w:color w:val="auto"/>
              </w:rPr>
            </w:pPr>
            <w:r>
              <w:rPr>
                <w:rFonts w:ascii="Arial" w:cs="Arial" w:eastAsia="Arial" w:hAnsi="Arial"/>
                <w:sz w:val="14"/>
                <w:szCs w:val="14"/>
                <w:b w:val="1"/>
                <w:bCs w:val="1"/>
                <w:color w:val="auto"/>
              </w:rPr>
              <w:t>Years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(42,030)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(25,102)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(12,735)</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Loss on fixed assset disposal</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transactions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Provision for bad debt expense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obsolesence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Share based compensation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16,486</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1,423</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to directors in lieu of directors fees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R&amp;D tax credit benefit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(1,101)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Trade and other receivables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(729)</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BARDA receivables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(1,889)</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R&amp;D tax credits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Prepaids and other current 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Other long term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Accrued wages and fringe benefits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 term liabilities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3"/>
        </w:trPr>
        <w:tc>
          <w:tcPr>
            <w:tcW w:w="6700" w:type="dxa"/>
            <w:vAlign w:val="bottom"/>
          </w:tcPr>
          <w:p>
            <w:pPr>
              <w:ind w:left="720"/>
              <w:spacing w:after="0"/>
              <w:rPr>
                <w:sz w:val="20"/>
                <w:szCs w:val="20"/>
                <w:color w:val="auto"/>
              </w:rPr>
            </w:pPr>
            <w:r>
              <w:rPr>
                <w:rFonts w:ascii="Arial" w:cs="Arial" w:eastAsia="Arial" w:hAnsi="Arial"/>
                <w:sz w:val="18"/>
                <w:szCs w:val="18"/>
                <w:color w:val="auto"/>
              </w:rPr>
              <w:t>Net cash used in operations</w:t>
            </w:r>
          </w:p>
        </w:tc>
        <w:tc>
          <w:tcPr>
            <w:tcW w:w="1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(22,747)</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(19,250)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(12,960)</w:t>
            </w: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Cash paid for property and equipment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patent filing fees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Proceeds from direct placement of common stock</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81,702</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32,453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22,791</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cost associated with direct placement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(1,435)</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Principal repayment of finance lease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77,057</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21,295</w:t>
            </w: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color w:val="auto"/>
              </w:rPr>
              <w:t>Net increase in cash and restricted cash</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53,466</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9,388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8,072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at beginning of year</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20,374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2,914</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Cash and restricted cash end of year</w:t>
            </w:r>
          </w:p>
        </w:tc>
        <w:tc>
          <w:tcPr>
            <w:tcW w:w="1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73,840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10,986</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color w:val="auto"/>
              </w:rPr>
              <w:t>Cash paid for:</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Fixed assets in accounts payable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These financial statements include the assets, liabilities, revenues and expenses of all wholly-owned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AVITA group of companies (comprising AVITA Therapeutics, Inc. (“AVITA Therapeutics” or the “Company”) and its subsidiaries, including AVITA Medical Limited (“AVITA Medical”)) (collectively, “AVITA Group” or “we”, “us”, or “our”) is a commercial-stage regenerative tissue company focused on the treatment of burns, trauma and other acute injuries, including vitiligo. The Company’s lead product is the RECELL System, a device that enables healthcare professionals to produce a suspension of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sample of the patient’s own skin. In September 2018, the United States Food &amp; Drug Administration (“</w:t>
      </w:r>
      <w:r>
        <w:rPr>
          <w:rFonts w:ascii="Arial" w:cs="Arial" w:eastAsia="Arial" w:hAnsi="Arial"/>
          <w:sz w:val="16"/>
          <w:szCs w:val="16"/>
          <w:b w:val="1"/>
          <w:bCs w:val="1"/>
          <w:color w:val="auto"/>
        </w:rPr>
        <w:t>FDA</w:t>
      </w:r>
      <w:r>
        <w:rPr>
          <w:rFonts w:ascii="Arial" w:cs="Arial" w:eastAsia="Arial" w:hAnsi="Arial"/>
          <w:sz w:val="16"/>
          <w:szCs w:val="16"/>
          <w:color w:val="auto"/>
        </w:rPr>
        <w:t>”) granted premarket approval (PMA) to the RECELL System for use in the treatment of acute thermal burns in patients eighteen years and older. Following receipt of our PMA, we commenced commercializing the RECELL System in January 2019 in the United States. In addition, the FDA has granted the Company three Investigational Device Exemptions (“</w:t>
      </w:r>
      <w:r>
        <w:rPr>
          <w:rFonts w:ascii="Arial" w:cs="Arial" w:eastAsia="Arial" w:hAnsi="Arial"/>
          <w:sz w:val="16"/>
          <w:szCs w:val="16"/>
          <w:b w:val="1"/>
          <w:bCs w:val="1"/>
          <w:color w:val="auto"/>
        </w:rPr>
        <w:t>IDEs</w:t>
      </w:r>
      <w:r>
        <w:rPr>
          <w:rFonts w:ascii="Arial" w:cs="Arial" w:eastAsia="Arial" w:hAnsi="Arial"/>
          <w:sz w:val="16"/>
          <w:szCs w:val="16"/>
          <w:color w:val="auto"/>
        </w:rPr>
        <w:t>”) which enable the Company to initiate pivotal clinical investigational studies to seek expanded FDA (supplementary) PMA of the RECELL System for each of soft tissue reconstruction, pediatric scalds, and vitiligo. Enrollment of those clinical studies is ongoing and, if successful, those studies would enable the Company to commence commercializing the RECELL System in the United States in each of those indications.</w:t>
      </w:r>
    </w:p>
    <w:p>
      <w:pPr>
        <w:spacing w:after="0" w:line="164" w:lineRule="exact"/>
        <w:rPr>
          <w:sz w:val="20"/>
          <w:szCs w:val="20"/>
          <w:color w:val="auto"/>
        </w:rPr>
      </w:pPr>
    </w:p>
    <w:p>
      <w:pPr>
        <w:ind w:left="120" w:right="140" w:firstLine="440"/>
        <w:spacing w:after="0" w:line="298" w:lineRule="auto"/>
        <w:rPr>
          <w:sz w:val="20"/>
          <w:szCs w:val="20"/>
          <w:color w:val="auto"/>
        </w:rPr>
      </w:pPr>
      <w:r>
        <w:rPr>
          <w:rFonts w:ascii="Arial" w:cs="Arial" w:eastAsia="Arial" w:hAnsi="Arial"/>
          <w:sz w:val="16"/>
          <w:szCs w:val="16"/>
          <w:color w:val="auto"/>
        </w:rPr>
        <w:t>In March 2020, the World Health Organization declared the outbreak of a novel strain of the coronavirus (“</w:t>
      </w:r>
      <w:r>
        <w:rPr>
          <w:rFonts w:ascii="Arial" w:cs="Arial" w:eastAsia="Arial" w:hAnsi="Arial"/>
          <w:sz w:val="16"/>
          <w:szCs w:val="16"/>
          <w:b w:val="1"/>
          <w:bCs w:val="1"/>
          <w:color w:val="auto"/>
        </w:rPr>
        <w:t>COVID-19</w:t>
      </w:r>
      <w:r>
        <w:rPr>
          <w:rFonts w:ascii="Arial" w:cs="Arial" w:eastAsia="Arial" w:hAnsi="Arial"/>
          <w:sz w:val="16"/>
          <w:szCs w:val="16"/>
          <w:color w:val="auto"/>
        </w:rPr>
        <w:t>”) a pandemic. During the last two quarters of fiscal year 2020, the pandemic had minor effects on the Company’s consolidated results of operations. With respect to future operating results, it is not possible at this time to predict, with any degree of precision, the effects of the pandemic. Consequently, accounting estimates and assumptions, particularly those relating to the recoverability of certain intangible assets and estimates of expected credit losses on accounts receivable, require management judgments concerning the effects of the economic downturn and recovery, which are inherently imprecise.</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Redomiciliation</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June 29, 2020, the Company, a newly formed Delaware corporation, acquired all of the issued share capital of AVITA Medical Limited (“</w:t>
      </w:r>
      <w:r>
        <w:rPr>
          <w:rFonts w:ascii="Arial" w:cs="Arial" w:eastAsia="Arial" w:hAnsi="Arial"/>
          <w:sz w:val="16"/>
          <w:szCs w:val="16"/>
          <w:b w:val="1"/>
          <w:bCs w:val="1"/>
          <w:color w:val="auto"/>
        </w:rPr>
        <w:t>AVITA Medical</w:t>
      </w:r>
      <w:r>
        <w:rPr>
          <w:rFonts w:ascii="Arial" w:cs="Arial" w:eastAsia="Arial" w:hAnsi="Arial"/>
          <w:sz w:val="16"/>
          <w:szCs w:val="16"/>
          <w:color w:val="auto"/>
        </w:rPr>
        <w:t>”), a public company incorporated under the laws of the Commonwealth of Australia and former parent company of the AVITA Group. The acquisition was completed pursuant to a scheme of arrangement under Australian law, and was approved by the Federal Court of Australia on June 22, 2020, and by shareholders of AVITA Medical on June 15, 2020 (the Redomiciliation). Under the Redomiciliation, all of the issued and outstanding ordinary shares of AVITA Medical, including those ordinary shares held in the form of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were exchanged for newly issued shares of common stock of the Company or CHESS Depositary Interests (“</w:t>
      </w:r>
      <w:r>
        <w:rPr>
          <w:rFonts w:ascii="Arial" w:cs="Arial" w:eastAsia="Arial" w:hAnsi="Arial"/>
          <w:sz w:val="16"/>
          <w:szCs w:val="16"/>
          <w:b w:val="1"/>
          <w:bCs w:val="1"/>
          <w:color w:val="auto"/>
        </w:rPr>
        <w:t>CDIs</w:t>
      </w:r>
      <w:r>
        <w:rPr>
          <w:rFonts w:ascii="Arial" w:cs="Arial" w:eastAsia="Arial" w:hAnsi="Arial"/>
          <w:sz w:val="16"/>
          <w:szCs w:val="16"/>
          <w:color w:val="auto"/>
        </w:rPr>
        <w:t xml:space="preserve">”). This exchange was conducted on the basis of one share of common stock of AVITA Therapeutics for every 100 ordinary shares of AVITA Medical, effecting an ‘implicit consolidation’ or ‘reverse split’. The holders of ordinary shares of AVITA Medical received one CDI for every 20 ordinary shares held in AVITA Medical, and the holders of AVITA Medical </w:t>
      </w:r>
      <w:r>
        <w:rPr>
          <w:rFonts w:ascii="Arial" w:cs="Arial" w:eastAsia="Arial" w:hAnsi="Arial"/>
          <w:sz w:val="16"/>
          <w:szCs w:val="16"/>
          <w:b w:val="1"/>
          <w:bCs w:val="1"/>
          <w:color w:val="auto"/>
        </w:rPr>
        <w:t>ADSs</w:t>
      </w:r>
      <w:r>
        <w:rPr>
          <w:rFonts w:ascii="Arial" w:cs="Arial" w:eastAsia="Arial" w:hAnsi="Arial"/>
          <w:sz w:val="16"/>
          <w:szCs w:val="16"/>
          <w:color w:val="auto"/>
        </w:rPr>
        <w:t xml:space="preserve"> (each of which represented 20 ordinary shares in AVITA Medical) received one share of common stock in AVITA Therapeutics for every five ADSs held. The Company’s common stock began trading on The NASDAQ Stock Exchange LLC (“</w:t>
      </w:r>
      <w:r>
        <w:rPr>
          <w:rFonts w:ascii="Arial" w:cs="Arial" w:eastAsia="Arial" w:hAnsi="Arial"/>
          <w:sz w:val="16"/>
          <w:szCs w:val="16"/>
          <w:b w:val="1"/>
          <w:bCs w:val="1"/>
          <w:color w:val="auto"/>
        </w:rPr>
        <w:t>NASDAQ</w:t>
      </w:r>
      <w:r>
        <w:rPr>
          <w:rFonts w:ascii="Arial" w:cs="Arial" w:eastAsia="Arial" w:hAnsi="Arial"/>
          <w:sz w:val="16"/>
          <w:szCs w:val="16"/>
          <w:color w:val="auto"/>
        </w:rPr>
        <w:t>”) upon market open on July 1, 2020 under the same ticker code, “RCEL” as AVITA Medical’s ADSs were traded under prior to the Redomiciliation.</w:t>
      </w:r>
    </w:p>
    <w:p>
      <w:pPr>
        <w:spacing w:after="0" w:line="17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part of the exchange of shares under the Redomiciliation, a reverse split was also simultaneously implemented such that the number of shares of common stock on issue in the Company (as set out in the consolidated financial statements) is less than the number of ordinary shares in AVITA Medical that was previously set out in the consolidated financial statements of AVITA Medical.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Redomiciliation resulted in the domicile of the AVITA Group moving from Australia to the United States of America, with AVITA Therapeutics becoming the ultimate parent company of the AVITA Group. In addition, the existing listing of AVITA Medical ordinary shares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(as its primary listing) and AVITA Medical ADSs on NASDAQ (as its secondary listing) was inverted and replaced with a new listing of AVITA Therapeutics common stock on NASDAQ (as its primary listing) under the existing ticker symbol, “RCEL” and AVITA Therapeutics CDIs on the ASX (as its secondary listing) under the existing ticker symbol, AVH. Five CDIs traded on ASX are equivalent to one share of common stock traded on NASDAQ.</w:t>
      </w:r>
    </w:p>
    <w:p>
      <w:pPr>
        <w:spacing w:after="0" w:line="192"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As a result of the Redomiciliation, the reporting currency of the AVITA Group has changed from the Australian dollar to the U.S. dollar. In accordance with SEC regulation, SX Rule 320 (e), the impact of the change in the reporting currency was included in a component of other comprehensive income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As a result of the redomiciliation described above, the parent company of the AVITA group changed from AVITA Medical to AVITA Therapeutics, Inc. All intercompany transactions and balances have been eliminated on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preparation of the accompanying consolidated financial statements in conformity with U.S. GAAP requires management to make estimates and assumptions that affect the reported amounts (including doubtful accounts, carrying value of long-lived asset, the useful lives of long-lived assets, accounting for income taxes and stock-based compensation) and related disclosures. Estimates have been prepared on the basis of the current and available information. However, actual results could differ from estimated amounts.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financial position and results of operations of the Company’s non-U.S. subsidiaries were generally determined using the respective local currency as the functional currency. Assets and liabilities of these subsidiaries are translated at the exchange rate in effect at each year end. Income statement accounts are translated at the average rate of exchange prevailing during the year. Adjustments arising from the use of differing exchange rates from period to period are included in accumulated other comprehensive gain (loss) in shareholders’ equity. Gains and losses resulting from foreign currency transactions, which are not material, are included in general and administrative expenses in the consolidated statements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Revenues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Effective July 1, 2018, the Company adopted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using the modified retrospective method applicable to all contracts that were not completed at the date of initial application. This update</w:t>
      </w:r>
      <w:r>
        <w:rPr>
          <w:rFonts w:ascii="Arial" w:cs="Arial" w:eastAsia="Arial" w:hAnsi="Arial"/>
          <w:sz w:val="18"/>
          <w:szCs w:val="18"/>
          <w:i w:val="1"/>
          <w:iCs w:val="1"/>
          <w:color w:val="auto"/>
        </w:rPr>
        <w:t xml:space="preserve"> </w:t>
      </w:r>
      <w:r>
        <w:rPr>
          <w:rFonts w:ascii="Arial" w:cs="Arial" w:eastAsia="Arial" w:hAnsi="Arial"/>
          <w:sz w:val="18"/>
          <w:szCs w:val="18"/>
          <w:color w:val="auto"/>
        </w:rPr>
        <w:t>outlined a comprehensive new revenue recognition model designed to depict the transfer of promised goods or services to customers in an amount that reflects the consideration to which the entity expects to be entitled in exchange for those goods or services. The new standard also required additional qualitative disclosures. Upon adoption, the ASC 606 did not have a material impact on the financial statements. Refer to Note 12 – Revenues for further information.</w:t>
      </w:r>
    </w:p>
    <w:p>
      <w:pPr>
        <w:spacing w:after="0" w:line="192" w:lineRule="exact"/>
        <w:rPr>
          <w:sz w:val="20"/>
          <w:szCs w:val="20"/>
          <w:color w:val="auto"/>
        </w:rPr>
      </w:pPr>
    </w:p>
    <w:p>
      <w:pPr>
        <w:ind w:left="120" w:right="40" w:firstLine="220"/>
        <w:spacing w:after="0" w:line="257" w:lineRule="auto"/>
        <w:rPr>
          <w:sz w:val="20"/>
          <w:szCs w:val="20"/>
          <w:color w:val="auto"/>
        </w:rPr>
      </w:pPr>
      <w:r>
        <w:rPr>
          <w:rFonts w:ascii="Arial" w:cs="Arial" w:eastAsia="Arial" w:hAnsi="Arial"/>
          <w:sz w:val="18"/>
          <w:szCs w:val="18"/>
          <w:color w:val="auto"/>
        </w:rPr>
        <w:t>For the Company’s contracts that have an original duration of one year or less, the Company used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66"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Cash consists of cash held at deposit institutions. The Company holds cash denominated in foreign currencies in foreign institutions of approximately $466,000 and $476,000 as of June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trade and other receivables. As of June 30, 2020, and 2019, substantially all of the Company’s cash was deposited in accounts at financial institutions, and amounts may exceed federally insured limits. Management believes that the Company is not exposed to significant credit risk due to the financial strength of the depository institutions in which its cash is held.</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of June 30, 2020, no single customer accounted for more than 10% of total revenues or net accounts receivable. As of June 30, 2019, one customer accounted for approximately 10.5% of total revenues and three customers accounted for more than 10% of net accounts receivable, each representing approximately 14.6%, 10.3% and 10.1% of total net accounts receivable. As of June 30, 2018, four customers accounted for more than 10% of total revenues, each representing approximately 17%, 14.5%, 12.8% and 10.4% of total revenues.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Pursuant to a contractual agreement with American Express to maintain the business credit card, the Company must maintain restricted cash deposits which amounted to approximately $201,000 and $200,000 as of June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The carrying values of the Company’s financial instruments, consisting of cash, trade receivables, prepaids and other receivables, accounts payable, accrued liabilities and contract liabilities, approximate fair value due to the relative short-term nature of these instruments.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Accounts receivable are recorded net of customer allowances for doubtful accounts. The Company estimates an allowance for expected credit losses (i.e., the inability of our customers to make required payments). These estimates are based on a combination of past experience and current trends. In estimating the allowance for expected credit losses, consideration is given to the current aging of receivables, a specific review for potential bad debts and an evaluation of historic write-offs. The resulting bad debt expense is included in sales and marketing expenses in the consolidated statement of operations. Receivables are written-off when deemed uncollectible. As of June 30, 2020, and 2019 the allowance for doubtful accounts was $18,000 and $18,000, respectively.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rollforward of the activity in the Company’s allowance for doubtful account is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2020</w:t>
            </w:r>
          </w:p>
        </w:tc>
        <w:tc>
          <w:tcPr>
            <w:tcW w:w="16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209"/>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doubtful accounts at beginning of the year</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Bad debt expense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Allowance for doubtful accounts at end of the year</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$ 18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$ 17</w:t>
            </w:r>
          </w:p>
        </w:tc>
        <w:tc>
          <w:tcPr>
            <w:tcW w:w="12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113" w:lineRule="exact"/>
        <w:rPr>
          <w:sz w:val="20"/>
          <w:szCs w:val="20"/>
          <w:color w:val="auto"/>
        </w:rPr>
      </w:pPr>
    </w:p>
    <w:p>
      <w:pPr>
        <w:jc w:val="both"/>
        <w:ind w:left="120" w:right="160" w:firstLine="440"/>
        <w:spacing w:after="0" w:line="314" w:lineRule="auto"/>
        <w:rPr>
          <w:sz w:val="20"/>
          <w:szCs w:val="20"/>
          <w:color w:val="auto"/>
        </w:rPr>
      </w:pPr>
      <w:r>
        <w:rPr>
          <w:rFonts w:ascii="Arial" w:cs="Arial" w:eastAsia="Arial" w:hAnsi="Arial"/>
          <w:sz w:val="16"/>
          <w:szCs w:val="16"/>
          <w:color w:val="auto"/>
        </w:rPr>
        <w:t>The AVITA Group was awarded a Biomedical Advance Research and Development Authority (“</w:t>
      </w:r>
      <w:r>
        <w:rPr>
          <w:rFonts w:ascii="Arial" w:cs="Arial" w:eastAsia="Arial" w:hAnsi="Arial"/>
          <w:sz w:val="16"/>
          <w:szCs w:val="16"/>
          <w:b w:val="1"/>
          <w:bCs w:val="1"/>
          <w:color w:val="auto"/>
        </w:rPr>
        <w:t>BARDA</w:t>
      </w:r>
      <w:r>
        <w:rPr>
          <w:rFonts w:ascii="Arial" w:cs="Arial" w:eastAsia="Arial" w:hAnsi="Arial"/>
          <w:sz w:val="16"/>
          <w:szCs w:val="16"/>
          <w:color w:val="auto"/>
        </w:rPr>
        <w:t>”) grant in September 2015. Under this grant BARDA supports the Company’s research and development for the Company’s product, including the ongoing U.S. clinical regulatory program targeted towards FDA PMA, our compassionate use program, clinical and health economics research, and U.S. pediatric burn programs.</w:t>
      </w:r>
    </w:p>
    <w:p>
      <w:pPr>
        <w:spacing w:after="0" w:line="146"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Consideration received under the BARDA grant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6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The Company has concluded that grants under the BARDA grantt are not within the scope of ASC 606, as they do not meet the definition of a contract with a “customer.” The Company has further concluded that Subtopic 958-605, </w:t>
      </w:r>
      <w:r>
        <w:rPr>
          <w:rFonts w:ascii="Arial" w:cs="Arial" w:eastAsia="Arial" w:hAnsi="Arial"/>
          <w:sz w:val="16"/>
          <w:szCs w:val="16"/>
          <w:i w:val="1"/>
          <w:iCs w:val="1"/>
          <w:color w:val="auto"/>
        </w:rPr>
        <w:t>Not-for-Profit-Entities-Revenue Recognition</w:t>
      </w:r>
      <w:r>
        <w:rPr>
          <w:rFonts w:ascii="Arial" w:cs="Arial" w:eastAsia="Arial" w:hAnsi="Arial"/>
          <w:sz w:val="16"/>
          <w:szCs w:val="16"/>
          <w:color w:val="auto"/>
        </w:rPr>
        <w:t xml:space="preserve"> also does not apply, as the Company is a business entity and the grants are with governmental agencies or units. With respect to the BARDA grant, we considered the guidance in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xml:space="preserve"> by anology. BARDA income and related receivables are recognized when there is reasonable assurance that the grant will be received, and all attaching conditions have been complied with. When the grant relates to an expense item, the grant received is recognized as income over the period when the expense was incurred.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Inventory is valued at the lower of cost or estimated net realizable value and is reflected in cost of sales. Costs incurred in bringing each product to its present location and condition are accounted for at purchase cost on a first-in, first-out basis (“</w:t>
      </w:r>
      <w:r>
        <w:rPr>
          <w:rFonts w:ascii="Arial" w:cs="Arial" w:eastAsia="Arial" w:hAnsi="Arial"/>
          <w:sz w:val="17"/>
          <w:szCs w:val="17"/>
          <w:b w:val="1"/>
          <w:bCs w:val="1"/>
          <w:color w:val="auto"/>
        </w:rPr>
        <w:t>FIFO</w:t>
      </w:r>
      <w:r>
        <w:rPr>
          <w:rFonts w:ascii="Arial" w:cs="Arial" w:eastAsia="Arial" w:hAnsi="Arial"/>
          <w:sz w:val="17"/>
          <w:szCs w:val="17"/>
          <w:color w:val="auto"/>
        </w:rPr>
        <w:t>”). The Company capitalizes inventory costs associated with the Company’s products when, based on management’s judgment, future commercialization is considered probable and the future economic benefit is expected to be realized; otherwise, such costs are expensed as research and development. Inventory is evaluated for impairment periodically to identify inventory obsolescence when an inventory item’s cost basis is in excess of its net realizable value. These adjustments are based upon multiple factors, including inventory levels, projected demand, and product shelf life.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realizable value is the estimated selling price in the ordinary course of business, less estimated costs of completion and costs to complete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Effective July 1, 2019, operating leases give rise to operating lease right-of-use assets and operating lease liabilities on the consolidated balance sheets, see Note 3– Accounting Standards Update. Prior to July 1, 2019, the Company accounted for leases in accordance with ASC 840 Leases.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Company’s property, plant and equipment are stated at cost, net of accumulated depreciation and amortization. Depreciation is computed based on the straight-line method over the estimated useful lives of the various asset classes, generally three to seven years. Leasehold improvements are amortized over the shorter of the life of the related asset or the remaining term of the lease. Costs associated with customized internal-use software systems that have reached the application development stage and meet recoverability tests are capitalized and include external direct costs utilized in developing or obtaining the applications and payroll and payroll-related expenses for employees who are directly associated with the application development. Maintenance and repairs are expensed as incurred.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Company maintains definite-lived intangible assets related to patents initially measured at cost and amortized over estimated useful lives of approximately 3—20 years. The Company had capitalized patent costs of $483,000 and $225,000 as of June 30, 2020 and 2019, respectively, related to regulatory approval of the RECELL System, and are being amortized over their estimated useful lives.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Company evaluates long-lived assets for impairment whenever events or changes in circumstances indicate that the carrying amount of an asset may not be recoverable. If the sum of the estimated, undiscounted future cash flows is less than the carrying amount of the asset, then an impairment is recognized for the amount by which the carrying value of the asset exceeds its estimated fair value. Fair value is determined using the market, income or cost approaches as appropriate for the asset. Any write-downs are treated as permanent reductions in the carrying amount of the asset and recognized as an operating loss. There were no impairments of long-lived assets in the years ended June 30, 2020, 2019 and 2018.</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Sales and marketing expenses consist primarily of compensation and employee benefits of sales and marketing personnel and related sales support teams, marketing events, advertising costs, travel, trade shows and other marketing materials. The Company expenses all selling and marketing costs as incurred.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Research and development expenses represent costs incurred to develop the Company’s products. Research and development expenses consist primarily of salaries and other personnel costs, clinical trial costs, regulatory costs and manufacturing costs for non-commercial products. The Company expenses all research and development costs in the periods in which they are incurred.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The Company records compensation expense for stock options based on the fair market value of the awards on the date of grant. The fair value of stock-based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For certain awards, the Company estimates the fair value of share options and other equity-based compensation using a Binomial option pricing model on the date of grant. The Binomial model requires multiple subjective inputs, which are discussed further in Note 13 — Share-Based Payment Plans.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per Share</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Basic net loss per share is computed by dividing net loss by the weighted-average number of common shares outstanding during the period. Diluted earnings per share is computed by dividing net loss by the weighted-average number of common shares outstanding during the period, assuming potentially dilutive ordinary shares from option exercises, employee share awards, and other dilutive instruments that have been issued. For periods where the Company has presented a net loss, potentially dilutive securities are excluded from the computation of diluted net loss per share as they would be anti-dilutive. The loss per share incorporates the impact of the reverse stock split that was effectuated in conjunction with the redomicilation. In accordance with ASC 260, the impact of the reverse stock split was retrospectively applied for all periods presented.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 maker is its Chief Executive Officer. To date, the Company has viewed its operations and manages its business as one segment.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Accounting Standards Update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 xml:space="preserve">Effective July 1, 2018, 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related amendments (collectively codified as ASC 606) utilizing the modified retrospective method. The adoption of ASC 606 did not have a significant impact on the recognition of revenues and therefore the Company did not recognize an opening retained earnings adjustment. See Note 12 – Revenue and Note 9 – Reporting Segment and Geographic Information.</w:t>
      </w:r>
    </w:p>
    <w:p>
      <w:pPr>
        <w:spacing w:after="0" w:line="183" w:lineRule="exact"/>
        <w:rPr>
          <w:sz w:val="20"/>
          <w:szCs w:val="20"/>
          <w:color w:val="auto"/>
        </w:rPr>
      </w:pPr>
    </w:p>
    <w:p>
      <w:pPr>
        <w:ind w:left="120" w:right="160" w:firstLine="440"/>
        <w:spacing w:after="0" w:line="258" w:lineRule="auto"/>
        <w:rPr>
          <w:sz w:val="20"/>
          <w:szCs w:val="20"/>
          <w:color w:val="auto"/>
        </w:rPr>
      </w:pPr>
      <w:r>
        <w:rPr>
          <w:rFonts w:ascii="Arial" w:cs="Arial" w:eastAsia="Arial" w:hAnsi="Arial"/>
          <w:sz w:val="18"/>
          <w:szCs w:val="18"/>
          <w:color w:val="auto"/>
        </w:rPr>
        <w:t xml:space="preserve">Effective July 1, 2019, the Company adopted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b w:val="1"/>
          <w:bCs w:val="1"/>
          <w:color w:val="auto"/>
        </w:rPr>
        <w:t>ASC 842</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which requires lessees to recognize operating leases on the balance sheet as a right-of-use asset and lease liability. The Company recognized and measured the right-of-use asset and lease liability from operating leases on the consolidated balance sheet using the current-period adjustment method without revising comparative period information. Upon the adoption on July 1, 2019, the impact on total assets and total liabilities was an increase of $2.8 million and $2.9 million, respectively. See Note 4— Leases for further information.</w:t>
      </w:r>
    </w:p>
    <w:p>
      <w:pPr>
        <w:spacing w:after="0" w:line="183"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w:t>
      </w:r>
      <w:r>
        <w:rPr>
          <w:rFonts w:ascii="Arial" w:cs="Arial" w:eastAsia="Arial" w:hAnsi="Arial"/>
          <w:sz w:val="17"/>
          <w:szCs w:val="17"/>
          <w:b w:val="1"/>
          <w:bCs w:val="1"/>
          <w:color w:val="auto"/>
        </w:rPr>
        <w:t>ASC 230</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Restricted Cash</w:t>
      </w:r>
      <w:r>
        <w:rPr>
          <w:rFonts w:ascii="Arial" w:cs="Arial" w:eastAsia="Arial" w:hAnsi="Arial"/>
          <w:sz w:val="17"/>
          <w:szCs w:val="17"/>
          <w:color w:val="auto"/>
        </w:rPr>
        <w:t>. The amendments in this update require that a statement of cash flows explain the change during the period in the total of cash, cash equivalents, and amounts generally described as restricted cash or restricted cash equivalents. As a result, amounts generally described as restricted cash and restricted cash equivalents should be included with cash and cash equivalents when reconciling the beginning-of-period and end-of-period total amounts shown in the statements of cash flows. The amendments do not provide a definition of restricted cash or restricted cash equivalents. The Company adopted this standard effective July 1, 2018. The adoption of this ASU resulted in the inclusion of $201,000, $200,000 and $0 of restricted cash in the cash and cash equivalents totals in the Company’s statements of cash flows for the years ended June 30, 2020, 2019 and 2018, respectively.</w:t>
      </w:r>
    </w:p>
    <w:p>
      <w:pPr>
        <w:spacing w:after="0" w:line="172" w:lineRule="exact"/>
        <w:rPr>
          <w:sz w:val="20"/>
          <w:szCs w:val="20"/>
          <w:color w:val="auto"/>
        </w:rPr>
      </w:pPr>
    </w:p>
    <w:p>
      <w:pPr>
        <w:ind w:left="120" w:right="60" w:firstLine="440"/>
        <w:spacing w:after="0" w:line="303"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w:t>
      </w:r>
      <w:r>
        <w:rPr>
          <w:rFonts w:ascii="Arial" w:cs="Arial" w:eastAsia="Arial" w:hAnsi="Arial"/>
          <w:sz w:val="16"/>
          <w:szCs w:val="16"/>
          <w:b w:val="1"/>
          <w:bCs w:val="1"/>
          <w:color w:val="auto"/>
        </w:rPr>
        <w:t>ASC 718</w:t>
      </w:r>
      <w:r>
        <w:rPr>
          <w:rFonts w:ascii="Arial" w:cs="Arial" w:eastAsia="Arial" w:hAnsi="Arial"/>
          <w:sz w:val="16"/>
          <w:szCs w:val="16"/>
          <w:color w:val="auto"/>
        </w:rPr>
        <w:t>”</w:t>
      </w:r>
      <w:r>
        <w:rPr>
          <w:rFonts w:ascii="Arial" w:cs="Arial" w:eastAsia="Arial" w:hAnsi="Arial"/>
          <w:sz w:val="16"/>
          <w:szCs w:val="16"/>
          <w:i w:val="1"/>
          <w:iCs w:val="1"/>
          <w:color w:val="auto"/>
        </w:rPr>
        <w:t>) 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ASU 2016-09 is effective for annual reporting periods beginning after December 15, 2016. Under the new ASU 2016-09</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companies can continue to estimate forfeitures, or they can elect to account for forfeitures as they occur by reversing compensation cost when the award is forfeited. The Company adopted this ASU as of July 1, 2018 and will record the impact of forfeitures as they occur.</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Credit Losses</w:t>
      </w:r>
      <w:r>
        <w:rPr>
          <w:rFonts w:ascii="Arial" w:cs="Arial" w:eastAsia="Arial" w:hAnsi="Arial"/>
          <w:sz w:val="17"/>
          <w:szCs w:val="17"/>
          <w:color w:val="auto"/>
        </w:rPr>
        <w:t xml:space="preserve"> (“</w:t>
      </w:r>
      <w:r>
        <w:rPr>
          <w:rFonts w:ascii="Arial" w:cs="Arial" w:eastAsia="Arial" w:hAnsi="Arial"/>
          <w:sz w:val="17"/>
          <w:szCs w:val="17"/>
          <w:b w:val="1"/>
          <w:bCs w:val="1"/>
          <w:color w:val="auto"/>
        </w:rPr>
        <w:t>ASC 326</w:t>
      </w:r>
      <w:r>
        <w:rPr>
          <w:rFonts w:ascii="Arial" w:cs="Arial" w:eastAsia="Arial" w:hAnsi="Arial"/>
          <w:sz w:val="17"/>
          <w:szCs w:val="17"/>
          <w:color w:val="auto"/>
        </w:rPr>
        <w:t>”</w:t>
      </w:r>
      <w:r>
        <w:rPr>
          <w:rFonts w:ascii="Arial" w:cs="Arial" w:eastAsia="Arial" w:hAnsi="Arial"/>
          <w:sz w:val="17"/>
          <w:szCs w:val="17"/>
          <w:i w:val="1"/>
          <w:iCs w:val="1"/>
          <w:color w:val="auto"/>
        </w:rPr>
        <w:t>)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For public business entities that meet the definition of an U.S. Securities and Exchange (SEC) filer, the amendments in this update are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for fiscal years beginning after December 15, 2019, including interim periods within those fiscal years. This guidance requires a financial asset (or a group of financial assets) that is measured at amortized cost basis to be presented at the net amount expected to be collected. The financial assets of the Company in scope of ASU 2016-13 were primarily accounts receivable. Effective July 1, 2018, the Company early adopted and applied this guidance to its methodology for estimating the accounts receivable allowance for doubtful accounts. The adoption of this guidance did not have a material impact on the Company’s consolidated financial statements. The Company estimates an allowance for expected credit losses on accounts receivable that result from the inability of customers to make required payments. These estimates are based on a combination of historical loss statistics, current business conditions and macro-economic trends. In estimating the allowance for expected credit losses, consideration is given to the current aging of receivables and a specific review for potential bad debts. The resulting bad debt expense is included in sales and marketing expense in the consolidated statements of operations. Receivables are written-off when deemed uncollectible. The Company evaluates the adequacy of its allowance for credit losses on accounts receivable on a regular basis. The accounts receivable allowance was $18,000 and $18,000 at June 30, 2020 and 2019, respectively.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 consensus of the FASB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Issues Task Force). Effective for public business entities for fiscal years beginning after December 15, 2019, and interim periods within those fiscal years. The amendments in this update should be applied either retrospectively or prospectively to all implementation costs incurred after the date of adoption. The guidance will be adopted for the fiscal year beginning on July 1, 2020. The Company is currently evaluating the potential impact that the adoption of ASU 2018-15 will have on its consolidated financial statements.</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or ASU 2019-12, which includes amendments to simplify the accounting for income taxes by removing certain exceptions to the general principles in ASC 740, </w:t>
      </w:r>
      <w:r>
        <w:rPr>
          <w:rFonts w:ascii="Arial" w:cs="Arial" w:eastAsia="Arial" w:hAnsi="Arial"/>
          <w:sz w:val="18"/>
          <w:szCs w:val="18"/>
          <w:i w:val="1"/>
          <w:iCs w:val="1"/>
          <w:color w:val="auto"/>
        </w:rPr>
        <w:t>Income Taxes</w:t>
      </w:r>
      <w:r>
        <w:rPr>
          <w:rFonts w:ascii="Arial" w:cs="Arial" w:eastAsia="Arial" w:hAnsi="Arial"/>
          <w:sz w:val="18"/>
          <w:szCs w:val="18"/>
          <w:color w:val="auto"/>
        </w:rPr>
        <w:t>, or ASC 740. 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The Company is currently evaluating the potential impact that the adoption of ASU 2019-12 will have on its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Leases</w:t>
      </w:r>
    </w:p>
    <w:p>
      <w:pPr>
        <w:spacing w:after="0" w:line="117" w:lineRule="exact"/>
        <w:rPr>
          <w:sz w:val="20"/>
          <w:szCs w:val="20"/>
          <w:color w:val="auto"/>
        </w:rPr>
      </w:pPr>
    </w:p>
    <w:p>
      <w:pPr>
        <w:ind w:left="120" w:right="260" w:firstLine="440"/>
        <w:spacing w:after="0" w:line="261" w:lineRule="auto"/>
        <w:rPr>
          <w:sz w:val="20"/>
          <w:szCs w:val="20"/>
          <w:color w:val="auto"/>
        </w:rPr>
      </w:pPr>
      <w:r>
        <w:rPr>
          <w:rFonts w:ascii="Arial" w:cs="Arial" w:eastAsia="Arial" w:hAnsi="Arial"/>
          <w:sz w:val="18"/>
          <w:szCs w:val="18"/>
          <w:color w:val="auto"/>
        </w:rPr>
        <w:t xml:space="preserve">On July 1, 2019, the Company adopted Accounting Standards Codification No. 842, </w:t>
      </w:r>
      <w:r>
        <w:rPr>
          <w:rFonts w:ascii="Arial" w:cs="Arial" w:eastAsia="Arial" w:hAnsi="Arial"/>
          <w:sz w:val="18"/>
          <w:szCs w:val="18"/>
          <w:i w:val="1"/>
          <w:iCs w:val="1"/>
          <w:color w:val="auto"/>
        </w:rPr>
        <w:t>Leases</w:t>
      </w:r>
      <w:r>
        <w:rPr>
          <w:rFonts w:ascii="Arial" w:cs="Arial" w:eastAsia="Arial" w:hAnsi="Arial"/>
          <w:sz w:val="18"/>
          <w:szCs w:val="18"/>
          <w:color w:val="auto"/>
        </w:rPr>
        <w:t>, (“</w:t>
      </w:r>
      <w:r>
        <w:rPr>
          <w:rFonts w:ascii="Arial" w:cs="Arial" w:eastAsia="Arial" w:hAnsi="Arial"/>
          <w:sz w:val="18"/>
          <w:szCs w:val="18"/>
          <w:b w:val="1"/>
          <w:bCs w:val="1"/>
          <w:color w:val="auto"/>
        </w:rPr>
        <w:t>ASC 842</w:t>
      </w:r>
      <w:r>
        <w:rPr>
          <w:rFonts w:ascii="Arial" w:cs="Arial" w:eastAsia="Arial" w:hAnsi="Arial"/>
          <w:sz w:val="18"/>
          <w:szCs w:val="18"/>
          <w:color w:val="auto"/>
        </w:rPr>
        <w:t>”), which requires lessees to recognize operating leases on the balance sheet as a right-of-use asset and lease liability. ASC 842 provides an optional transition method that allows entities to apply the standard prospectively, versus recasting the prior periods presented. The Company adopted the standard effective July 1, 2019, using the current period adjustment method and did not adjust prior periods.</w:t>
      </w:r>
    </w:p>
    <w:p>
      <w:pPr>
        <w:spacing w:after="0" w:line="184" w:lineRule="exact"/>
        <w:rPr>
          <w:sz w:val="20"/>
          <w:szCs w:val="20"/>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The Company elected the practical expedients to not reassess prior conclusions related to contracts containing leases, lease classification and initial direct costs for our leases which existed and expired prior to the adoption date. For existing or expired contracts as of the adoption date, the conclusions made for these items under previous accounting standards (ASC 840) were retained at transition as allowed by the guidance.</w:t>
      </w:r>
    </w:p>
    <w:p>
      <w:pPr>
        <w:spacing w:after="0" w:line="149" w:lineRule="exact"/>
        <w:rPr>
          <w:sz w:val="20"/>
          <w:szCs w:val="20"/>
          <w:color w:val="auto"/>
        </w:rPr>
      </w:pPr>
    </w:p>
    <w:p>
      <w:pPr>
        <w:jc w:val="both"/>
        <w:ind w:left="120" w:right="40" w:firstLine="440"/>
        <w:spacing w:after="0" w:line="275" w:lineRule="auto"/>
        <w:rPr>
          <w:sz w:val="20"/>
          <w:szCs w:val="20"/>
          <w:color w:val="auto"/>
        </w:rPr>
      </w:pPr>
      <w:r>
        <w:rPr>
          <w:rFonts w:ascii="Arial" w:cs="Arial" w:eastAsia="Arial" w:hAnsi="Arial"/>
          <w:sz w:val="17"/>
          <w:szCs w:val="17"/>
          <w:color w:val="auto"/>
        </w:rPr>
        <w:t>The Company has also made accounting policy elections, including a short-term lease exception policy, permitting the Company to not apply the recognition requirements of this standard to short-term leases (i.e. leases with expected terms of 12 months or less), and an accounting policy to account for lease and certain non-lease components as a single component for certain classes of assets. The portfolio approach, which allows a lessee to account for its leases at a portfolio level, was elected for certain equipment leases in which the difference in accounting for each asset separately would not have been materially different from accounting for the assets as a combined unit.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condensed consolidated balance sheet.</w:t>
      </w:r>
    </w:p>
    <w:p>
      <w:pPr>
        <w:spacing w:after="0" w:line="184"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The Company has operating leases for corporate office space, manufacturing and warehouse facility. The Company has finance leases for equipment and furniture. The Company’s leases have remaining lease terms of less than one year to five years, some of which include options to renew the lease. On July 1, 2019, the Company recorded operating lease right-of-use (“ROU”) assets of $2.8 million and operating lease liabilities of</w:t>
      </w:r>
    </w:p>
    <w:p>
      <w:pPr>
        <w:spacing w:after="0" w:line="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$2.9 million. The difference between the ROU assets and lease liabilities is due to deferred rent resulting from historical straight-line recognition of operating leases that were reclassified as a component of the ROU asset. Finance leases as of July 1, 2019 were approximately $53,000 and are not considered material to the consolidated financial statements. As of June 30, 2020, approximately $11,000 in finance leases was included Other current liabilities.</w:t>
      </w:r>
    </w:p>
    <w:p>
      <w:pPr>
        <w:spacing w:after="0" w:line="193"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ROU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implicit rate, the Company used its incremental borrowing rate (“</w:t>
      </w:r>
      <w:r>
        <w:rPr>
          <w:rFonts w:ascii="Arial" w:cs="Arial" w:eastAsia="Arial" w:hAnsi="Arial"/>
          <w:sz w:val="17"/>
          <w:szCs w:val="17"/>
          <w:b w:val="1"/>
          <w:bCs w:val="1"/>
          <w:color w:val="auto"/>
        </w:rPr>
        <w:t>IBR</w:t>
      </w:r>
      <w:r>
        <w:rPr>
          <w:rFonts w:ascii="Arial" w:cs="Arial" w:eastAsia="Arial" w:hAnsi="Arial"/>
          <w:sz w:val="17"/>
          <w:szCs w:val="17"/>
          <w:color w:val="auto"/>
        </w:rPr>
        <w:t>”) based on the information available at commencement date in determining the discount rate used to present value lease payments. The Company used the IBR on July 1, 2019 for its operating leases that commenced on or prior to that date. In determining the IBR, the Company considered its credit rating and current market interest rates. The IBR used approximates the interest that the Company would be required to pay for a collateralized loan over a similar term. Additionally, the Company used the portfolio approach when applying the discount rate selected based on the dollar amount and term of the obligation. Certain leases for equipment and furniture contain bargain purchase options and are classified as finance leases. The Company’s leases typically do not include any residual value guarantees or asset retirement obligations.</w:t>
      </w:r>
    </w:p>
    <w:p>
      <w:pPr>
        <w:spacing w:after="0" w:line="18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w:t>
      </w:r>
    </w:p>
    <w:p>
      <w:pPr>
        <w:spacing w:after="0" w:line="17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Company’s agreements may contain variable lease payments. The Company includes variable lease payments that depend on an index or a rate and excludes those which depend on facts or circumstances occurring after the commencement date, other than the passage of time. Additionally, for certain equipment leases, the Company applies a portfolio approach to effectively account for the finance lease ROU assets and finance lease liabilities.</w:t>
      </w:r>
    </w:p>
    <w:p>
      <w:pPr>
        <w:spacing w:after="0" w:line="187"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Some leases require variable payments for common area maintenance, property taxes, parking, insurance, and other variable costs. The variable portion of lease payments is not included in operating lease ROU assets or operating lease liabilities. Variable lease costs are expensed when incurred.</w:t>
      </w:r>
    </w:p>
    <w:p>
      <w:pPr>
        <w:spacing w:after="0" w:line="124"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The following table sets forth the Company’s operating lease expense which are included in general and administrative expenses in the consolidated statements of operations (in thousands):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5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520" w:type="dxa"/>
            <w:vAlign w:val="bottom"/>
            <w:tcBorders>
              <w:bottom w:val="single" w:sz="8" w:color="CCEEFF"/>
            </w:tcBorders>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6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Variable lease cost</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7"/>
        </w:trPr>
        <w:tc>
          <w:tcPr>
            <w:tcW w:w="2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w:t>
            </w:r>
          </w:p>
        </w:tc>
      </w:tr>
      <w:tr>
        <w:trPr>
          <w:trHeight w:val="20"/>
        </w:trPr>
        <w:tc>
          <w:tcPr>
            <w:tcW w:w="25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20" w:type="dxa"/>
            <w:vAlign w:val="bottom"/>
          </w:tcPr>
          <w:p>
            <w:pPr>
              <w:spacing w:after="0"/>
              <w:rPr>
                <w:sz w:val="24"/>
                <w:szCs w:val="24"/>
                <w:color w:val="auto"/>
              </w:rPr>
            </w:pPr>
          </w:p>
        </w:tc>
        <w:tc>
          <w:tcPr>
            <w:tcW w:w="4280" w:type="dxa"/>
            <w:vAlign w:val="bottom"/>
            <w:gridSpan w:val="2"/>
          </w:tcPr>
          <w:p>
            <w:pPr>
              <w:ind w:left="1060"/>
              <w:spacing w:after="0"/>
              <w:rPr>
                <w:sz w:val="20"/>
                <w:szCs w:val="20"/>
                <w:color w:val="auto"/>
              </w:rPr>
            </w:pPr>
            <w:r>
              <w:rPr>
                <w:rFonts w:ascii="Arial" w:cs="Arial" w:eastAsia="Arial" w:hAnsi="Arial"/>
                <w:sz w:val="18"/>
                <w:szCs w:val="18"/>
                <w:color w:val="auto"/>
              </w:rPr>
              <w:t>F-15</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Supplemental cash flow information related to operating leases for the year ended June 30, 2020 was as follows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59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2"/>
                <w:szCs w:val="12"/>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Operating cash outflows due to operating leases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w w:val="99"/>
              </w:rPr>
              <w:t>675</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Supplemental balance sheet information, as of June 30, 2020, related to operating leases was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Reported as: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$ 2,347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right-of-use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176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short-term</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Operating lease liabiltiies, long term</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$ 2,450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gridSpan w:val="2"/>
          </w:tcPr>
          <w:p>
            <w:pPr>
              <w:ind w:left="1760"/>
              <w:spacing w:after="0"/>
              <w:rPr>
                <w:sz w:val="20"/>
                <w:szCs w:val="20"/>
                <w:color w:val="auto"/>
              </w:rPr>
            </w:pPr>
            <w:r>
              <w:rPr>
                <w:rFonts w:ascii="Arial" w:cs="Arial" w:eastAsia="Arial" w:hAnsi="Arial"/>
                <w:sz w:val="18"/>
                <w:szCs w:val="18"/>
                <w:color w:val="auto"/>
              </w:rPr>
              <w:t>Operating lease weighted average remaining lease term (years)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weighted average discount rate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color w:val="auto"/>
                <w:w w:val="96"/>
              </w:rPr>
              <w:t>As of June 30, 2020, maturities of the Company’s operating lease liabilities are as follows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00" w:type="dxa"/>
            <w:vAlign w:val="bottom"/>
            <w:gridSpan w:val="2"/>
          </w:tcPr>
          <w:p>
            <w:pPr>
              <w:ind w:left="1760"/>
              <w:spacing w:after="0"/>
              <w:rPr>
                <w:sz w:val="20"/>
                <w:szCs w:val="20"/>
                <w:color w:val="auto"/>
              </w:rPr>
            </w:pPr>
            <w:r>
              <w:rPr>
                <w:rFonts w:ascii="Arial" w:cs="Arial" w:eastAsia="Arial" w:hAnsi="Arial"/>
                <w:sz w:val="14"/>
                <w:szCs w:val="14"/>
                <w:b w:val="1"/>
                <w:bCs w:val="1"/>
                <w:color w:val="auto"/>
              </w:rPr>
              <w:t>Years Ending June 30,</w:t>
            </w:r>
          </w:p>
        </w:tc>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Arial" w:cs="Arial" w:eastAsia="Arial" w:hAnsi="Arial"/>
                <w:sz w:val="14"/>
                <w:szCs w:val="14"/>
                <w:b w:val="1"/>
                <w:bCs w:val="1"/>
                <w:color w:val="auto"/>
                <w:w w:val="93"/>
              </w:rPr>
              <w:t>Operating Leases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2,450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2020, there were no leases entered into that had not yet commenced.</w:t>
      </w:r>
    </w:p>
    <w:p>
      <w:pPr>
        <w:spacing w:after="0" w:line="221"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color w:val="auto"/>
        </w:rPr>
        <w:t>Under legacy lease accounting (“</w:t>
      </w:r>
      <w:r>
        <w:rPr>
          <w:rFonts w:ascii="Arial" w:cs="Arial" w:eastAsia="Arial" w:hAnsi="Arial"/>
          <w:sz w:val="18"/>
          <w:szCs w:val="18"/>
          <w:b w:val="1"/>
          <w:bCs w:val="1"/>
          <w:color w:val="auto"/>
        </w:rPr>
        <w:t>ASC 840</w:t>
      </w:r>
      <w:r>
        <w:rPr>
          <w:rFonts w:ascii="Arial" w:cs="Arial" w:eastAsia="Arial" w:hAnsi="Arial"/>
          <w:sz w:val="18"/>
          <w:szCs w:val="18"/>
          <w:color w:val="auto"/>
        </w:rPr>
        <w:t>”), future minimum lease payments under non-cancellable leases for the year ended June 30, 2020 was as follows (in thousands):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080" w:type="dxa"/>
            <w:vAlign w:val="bottom"/>
          </w:tcPr>
          <w:p>
            <w:pPr>
              <w:spacing w:after="0"/>
              <w:rPr>
                <w:sz w:val="20"/>
                <w:szCs w:val="20"/>
                <w:color w:val="auto"/>
              </w:rPr>
            </w:pPr>
            <w:r>
              <w:rPr>
                <w:rFonts w:ascii="Arial" w:cs="Arial" w:eastAsia="Arial" w:hAnsi="Arial"/>
                <w:sz w:val="14"/>
                <w:szCs w:val="14"/>
                <w:b w:val="1"/>
                <w:bCs w:val="1"/>
                <w:color w:val="auto"/>
              </w:rPr>
              <w:t>Years Ending June 30,</w:t>
            </w:r>
          </w:p>
        </w:tc>
        <w:tc>
          <w:tcPr>
            <w:tcW w:w="32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Operating Leases</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72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2022</w:t>
            </w: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7"/>
        </w:trPr>
        <w:tc>
          <w:tcPr>
            <w:tcW w:w="30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3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r>
      <w:tr>
        <w:trPr>
          <w:trHeight w:val="20"/>
        </w:trPr>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3720" w:type="dxa"/>
            <w:vAlign w:val="bottom"/>
            <w:gridSpan w:val="2"/>
          </w:tcPr>
          <w:p>
            <w:pPr>
              <w:ind w:left="500"/>
              <w:spacing w:after="0"/>
              <w:rPr>
                <w:sz w:val="20"/>
                <w:szCs w:val="20"/>
                <w:color w:val="auto"/>
              </w:rPr>
            </w:pPr>
            <w:r>
              <w:rPr>
                <w:rFonts w:ascii="Arial" w:cs="Arial" w:eastAsia="Arial" w:hAnsi="Arial"/>
                <w:sz w:val="18"/>
                <w:szCs w:val="18"/>
                <w:color w:val="auto"/>
              </w:rPr>
              <w:t>F-16</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60"/>
          </w:cols>
          <w:pgMar w:left="320" w:top="459" w:right="8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inventories is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1"/>
              </w:rPr>
              <w:t>Year Ended June 30,</w:t>
            </w:r>
          </w:p>
        </w:tc>
      </w:tr>
      <w:tr>
        <w:trPr>
          <w:trHeight w:val="142"/>
        </w:trPr>
        <w:tc>
          <w:tcPr>
            <w:tcW w:w="6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Company has reduced the carrying value of its inventories to reflect the lower of cost or market value. Charges for estimated excess and obsolescence are recorded in cost of sales in the consolidated statement of operations. Inventory impairments recognized in cost of sales are a result of expired product and were $306,000, $36,000, and $0 for the years ended June 30, 2020, 2019 and 2018,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intangible assets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As of June 30, 2020</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As of June 30, 2019</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26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0"/>
                <w:szCs w:val="10"/>
                <w:color w:val="auto"/>
              </w:rPr>
            </w:pPr>
          </w:p>
        </w:tc>
        <w:tc>
          <w:tcPr>
            <w:tcW w:w="5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40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4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Carry</w:t>
            </w:r>
          </w:p>
        </w:tc>
        <w:tc>
          <w:tcPr>
            <w:tcW w:w="14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5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Carry</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680" w:type="dxa"/>
            <w:vAlign w:val="bottom"/>
          </w:tcPr>
          <w:p>
            <w:pPr>
              <w:jc w:val="right"/>
              <w:ind w:right="155"/>
              <w:spacing w:after="0"/>
              <w:rPr>
                <w:sz w:val="20"/>
                <w:szCs w:val="20"/>
                <w:color w:val="auto"/>
              </w:rPr>
            </w:pPr>
            <w:r>
              <w:rPr>
                <w:rFonts w:ascii="Arial" w:cs="Arial" w:eastAsia="Arial" w:hAnsi="Arial"/>
                <w:sz w:val="14"/>
                <w:szCs w:val="14"/>
                <w:b w:val="1"/>
                <w:bCs w:val="1"/>
                <w:color w:val="auto"/>
              </w:rPr>
              <w:t>Average Life</w:t>
            </w:r>
          </w:p>
        </w:tc>
        <w:tc>
          <w:tcPr>
            <w:tcW w:w="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Patent 1</w:t>
            </w:r>
          </w:p>
        </w:tc>
        <w:tc>
          <w:tcPr>
            <w:tcW w:w="26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151</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Patent 2</w:t>
            </w:r>
          </w:p>
        </w:tc>
        <w:tc>
          <w:tcPr>
            <w:tcW w:w="2680" w:type="dxa"/>
            <w:vAlign w:val="bottom"/>
          </w:tcPr>
          <w:p>
            <w:pPr>
              <w:jc w:val="right"/>
              <w:ind w:right="155"/>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w w:val="99"/>
              </w:rPr>
              <w:t>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Patent 3</w:t>
            </w:r>
          </w:p>
        </w:tc>
        <w:tc>
          <w:tcPr>
            <w:tcW w:w="26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Patent 5</w:t>
            </w:r>
          </w:p>
        </w:tc>
        <w:tc>
          <w:tcPr>
            <w:tcW w:w="2680" w:type="dxa"/>
            <w:vAlign w:val="bottom"/>
          </w:tcPr>
          <w:p>
            <w:pPr>
              <w:jc w:val="right"/>
              <w:ind w:right="155"/>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6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Indefinite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225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During the years ended June 30, 2020 and 2019, the Company did not identify any events or changes in circumstances that indicated the carrying value of its intangibles may not be recoverable. As such, there was no impairment of intangibles assets recognized for the years ended June 30, 2020, 2019 and 2018. Amortization expense of intangibles included in the consolidated statements of operations was $119,000, $0 and $0 for the years ended June 30, 2020, 2019 and 2018,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expects the future amortization of amortizable intangible assets held at June 30, 2020 to be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w w:val="97"/>
              </w:rPr>
              <w:t>Estimated 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76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2022</w:t>
            </w:r>
          </w:p>
        </w:tc>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2024</w:t>
            </w:r>
          </w:p>
        </w:tc>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2026 and thereafter</w:t>
            </w:r>
          </w:p>
        </w:tc>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760" w:type="dxa"/>
            <w:vAlign w:val="bottom"/>
            <w:gridSpan w:val="2"/>
          </w:tcPr>
          <w:p>
            <w:pPr>
              <w:ind w:left="1100"/>
              <w:spacing w:after="0"/>
              <w:rPr>
                <w:sz w:val="20"/>
                <w:szCs w:val="20"/>
                <w:color w:val="auto"/>
              </w:rPr>
            </w:pPr>
            <w:r>
              <w:rPr>
                <w:rFonts w:ascii="Arial" w:cs="Arial" w:eastAsia="Arial" w:hAnsi="Arial"/>
                <w:sz w:val="18"/>
                <w:szCs w:val="18"/>
                <w:color w:val="auto"/>
              </w:rPr>
              <w:t>F-17</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property, plant and equipment, net is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Useful Lives</w:t>
            </w:r>
          </w:p>
        </w:tc>
        <w:tc>
          <w:tcPr>
            <w:tcW w:w="320" w:type="dxa"/>
            <w:vAlign w:val="bottom"/>
          </w:tcPr>
          <w:p>
            <w:pPr>
              <w:spacing w:after="0"/>
              <w:rPr>
                <w:sz w:val="14"/>
                <w:szCs w:val="14"/>
                <w:color w:val="auto"/>
              </w:rPr>
            </w:pPr>
          </w:p>
        </w:tc>
        <w:tc>
          <w:tcPr>
            <w:tcW w:w="15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Year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Computer software</w:t>
            </w:r>
          </w:p>
        </w:tc>
        <w:tc>
          <w:tcPr>
            <w:tcW w:w="1020" w:type="dxa"/>
            <w:vAlign w:val="bottom"/>
          </w:tcPr>
          <w:p>
            <w:pPr>
              <w:jc w:val="right"/>
              <w:spacing w:after="0"/>
              <w:rPr>
                <w:sz w:val="20"/>
                <w:szCs w:val="20"/>
                <w:color w:val="auto"/>
              </w:rPr>
            </w:pPr>
            <w:r>
              <w:rPr>
                <w:rFonts w:ascii="Arial" w:cs="Arial" w:eastAsia="Arial" w:hAnsi="Arial"/>
                <w:sz w:val="18"/>
                <w:szCs w:val="18"/>
                <w:color w:val="auto"/>
              </w:rPr>
              <w:t>3 years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20" w:type="dxa"/>
            <w:vAlign w:val="bottom"/>
          </w:tcPr>
          <w:p>
            <w:pPr>
              <w:jc w:val="right"/>
              <w:spacing w:after="0"/>
              <w:rPr>
                <w:sz w:val="20"/>
                <w:szCs w:val="20"/>
                <w:color w:val="auto"/>
              </w:rPr>
            </w:pPr>
            <w:r>
              <w:rPr>
                <w:rFonts w:ascii="Arial" w:cs="Arial" w:eastAsia="Arial" w:hAnsi="Arial"/>
                <w:sz w:val="18"/>
                <w:szCs w:val="18"/>
                <w:color w:val="auto"/>
              </w:rPr>
              <w:t>7 years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w w:val="95"/>
              </w:rPr>
              <w:t>Lesser of life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or lease term</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RECELL moulds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Depreciation expense related to plant and equipment was $346,000, $269,000 and $110,000 for the years ended June 30, 2020, 2019 and 2018,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Prepaids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68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Lease deposits</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prepaids and other current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4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primarily consist of prepaid benefits and insurance.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Reporting Segment and Geographic Information</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views its operations and manages its business in one reporting segment. Long-lived assets were primarily located in the United States as of June 30, 2020 and 2019 with an insignificant amount located in Australia and the United Kingdom. Revenue by region for the years ended June 30, 2020, 2019 and 2018 were as follows (in thousands):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3"/>
              </w:rPr>
              <w:t>Year Ended June 30,</w:t>
            </w: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8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96"/>
        </w:trPr>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$ 13,800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$ 4,404</w:t>
            </w:r>
          </w:p>
        </w:tc>
        <w:tc>
          <w:tcPr>
            <w:tcW w:w="28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 —</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Australia</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8"/>
                <w:szCs w:val="18"/>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$ 14,263</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$ 5,474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$ 929</w:t>
            </w:r>
          </w:p>
        </w:tc>
        <w:tc>
          <w:tcPr>
            <w:tcW w:w="6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Contingencies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accrued. Alternatively, when no amount within a range of loss appears to be a better estimate than any other amount, the lowest amount in the range is accrued. The Company expenses legal costs associated with loss contingencies as incurred. As of June 30, 2020, the Company does not have any outstanding or threatened litigation that would have a material impact to the financial statements.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Common and Preferred Stock</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Scheme”). The Scheme was approved by shareholders on June 15, 2020 and approved by the Federal Court of Australia on June 22, 2020.</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Pursuant to the Scheme, all ordinary shares in AVITA Medical, the former parent company of the AVITA Group, were exchanged for shares of common stock in AVITA Therapeutics. As a result, AVITA Therapeutics became the sole shareholder of AVITA Medical and the new parent company of the AVITA Group. In conjunction with the Scheme, an implicit reverse split on a 1 for 100 basis was implemented whereby shareholders of AVITA Medical received one share of common stock in AVITA Therapeutics for every 100 shares held in AVITA Medical.</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Scheme, eligible shareholders in AVITA Medical Limited received consideration in the form of:</w:t>
      </w:r>
    </w:p>
    <w:p>
      <w:pPr>
        <w:spacing w:after="0" w:line="127"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five </w:t>
      </w:r>
      <w:r>
        <w:rPr>
          <w:rFonts w:ascii="Arial" w:cs="Arial" w:eastAsia="Arial" w:hAnsi="Arial"/>
          <w:sz w:val="18"/>
          <w:szCs w:val="18"/>
          <w:b w:val="1"/>
          <w:bCs w:val="1"/>
          <w:color w:val="auto"/>
        </w:rPr>
        <w:t>CDIs</w:t>
      </w:r>
      <w:r>
        <w:rPr>
          <w:rFonts w:ascii="Arial" w:cs="Arial" w:eastAsia="Arial" w:hAnsi="Arial"/>
          <w:sz w:val="18"/>
          <w:szCs w:val="18"/>
          <w:color w:val="auto"/>
        </w:rPr>
        <w:t xml:space="preserve"> in the Company for every 100 ordinary shares in AVITA Medical that were held by them;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 share of common stock in the Company for every 5 ADS</w:t>
      </w:r>
      <w:r>
        <w:rPr>
          <w:rFonts w:ascii="Arial" w:cs="Arial" w:eastAsia="Arial" w:hAnsi="Arial"/>
          <w:sz w:val="18"/>
          <w:szCs w:val="18"/>
          <w:b w:val="1"/>
          <w:bCs w:val="1"/>
          <w:color w:val="auto"/>
        </w:rPr>
        <w:t>s</w:t>
      </w:r>
      <w:r>
        <w:rPr>
          <w:rFonts w:ascii="Arial" w:cs="Arial" w:eastAsia="Arial" w:hAnsi="Arial"/>
          <w:sz w:val="18"/>
          <w:szCs w:val="18"/>
          <w:color w:val="auto"/>
        </w:rPr>
        <w:t xml:space="preserve"> in AVITA Medical that were held by them.</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Company’s CDIs are quoted on the ASX under AVITA Medical’s existing ASX ticker code, “AVH”. The Company’s shares of common stock are quoted on NASDAQ under AVITA Medical’s existing NASDAQ ticker code, “RCEL”. One share of common stock on NASDAQ is equivalent to five CDIs on the ASX.</w:t>
      </w:r>
    </w:p>
    <w:p>
      <w:pPr>
        <w:spacing w:after="0" w:line="184"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As a result of the ‘implicit consolidation’ that occurred under the Scheme, the number of shares of common stock on issue in the Company (as set out in the consolidated financial statements) is less than the number of ordinary shares in AVITA Medical that was previously set out in the consolidated financial statements of AVITA Medical. All common share amounts included in these financial statements have been retroactively reduced by a factor of one hundred and all per share amounts have been increased by a factor or one hundred, with the exception of the Company’s common stock par value.</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June 30, 2020, and 2019, 21,467,912 and 18,712,996 shares of common stock, respectively, were issued and outstanding and no shares of preferred stock were outstanding.</w:t>
      </w:r>
    </w:p>
    <w:p>
      <w:pPr>
        <w:spacing w:after="0" w:line="187"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During the year ended June 30, 2020, the AVITA Group raised additional capital via a private placement in the amount of $81.7 million (through our former parent company, AVITA Medical). The Company sold 2,033,898 ordinary shares at an issue price of $40.17 per share for total net proceeds of $76.6 million, after deducting commission and offering expenses. An aggregate 15,853 ordinary shares were issued to the directors of the Company in lieu of director fees during the year ended June 30, 2020 under the Director Share Plan that was approved in December 2017.</w:t>
      </w:r>
    </w:p>
    <w:p>
      <w:pPr>
        <w:spacing w:after="0" w:line="157"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During the year ended June 30, 2019, the AVITA Group completed a series of equity transactions (through our former parent company, AVITA Medical). The second tranche of the June 2018 Placement (defined below) closed on July 27, 2018, raising an aggregate of $2.4 million through the issuance of the equivalent of 650,000 shares at $3.70 per share. During December 2018, AVITA Medical entered into a placement agreement to raise $28.8 million over two tranches. AVITA Medical completed the first tranche on December 10, 2018 and issued the equivalent of 3,100,471 shares at a price of $5.76 per share raising gross proceeds of $17.9 million. The settlement of the second tranche for $10.9 million was approved by the shareholders at an extraordinary meeting held during January 2019. The second tranche closed on January 18, 2019 and raised gross proceeds of $10.9 million through the sale of the equivalent of 1,899,530 shares at the same price as the first tranche, being $5.76 per share. In addition, on January 10, 2019, AVITA</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Medical completed a Share Purchase Plan under which AVITA Medical offered to existing eligible shareholders the opportunity to purchase shares at a purchase price equivalent to $5.74 per share. As part of the Share Purchase Plan AVITA Medical received gross proceeds of $1.3 million for the issuance of the equivalent of 220,612 shares.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During the year ended June 30, 2018, the AVITA Group completed a series of equity transactions (through its former parent company, AVITA Medical). During October 2017, AVITA Medical announced that it was undertaking a capital raising in aggregate to raise $13.2 million. The capital raise was split over two tranches; the first being a private placement and the second a rights offering to existing shareholders. On October 17, 2017, AVITA Medical completed the private placement of the equivalent of 1,009,830 shares at a price of $3.53 per share raising gross proceeds of $3.6 million. On November 2, 2017, AVITA Medical completed the rights offering resulting in a total issue of the equivalent of 2,765,029 shares to raise a gross total of $9.6 million. During June 2018, AVITA Medical announced an institutional placement to raise an aggregate of $12.1 million over two tranches (“</w:t>
      </w:r>
      <w:r>
        <w:rPr>
          <w:rFonts w:ascii="Arial" w:cs="Arial" w:eastAsia="Arial" w:hAnsi="Arial"/>
          <w:sz w:val="16"/>
          <w:szCs w:val="16"/>
          <w:b w:val="1"/>
          <w:bCs w:val="1"/>
          <w:color w:val="auto"/>
        </w:rPr>
        <w:t>June</w:t>
      </w:r>
      <w:r>
        <w:rPr>
          <w:rFonts w:ascii="Arial" w:cs="Arial" w:eastAsia="Arial" w:hAnsi="Arial"/>
          <w:sz w:val="16"/>
          <w:szCs w:val="16"/>
          <w:color w:val="auto"/>
        </w:rPr>
        <w:t xml:space="preserve"> </w:t>
      </w:r>
      <w:r>
        <w:rPr>
          <w:rFonts w:ascii="Arial" w:cs="Arial" w:eastAsia="Arial" w:hAnsi="Arial"/>
          <w:sz w:val="16"/>
          <w:szCs w:val="16"/>
          <w:b w:val="1"/>
          <w:bCs w:val="1"/>
          <w:color w:val="auto"/>
        </w:rPr>
        <w:t>2018 Placement</w:t>
      </w:r>
      <w:r>
        <w:rPr>
          <w:rFonts w:ascii="Arial" w:cs="Arial" w:eastAsia="Arial" w:hAnsi="Arial"/>
          <w:sz w:val="16"/>
          <w:szCs w:val="16"/>
          <w:color w:val="auto"/>
        </w:rPr>
        <w:t>”). The first tranche closed on June 13, 2018 and raised an aggregate of $9.7 million by issuing the equivalent of 2,554,756 shares at a</w:t>
      </w:r>
      <w:r>
        <w:rPr>
          <w:rFonts w:ascii="Arial" w:cs="Arial" w:eastAsia="Arial" w:hAnsi="Arial"/>
          <w:sz w:val="16"/>
          <w:szCs w:val="16"/>
          <w:b w:val="1"/>
          <w:bCs w:val="1"/>
          <w:color w:val="auto"/>
        </w:rPr>
        <w:t xml:space="preserve"> </w:t>
      </w:r>
      <w:r>
        <w:rPr>
          <w:rFonts w:ascii="Arial" w:cs="Arial" w:eastAsia="Arial" w:hAnsi="Arial"/>
          <w:sz w:val="16"/>
          <w:szCs w:val="16"/>
          <w:color w:val="auto"/>
        </w:rPr>
        <w:t>price of $3.79 per share. The second tranche for an aggregate of $2.4 million (referenced above) was issued on July 27, 2018.</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During December 2017, the board of directors approved the 2016 Director Share Plan which previously allowed directors to convert their compensation into ordinary shares. A total of the equivalent of 6,970 shares were issued under the Director Share Plan. Future issuances are no longer authorized under the Director Share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Revenue</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The Company adopted ASC Topic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July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determine revenue recognition for arrangements that are within the scope of Topic 606, the Company performs the following five steps:</w:t>
      </w:r>
    </w:p>
    <w:p>
      <w:pPr>
        <w:spacing w:after="0" w:line="131"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225"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3" w:lineRule="exact"/>
        <w:rPr>
          <w:sz w:val="20"/>
          <w:szCs w:val="20"/>
          <w:color w:val="auto"/>
        </w:rPr>
      </w:pPr>
    </w:p>
    <w:p>
      <w:pPr>
        <w:ind w:left="120" w:right="500" w:firstLine="440"/>
        <w:spacing w:after="0" w:line="282" w:lineRule="auto"/>
        <w:rPr>
          <w:sz w:val="20"/>
          <w:szCs w:val="20"/>
          <w:color w:val="auto"/>
        </w:rPr>
      </w:pPr>
      <w:r>
        <w:rPr>
          <w:rFonts w:ascii="Arial" w:cs="Arial" w:eastAsia="Arial" w:hAnsi="Arial"/>
          <w:sz w:val="18"/>
          <w:szCs w:val="18"/>
          <w:color w:val="auto"/>
        </w:rPr>
        <w:t>The Company’s revenue consists of sale of the RECELL System to hospitals or other treatment centers (“</w:t>
      </w:r>
      <w:r>
        <w:rPr>
          <w:rFonts w:ascii="Arial" w:cs="Arial" w:eastAsia="Arial" w:hAnsi="Arial"/>
          <w:sz w:val="18"/>
          <w:szCs w:val="18"/>
          <w:b w:val="1"/>
          <w:bCs w:val="1"/>
          <w:color w:val="auto"/>
        </w:rPr>
        <w:t>customers</w:t>
      </w:r>
      <w:r>
        <w:rPr>
          <w:rFonts w:ascii="Arial" w:cs="Arial" w:eastAsia="Arial" w:hAnsi="Arial"/>
          <w:sz w:val="18"/>
          <w:szCs w:val="18"/>
          <w:color w:val="auto"/>
        </w:rPr>
        <w:t>”), predominately in the United States.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Company’s contracts typically have a single performance obligation to deliver the product to the customer. The transaction price is stated within the contract and is therefore fixed consideration. The transaction price does not include the sales tax that are imposed by governmental authority.</w:t>
      </w:r>
    </w:p>
    <w:p>
      <w:pPr>
        <w:spacing w:after="0" w:line="124"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We identified the hospital or treatment center as the customer in Step 1 of the model above and have determined a contract exists with those customers in Step 1. As these contracts typically have a single performance obligation (i.e. product delivery), no allocation of the transaction price is required in Step 4 of the model. Control product is transferred to the customer at a point in time. Specifically, we determined the customer obtains control of the product at point in time at which the goods are either shipped or delivered to our customers’ facilities, depending on the terms of the contract.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Revenue from the sale of goods is recognized net of volume discounts. The Company uses the expected value method when estimating variable consideration. Revenue is only recognized to the extent that it is probable that a significant reversal will not occur.</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evaluates its contracts with customers for forms of variable consideration, which may require an adjustment to the transaction price based on their estimated impact. Revenues from product sales are recorded at the sales price, net of volume discounts.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Volume Discounts </w:t>
      </w:r>
      <w:r>
        <w:rPr>
          <w:rFonts w:ascii="Arial" w:cs="Arial" w:eastAsia="Arial" w:hAnsi="Arial"/>
          <w:sz w:val="18"/>
          <w:szCs w:val="18"/>
          <w:color w:val="auto"/>
        </w:rPr>
        <w:t>— The Company generally provides contracted customers with volume discounts that are explicitly stated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Contract assets include amounts related to the Company’s contractual right to consideration for both completed and partially completed performance for which the Company does not have the right to payment. As of the period ended June 30, 2020 and 2019, the Company does not have any contract assets.</w:t>
      </w:r>
    </w:p>
    <w:p>
      <w:pPr>
        <w:spacing w:after="0" w:line="184"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Contract liabilities are recorded when the Company receives payment prior to satisfying its obligation to transfer goods to a customer. The Company had $435,000 and $429,000 of contract liabilities as of June 30, 2020 and 2019, respectively. For the years ended June 30, 2020 and 2019, revenue recognized from amounts included in the beginning balance of contract liabilities was not significant.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to Obtain and Fulfill a Contract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Since the Company’s adoption of ASC 606 on July 1, 2018, revenues from remaining performance obligations are now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$435,000 and $429,000 as of June 30, 2020 and 2019, respectively. The Company expects to recognize these amounts upon receiving Japanese Pharmaceuticals and Medical Device Act approval of the RECELL System in Japan.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Share-Based Payment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Employee Share-Based Compensation Plans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November 2014, our former parent company, AVITA Medical, adopted the Employee Share Plan and the Incentive Option Plan (collectively, the “</w:t>
      </w:r>
      <w:r>
        <w:rPr>
          <w:rFonts w:ascii="Arial" w:cs="Arial" w:eastAsia="Arial" w:hAnsi="Arial"/>
          <w:sz w:val="16"/>
          <w:szCs w:val="16"/>
          <w:b w:val="1"/>
          <w:bCs w:val="1"/>
          <w:color w:val="auto"/>
        </w:rPr>
        <w:t>2016 Plans</w:t>
      </w:r>
      <w:r>
        <w:rPr>
          <w:rFonts w:ascii="Arial" w:cs="Arial" w:eastAsia="Arial" w:hAnsi="Arial"/>
          <w:sz w:val="16"/>
          <w:szCs w:val="16"/>
          <w:color w:val="auto"/>
        </w:rPr>
        <w:t>”). The Employee Share Plan was amended at the 2018 Annual General Meeting. The 2016 Plans previously authorized the issuance of stock options or other share-based instruments representing up to 7.5% of outstanding capital. Any increase in the maximum number of shares issuable under the 2016 Plans was subject to shareholder approval or to an increase in the total number of ordinary shares outstanding. The maximum shares allowed to be issued was 1,610,093, 1,403,475 and 958,034 as of June 30, 2020, 2019 and 2018 respectively. Upon redomiciliation of the AVITA Group to the United States, the 2016 Plans were terminated with respect to future grants and accordingly, there are no more shares available to be issued under the 2016 Plans. In addition, upon redomiciliation, the Company had an implicit 100-1 reverse stock split and all share information presented below has been presented on a reverse split stock basis. At the 2020 annual meeting of stockholders that will be held in late September or early October, the Company intends to seek shareholder approval for a new employee stock option plan.</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2016 Plans were governed by the Compensation Committee. Subject to Board approval where required by applicable law, the Compensation Committee previously had the authority, in its sole discretion, to grant options under the 2016 Plans, to interpret the provisions of the 2016 Plans, and to prescribe, amend, and rescind rules and regulations relating to the 2016 Plans or any issue or grant thereunder as it may deem necessary or advisable, subject to any other approval if required by applicable law. All decisions made by the Compensation Committee pursuant to the provisions of the 2016 Plans were final, conclusive and binding on all persons.</w:t>
      </w:r>
    </w:p>
    <w:p>
      <w:pPr>
        <w:spacing w:after="0" w:line="18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number of awards issued, the exercise price and the vesting schedule under the 2016 Plans were determined by the Compensation Committee, in accordance with the provisions of the 2016 Plans. Options granted under the 2016 Plans have an exercise price equal to the share price at the date of grant, or such other exercise price that the Compensation Committee determines to be appropriate under the circumstances. The contractual term of awards granted under the 2016 Plans is ten years from the date of its grant. Unless otherwise specified, the vesting period of awards under the 2016 Plan was: (i) vest over a four year period in four equal installments, 25% at the end of each year from the date of grant, and /or (ii) subject to other performance criteria and hurdles, as determined by the Compensation Committee.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the Company’s stock-based award plans as of June 30, 2020:</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Outstanding</w:t>
            </w:r>
          </w:p>
        </w:tc>
        <w:tc>
          <w:tcPr>
            <w:tcW w:w="1360" w:type="dxa"/>
            <w:vAlign w:val="bottom"/>
            <w:gridSpan w:val="2"/>
          </w:tcPr>
          <w:p>
            <w:pPr>
              <w:jc w:val="center"/>
              <w:ind w:left="499"/>
              <w:spacing w:after="0"/>
              <w:rPr>
                <w:sz w:val="20"/>
                <w:szCs w:val="20"/>
                <w:color w:val="auto"/>
              </w:rPr>
            </w:pPr>
            <w:r>
              <w:rPr>
                <w:rFonts w:ascii="Arial" w:cs="Arial" w:eastAsia="Arial" w:hAnsi="Arial"/>
                <w:sz w:val="14"/>
                <w:szCs w:val="14"/>
                <w:b w:val="1"/>
                <w:bCs w:val="1"/>
                <w:color w:val="auto"/>
                <w:w w:val="94"/>
              </w:rPr>
              <w:t>Outstanding</w:t>
            </w:r>
          </w:p>
        </w:tc>
        <w:tc>
          <w:tcPr>
            <w:tcW w:w="18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Shares Available for</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0" w:type="dxa"/>
            <w:vAlign w:val="bottom"/>
          </w:tcPr>
          <w:p>
            <w:pPr>
              <w:jc w:val="right"/>
              <w:ind w:right="62"/>
              <w:spacing w:after="0"/>
              <w:rPr>
                <w:sz w:val="20"/>
                <w:szCs w:val="20"/>
                <w:color w:val="auto"/>
              </w:rPr>
            </w:pPr>
            <w:r>
              <w:rPr>
                <w:rFonts w:ascii="Arial" w:cs="Arial" w:eastAsia="Arial" w:hAnsi="Arial"/>
                <w:sz w:val="14"/>
                <w:szCs w:val="14"/>
                <w:b w:val="1"/>
                <w:bCs w:val="1"/>
                <w:color w:val="auto"/>
              </w:rPr>
              <w:t>Options</w:t>
            </w: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58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Future Issuance</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 Plan</w:t>
            </w:r>
          </w:p>
        </w:tc>
        <w:tc>
          <w:tcPr>
            <w:tcW w:w="2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1,260,524</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RSU Awards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339,359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700" w:type="dxa"/>
            <w:vAlign w:val="bottom"/>
          </w:tcPr>
          <w:p>
            <w:pPr>
              <w:spacing w:after="0"/>
              <w:rPr>
                <w:sz w:val="24"/>
                <w:szCs w:val="24"/>
                <w:color w:val="auto"/>
              </w:rPr>
            </w:pPr>
          </w:p>
        </w:tc>
        <w:tc>
          <w:tcPr>
            <w:tcW w:w="3320" w:type="dxa"/>
            <w:vAlign w:val="bottom"/>
            <w:gridSpan w:val="2"/>
          </w:tcPr>
          <w:p>
            <w:pPr>
              <w:jc w:val="right"/>
              <w:ind w:right="1142"/>
              <w:spacing w:after="0"/>
              <w:rPr>
                <w:sz w:val="20"/>
                <w:szCs w:val="20"/>
                <w:color w:val="auto"/>
              </w:rPr>
            </w:pPr>
            <w:r>
              <w:rPr>
                <w:rFonts w:ascii="Arial" w:cs="Arial" w:eastAsia="Arial" w:hAnsi="Arial"/>
                <w:sz w:val="18"/>
                <w:szCs w:val="18"/>
                <w:color w:val="auto"/>
              </w:rPr>
              <w:t>F-22</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 Expenses</w:t>
      </w:r>
    </w:p>
    <w:p>
      <w:pPr>
        <w:spacing w:after="0" w:line="117"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Share-based payment transactions are recognized as compensation cost based on the fair value of the instrument on the date of grant. The Company uses the Binomial option valuation model to estimate the grant date fair value of employee stock options.</w:t>
      </w:r>
    </w:p>
    <w:p>
      <w:pPr>
        <w:spacing w:after="0" w:line="14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During the years ended June 30, 2020, 2019 and 2018, the Company recorded stock-based compensation expense of $16.5 million, $1.9 million, and $1.4 million. No income tax benefit was recognized in the consolidated statement of comprehensive loss for share-based payment arrangements for June 30, 2020, 2019 and 2018.</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 summary of stock option activity under the employees share option plan arrangement as of June 30, 2020 and changes during the year then ended is presented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Service</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8"/>
              </w:rPr>
              <w:t>Service</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Performance</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Only</w:t>
            </w:r>
          </w:p>
        </w:tc>
        <w:tc>
          <w:tcPr>
            <w:tcW w:w="1100" w:type="dxa"/>
            <w:vAlign w:val="bottom"/>
            <w:gridSpan w:val="2"/>
            <w:vMerge w:val="continue"/>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Stock</w:t>
            </w:r>
          </w:p>
        </w:tc>
        <w:tc>
          <w:tcPr>
            <w:tcW w:w="100" w:type="dxa"/>
            <w:vAlign w:val="bottom"/>
          </w:tcPr>
          <w:p>
            <w:pPr>
              <w:spacing w:after="0"/>
              <w:rPr>
                <w:sz w:val="12"/>
                <w:szCs w:val="12"/>
                <w:color w:val="auto"/>
              </w:rPr>
            </w:pPr>
          </w:p>
        </w:tc>
        <w:tc>
          <w:tcPr>
            <w:tcW w:w="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Only</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Based Stock</w:t>
            </w:r>
          </w:p>
        </w:tc>
        <w:tc>
          <w:tcPr>
            <w:tcW w:w="1080" w:type="dxa"/>
            <w:vAlign w:val="bottom"/>
            <w:gridSpan w:val="2"/>
            <w:vMerge w:val="continue"/>
          </w:tcPr>
          <w:p>
            <w:pPr>
              <w:spacing w:after="0"/>
              <w:rPr>
                <w:sz w:val="12"/>
                <w:szCs w:val="12"/>
                <w:color w:val="auto"/>
              </w:rPr>
            </w:pPr>
          </w:p>
        </w:tc>
        <w:tc>
          <w:tcPr>
            <w:tcW w:w="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817,077</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319,717</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1,136,794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$24,679,478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192,133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67,500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259,633</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38.16</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(70,282)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(29,700)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(99,982)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6.37</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(9,270)</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29.45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(25,305)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(1,346)</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(26,651)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18.14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Outstanding at June 30,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904,353</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356,171</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1,260,524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14.72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8.42</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22,185,034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2020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279,776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221,923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501,699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10.25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$10,520,968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weighted-average grant-date fair value of options granted during the years 2020, 2019, and 2018 was $26.56, $6.67, and $5.11, respectively. The total intrinsic value of options exercised during the years ended June 30, 2020, 2019 and 2018 was $3.1 million, $1.7 million, and $0, respectively. Intrinsic value is measured using the fair market value at the date of exercise for options exercised, or at June 30 for outstanding options, less the applicable exercise price.</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Cash received from the exercise of options was approximately $474,000 and $252,000 and $0 for the year ended June 30, 2020, 2019 and 2018, respectively.</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of June 30, 2020, there was approximately $5.8 million of total unrecognized compensation cost related to stock options to be recognized over a weighted average period of 1.41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Pricing Model</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fair value of each stock option is estimated on the date of grant using the Binomial valuation model. Expected volatilities are based on historical volatility of the Company’s shares over multiple trading periods, to estimate the future volatility of the Company’s shares over the contractual term of 10 years. The expected term of options granted is derived from the output of the option valuation model and represents the period of time that options granted are expected to be outstanding. The risk-free rate for periods within the contractual life of the option is based on the Reserve Bank of Australia’s government bonds, not the U.S. Treasury yield curve in effect at the time of grant. As the Company has never declared dividends, no dividend yield is used in the calculation. Actual value realized, if any, is dependent on the future performance of the Company’s shares and overall stock market conditions. There is no assurance the value realized by an optionee will be at or near the value estimated by the Binomial model.</w:t>
      </w:r>
    </w:p>
    <w:p>
      <w:pPr>
        <w:spacing w:after="0" w:line="16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Included in the following table is a summary of the grant-date fair value of stock options granted and the related assumptions used in the Binomial models for stock options granted in fiscal 2020, 2019, and 2018.</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20" w:type="dxa"/>
            <w:vAlign w:val="bottom"/>
            <w:tcBorders>
              <w:bottom w:val="single" w:sz="8" w:color="auto"/>
            </w:tcBorders>
            <w:gridSpan w:val="4"/>
          </w:tcPr>
          <w:p>
            <w:pPr>
              <w:ind w:left="1100"/>
              <w:spacing w:after="0"/>
              <w:rPr>
                <w:sz w:val="20"/>
                <w:szCs w:val="20"/>
                <w:color w:val="auto"/>
              </w:rPr>
            </w:pPr>
            <w:r>
              <w:rPr>
                <w:rFonts w:ascii="Arial" w:cs="Arial" w:eastAsia="Arial" w:hAnsi="Arial"/>
                <w:sz w:val="14"/>
                <w:szCs w:val="14"/>
                <w:b w:val="1"/>
                <w:bCs w:val="1"/>
                <w:color w:val="auto"/>
              </w:rPr>
              <w:t>Year Ended June 30,</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6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- 90%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Weighted-average volatility</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1.5 - 10.0</w:t>
            </w:r>
          </w:p>
        </w:tc>
        <w:tc>
          <w:tcPr>
            <w:tcW w:w="6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 - 2.65%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 - 2.65%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r>
      <w:tr>
        <w:trPr>
          <w:trHeight w:val="364"/>
        </w:trPr>
        <w:tc>
          <w:tcPr>
            <w:tcW w:w="3220" w:type="dxa"/>
            <w:vAlign w:val="bottom"/>
          </w:tcPr>
          <w:p>
            <w:pPr>
              <w:spacing w:after="0"/>
              <w:rPr>
                <w:sz w:val="24"/>
                <w:szCs w:val="24"/>
                <w:color w:val="auto"/>
              </w:rPr>
            </w:pPr>
          </w:p>
        </w:tc>
        <w:tc>
          <w:tcPr>
            <w:tcW w:w="3860" w:type="dxa"/>
            <w:vAlign w:val="bottom"/>
            <w:gridSpan w:val="3"/>
          </w:tcPr>
          <w:p>
            <w:pPr>
              <w:ind w:left="1240"/>
              <w:spacing w:after="0"/>
              <w:rPr>
                <w:sz w:val="20"/>
                <w:szCs w:val="20"/>
                <w:color w:val="auto"/>
              </w:rPr>
            </w:pPr>
            <w:r>
              <w:rPr>
                <w:rFonts w:ascii="Arial" w:cs="Arial" w:eastAsia="Arial" w:hAnsi="Arial"/>
                <w:sz w:val="18"/>
                <w:szCs w:val="18"/>
                <w:color w:val="auto"/>
              </w:rPr>
              <w:t>F-23</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Restricted stock units (RSUs) are granted to executives as part of their long-term incentive compensation. RSU awards are approved by the Compensation Committee as determined necessary. The RSU awards have a contractual term of 10 years and vest in accordance with the tenure or performance conditions as determined by the Compensation Committee. The grant date fair value is determined based on the price of the Company stock on the ASX on the date of grant. RSUs primarily consist of awards to the CEO and other executives. The terms of the awards are described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CEO RSUs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November 30, 2017, 500,000 RSUs were issued to the CEO with the following vesting terms:</w:t>
      </w:r>
    </w:p>
    <w:p>
      <w:pPr>
        <w:spacing w:after="0" w:line="13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Tenure – 166,667 shares with a vesting period of three-years commencing on June 1, 2017.</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Share Price – 166,667 shares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Milestone performance – 166,666 shares to vest in two equal tranches upon satisfaction of the following milestones:</w:t>
      </w:r>
    </w:p>
    <w:p>
      <w:pPr>
        <w:spacing w:after="0" w:line="117" w:lineRule="exact"/>
        <w:rPr>
          <w:rFonts w:ascii="Arial" w:cs="Arial" w:eastAsia="Arial" w:hAnsi="Arial"/>
          <w:sz w:val="18"/>
          <w:szCs w:val="18"/>
          <w:color w:val="auto"/>
        </w:rPr>
      </w:pPr>
    </w:p>
    <w:p>
      <w:pPr>
        <w:ind w:left="1720" w:hanging="172"/>
        <w:spacing w:after="0"/>
        <w:tabs>
          <w:tab w:leader="none" w:pos="17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17" w:lineRule="exact"/>
        <w:rPr>
          <w:rFonts w:ascii="Arial" w:cs="Arial" w:eastAsia="Arial" w:hAnsi="Arial"/>
          <w:sz w:val="18"/>
          <w:szCs w:val="18"/>
          <w:color w:val="auto"/>
        </w:rPr>
      </w:pPr>
    </w:p>
    <w:p>
      <w:pPr>
        <w:ind w:left="1720" w:hanging="172"/>
        <w:spacing w:after="0"/>
        <w:tabs>
          <w:tab w:leader="none" w:pos="17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Initial BARDA procurement under CLIN 2 of the BARDA Grant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November 2019, 395,542 RSUs were issued to the CEO with the following vesting terms:</w:t>
      </w:r>
    </w:p>
    <w:p>
      <w:pPr>
        <w:spacing w:after="0" w:line="131"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Tenure – 142,520 shares with a vesting period of three-years commencing on June 1, 2020.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Milestone performance – 253,033 RSUs will vest upon satisfaction of the following milestones:</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First patient visit for treatment in an FDA approved U.S. soft tissue and trauma trial by the Company prior to March 3, 2020.</w:t>
      </w:r>
    </w:p>
    <w:p>
      <w:pPr>
        <w:spacing w:after="0" w:line="153" w:lineRule="exact"/>
        <w:rPr>
          <w:rFonts w:ascii="Arial" w:cs="Arial" w:eastAsia="Arial" w:hAnsi="Arial"/>
          <w:sz w:val="16"/>
          <w:szCs w:val="16"/>
          <w:color w:val="auto"/>
        </w:rPr>
      </w:pPr>
    </w:p>
    <w:p>
      <w:pPr>
        <w:ind w:left="2080" w:hanging="533"/>
        <w:spacing w:after="0"/>
        <w:tabs>
          <w:tab w:leader="none" w:pos="2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First patient visit for treatment in an FDA approved U.S pediatric trial by the Company prior to June 30, 2020,</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First patient visit for treatment in an FDA approved U.S pilot vitiligo trial by the Company prior to September 30, 2020.</w:t>
      </w:r>
    </w:p>
    <w:p>
      <w:pPr>
        <w:spacing w:after="0" w:line="142" w:lineRule="exact"/>
        <w:rPr>
          <w:rFonts w:ascii="Arial" w:cs="Arial" w:eastAsia="Arial" w:hAnsi="Arial"/>
          <w:sz w:val="17"/>
          <w:szCs w:val="17"/>
          <w:color w:val="auto"/>
        </w:rPr>
      </w:pPr>
    </w:p>
    <w:p>
      <w:pPr>
        <w:ind w:left="2080" w:hanging="533"/>
        <w:spacing w:after="0"/>
        <w:tabs>
          <w:tab w:leader="none" w:pos="2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FDA application submission for approval of the next generation RECELL device prior to June 30, 2021.</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FDA approval of the next generation RECELL device prior to June 30, 2022.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Executive Grants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November 2019, 49,000 RSUs were to executives.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the status of the Company’s unvested shares as of June 30, 2020, and changes during the year ended June 30, 2020, is presented below:</w:t>
      </w:r>
    </w:p>
    <w:p>
      <w:pPr>
        <w:spacing w:after="0" w:line="25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3"/>
          </w:tcPr>
          <w:p>
            <w:pPr>
              <w:jc w:val="center"/>
              <w:ind w:right="6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Grant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Service</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Performance</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Date Fair</w:t>
            </w:r>
          </w:p>
        </w:tc>
        <w:tc>
          <w:tcPr>
            <w:tcW w:w="0" w:type="dxa"/>
            <w:vAlign w:val="bottom"/>
          </w:tcPr>
          <w:p>
            <w:pPr>
              <w:spacing w:after="0"/>
              <w:rPr>
                <w:sz w:val="1"/>
                <w:szCs w:val="1"/>
                <w:color w:val="auto"/>
              </w:rPr>
            </w:pPr>
          </w:p>
        </w:tc>
      </w:tr>
      <w:tr>
        <w:trPr>
          <w:trHeight w:val="149"/>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Unvested Shares</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7"/>
              </w:rPr>
              <w:t>Condition</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Condition</w:t>
            </w: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67"/>
        </w:trPr>
        <w:tc>
          <w:tcPr>
            <w:tcW w:w="644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RSU</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RSU</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RSUs</w:t>
            </w:r>
          </w:p>
        </w:tc>
        <w:tc>
          <w:tcPr>
            <w:tcW w:w="600" w:type="dxa"/>
            <w:vAlign w:val="bottom"/>
            <w:gridSpan w:val="3"/>
          </w:tcPr>
          <w:p>
            <w:pPr>
              <w:jc w:val="center"/>
              <w:ind w:right="40"/>
              <w:spacing w:after="0"/>
              <w:rPr>
                <w:sz w:val="20"/>
                <w:szCs w:val="20"/>
                <w:color w:val="auto"/>
              </w:rPr>
            </w:pPr>
            <w:r>
              <w:rPr>
                <w:rFonts w:ascii="Arial" w:cs="Arial" w:eastAsia="Arial" w:hAnsi="Arial"/>
                <w:sz w:val="14"/>
                <w:szCs w:val="14"/>
                <w:color w:val="auto"/>
                <w:w w:val="97"/>
              </w:rPr>
              <w:t>per Unit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outstanding at June 30,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146,521</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298,022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444,543</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(218,175)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(387,009)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(605,184)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at June 30, 2020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95,013</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244,346</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339,359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weighted-average grant-date fair value of the RSUs granted during 2020, 2019 and 2018 was $39.12, $0 and $4.48 per unit, respectively. The total fair value of shares vested during the years ended June 30, 2020, 2019 and 2018 was $9.2 million, $0, and $0, respectively.</w:t>
      </w:r>
    </w:p>
    <w:p>
      <w:pPr>
        <w:spacing w:after="0" w:line="12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of June 30, 2020, there was $6.6 million of total unrecognized compensation cost related to unvested share-based compensation arrangements granted under the RSU award agreements. This amount includes $1.9 million for performance share awards that have been determined to be not probable. The associated expense will be recognized once the performance conditions has been determined to be probable. The remaining unrecognized expense of $4.7 million is expected to be recognized over a weighted average period of 0.69 years.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Geographic sources of income (loss) from continuing operations before income taxes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93"/>
              </w:rPr>
              <w:t>Year Ended</w:t>
            </w:r>
          </w:p>
        </w:tc>
        <w:tc>
          <w:tcPr>
            <w:tcW w:w="118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1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398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w w:val="96"/>
              </w:rPr>
              <w:t>June 30,</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w w:val="96"/>
              </w:rPr>
              <w:t>June 30,</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39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8"/>
              <w:spacing w:after="0" w:line="158"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0"/>
              </w:rPr>
              <w:t>(20,793)</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(19,899)</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(5,382)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(21,233)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(5,324)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(42,026)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(13,809)</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income tax benefit (expense) as shown in the accompanying consolidated statements of operations includes the following:</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640" w:type="dxa"/>
            <w:vAlign w:val="bottom"/>
            <w:gridSpan w:val="4"/>
          </w:tcPr>
          <w:p>
            <w:pPr>
              <w:ind w:left="580"/>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1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w w:val="99"/>
              </w:rPr>
              <w:t>June 30,</w:t>
            </w: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200" w:type="dxa"/>
            <w:vAlign w:val="bottom"/>
            <w:gridSpan w:val="3"/>
            <w:vMerge w:val="continue"/>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27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340"/>
              <w:spacing w:after="0"/>
              <w:rPr>
                <w:sz w:val="20"/>
                <w:szCs w:val="20"/>
                <w:color w:val="auto"/>
              </w:rPr>
            </w:pPr>
            <w:r>
              <w:rPr>
                <w:rFonts w:ascii="Arial" w:cs="Arial" w:eastAsia="Arial" w:hAnsi="Arial"/>
                <w:sz w:val="18"/>
                <w:szCs w:val="18"/>
                <w:color w:val="auto"/>
              </w:rPr>
              <w:t>Federal</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340"/>
              <w:spacing w:after="0"/>
              <w:rPr>
                <w:sz w:val="20"/>
                <w:szCs w:val="20"/>
                <w:color w:val="auto"/>
              </w:rPr>
            </w:pPr>
            <w:r>
              <w:rPr>
                <w:rFonts w:ascii="Arial" w:cs="Arial" w:eastAsia="Arial" w:hAnsi="Arial"/>
                <w:sz w:val="18"/>
                <w:szCs w:val="18"/>
                <w:color w:val="auto"/>
              </w:rPr>
              <w:t>Foreign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w w:val="98"/>
              </w:rPr>
              <w:t>(1,074)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(1,074)</w:t>
            </w:r>
          </w:p>
        </w:tc>
        <w:tc>
          <w:tcPr>
            <w:tcW w:w="0" w:type="dxa"/>
            <w:vAlign w:val="bottom"/>
          </w:tcPr>
          <w:p>
            <w:pPr>
              <w:spacing w:after="0"/>
              <w:rPr>
                <w:sz w:val="1"/>
                <w:szCs w:val="1"/>
                <w:color w:val="auto"/>
              </w:rPr>
            </w:pPr>
          </w:p>
        </w:tc>
      </w:tr>
      <w:tr>
        <w:trPr>
          <w:trHeight w:val="223"/>
        </w:trPr>
        <w:tc>
          <w:tcPr>
            <w:tcW w:w="4200" w:type="dxa"/>
            <w:vAlign w:val="bottom"/>
            <w:gridSpan w:val="3"/>
          </w:tcPr>
          <w:p>
            <w:pPr>
              <w:spacing w:after="0"/>
              <w:rPr>
                <w:sz w:val="20"/>
                <w:szCs w:val="20"/>
                <w:color w:val="auto"/>
              </w:rPr>
            </w:pPr>
            <w:r>
              <w:rPr>
                <w:rFonts w:ascii="Arial" w:cs="Arial" w:eastAsia="Arial" w:hAnsi="Arial"/>
                <w:sz w:val="18"/>
                <w:szCs w:val="18"/>
                <w:color w:val="auto"/>
              </w:rPr>
              <w:t>Deferred:</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340"/>
              <w:spacing w:after="0"/>
              <w:rPr>
                <w:sz w:val="20"/>
                <w:szCs w:val="20"/>
                <w:color w:val="auto"/>
              </w:rPr>
            </w:pPr>
            <w:r>
              <w:rPr>
                <w:rFonts w:ascii="Arial" w:cs="Arial" w:eastAsia="Arial" w:hAnsi="Arial"/>
                <w:sz w:val="18"/>
                <w:szCs w:val="18"/>
                <w:color w:val="auto"/>
              </w:rPr>
              <w:t>State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(121)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(1,074)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provision for income taxes differs from the tax computed using the statutory United States federal income tax rate of 21%, 21% and 28% for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2020, 2019 and 2018 as a result of the following items: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160" w:type="dxa"/>
            <w:vAlign w:val="bottom"/>
            <w:gridSpan w:val="4"/>
          </w:tcPr>
          <w:p>
            <w:pPr>
              <w:ind w:left="2140"/>
              <w:spacing w:after="0"/>
              <w:rPr>
                <w:sz w:val="20"/>
                <w:szCs w:val="20"/>
                <w:color w:val="auto"/>
              </w:rPr>
            </w:pPr>
            <w:r>
              <w:rPr>
                <w:rFonts w:ascii="Arial" w:cs="Arial" w:eastAsia="Arial" w:hAnsi="Arial"/>
                <w:sz w:val="14"/>
                <w:szCs w:val="14"/>
                <w:b w:val="1"/>
                <w:bCs w:val="1"/>
                <w:color w:val="auto"/>
              </w:rPr>
              <w:t>Year Ended</w:t>
            </w:r>
          </w:p>
        </w:tc>
        <w:tc>
          <w:tcPr>
            <w:tcW w:w="12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4"/>
          </w:tcPr>
          <w:p>
            <w:pPr>
              <w:jc w:val="center"/>
              <w:ind w:left="39"/>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58"/>
        </w:trPr>
        <w:tc>
          <w:tcPr>
            <w:tcW w:w="3760" w:type="dxa"/>
            <w:vAlign w:val="bottom"/>
            <w:gridSpan w:val="3"/>
            <w:vMerge w:val="continue"/>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13"/>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Tax expense (benefit) at U.S. statutory rate</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(8,827)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(5,297)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State income taxes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tax rate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Net change in valuation allowance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40" w:type="dxa"/>
            <w:vAlign w:val="bottom"/>
          </w:tcPr>
          <w:p>
            <w:pPr>
              <w:ind w:left="700"/>
              <w:spacing w:after="0"/>
              <w:rPr>
                <w:sz w:val="20"/>
                <w:szCs w:val="20"/>
                <w:color w:val="auto"/>
              </w:rPr>
            </w:pPr>
            <w:r>
              <w:rPr>
                <w:rFonts w:ascii="Arial" w:cs="Arial" w:eastAsia="Arial" w:hAnsi="Arial"/>
                <w:sz w:val="18"/>
                <w:szCs w:val="18"/>
                <w:color w:val="auto"/>
              </w:rPr>
              <w:t>F-25</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 summary of deferred </w:t>
      </w:r>
      <w:r>
        <w:rPr>
          <w:rFonts w:ascii="Arial" w:cs="Arial" w:eastAsia="Arial" w:hAnsi="Arial"/>
          <w:sz w:val="18"/>
          <w:szCs w:val="18"/>
          <w:i w:val="1"/>
          <w:iCs w:val="1"/>
          <w:color w:val="auto"/>
        </w:rPr>
        <w:t>income tax assets is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Year Ended June 30, 2020</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w w:val="97"/>
              </w:rPr>
              <w:t>Year Ended June 30, 2019</w:t>
            </w: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5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ROU Asset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(608)</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(608)</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564</w:t>
            </w:r>
          </w:p>
        </w:tc>
        <w:tc>
          <w:tcPr>
            <w:tcW w:w="5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255</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2,996</w:t>
            </w:r>
          </w:p>
        </w:tc>
        <w:tc>
          <w:tcPr>
            <w:tcW w:w="5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5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634</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56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37,756</w:t>
            </w:r>
          </w:p>
        </w:tc>
        <w:tc>
          <w:tcPr>
            <w:tcW w:w="5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25,358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285</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42,507</w:t>
            </w:r>
          </w:p>
        </w:tc>
        <w:tc>
          <w:tcPr>
            <w:tcW w:w="96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25,944</w:t>
            </w:r>
          </w:p>
        </w:tc>
        <w:tc>
          <w:tcPr>
            <w:tcW w:w="10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5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(41,899)</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(25,944)</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96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assets / (liabilities)</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At June 30, 2020, the Company and its subsidiaries had net operating loss carryforwards for federal, state, United Kingdom, and Australia income tax purposes of $88.5 million, $57.5 million, $29.8 million, and $34.1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in various years through 2038. The remaining carryforwards have no expiration.</w:t>
      </w:r>
    </w:p>
    <w:p>
      <w:pPr>
        <w:spacing w:after="0" w:line="18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$41.9 million and $25.9 million as of June 30, 2020 and 2019, respectively. The deferred tax assets are primarily net operating loss carryforwards for which management has determined it is more likely than not that the deferred tax assets will not be realized.</w:t>
      </w:r>
    </w:p>
    <w:p>
      <w:pPr>
        <w:spacing w:after="0" w:line="181"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w:t>
      </w:r>
    </w:p>
    <w:p>
      <w:pPr>
        <w:spacing w:after="0" w:line="2"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not identified any uncertain tax positions as of June 30, 2020 or June 30, 2019.</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Company files income tax returns in the U.S. federal, California and certain other state and foreign jurisdictions. The Company remains subject to income tax examinations for its U.S. federal and state income taxes generally for fiscal years ended June 30, 2006 and forward. The Company also remains subject to income tax examinations for international income taxes for fiscal years ended June 30, 2016 through June 30, 2019, and for certain other U.S. state and local income taxes generally for the fiscal years ended June 30, 2016 through June 30, 2019.</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Tax Cuts and Jobs Act (“the Tax Act”) was enacted on December 22, 2017 and reduced U.S. corporate income tax rates to 21% as of January 1, 2018. The rate change became effective during tax year June 30, 2018, resulting in a blended statutory tax rate of 28% and a decrease in the Company’s deferred tax assets and the associated valuation allowance in tax year June 30, 2018.</w:t>
      </w:r>
    </w:p>
    <w:p>
      <w:pPr>
        <w:spacing w:after="0" w:line="180" w:lineRule="exact"/>
        <w:rPr>
          <w:sz w:val="20"/>
          <w:szCs w:val="20"/>
          <w:color w:val="auto"/>
        </w:rPr>
      </w:pPr>
    </w:p>
    <w:p>
      <w:pPr>
        <w:ind w:left="120" w:right="60" w:firstLine="440"/>
        <w:spacing w:after="0" w:line="303" w:lineRule="auto"/>
        <w:rPr>
          <w:sz w:val="20"/>
          <w:szCs w:val="20"/>
          <w:color w:val="auto"/>
        </w:rPr>
      </w:pPr>
      <w:r>
        <w:rPr>
          <w:rFonts w:ascii="Arial" w:cs="Arial" w:eastAsia="Arial" w:hAnsi="Arial"/>
          <w:sz w:val="16"/>
          <w:szCs w:val="16"/>
          <w:color w:val="auto"/>
        </w:rPr>
        <w:t>On March 27, 2020, the Coronavirus Aid, Relief, and Economic Security Act (“</w:t>
      </w:r>
      <w:r>
        <w:rPr>
          <w:rFonts w:ascii="Arial" w:cs="Arial" w:eastAsia="Arial" w:hAnsi="Arial"/>
          <w:sz w:val="16"/>
          <w:szCs w:val="16"/>
          <w:b w:val="1"/>
          <w:bCs w:val="1"/>
          <w:color w:val="auto"/>
        </w:rPr>
        <w:t>CARES Ac</w:t>
      </w:r>
      <w:r>
        <w:rPr>
          <w:rFonts w:ascii="Arial" w:cs="Arial" w:eastAsia="Arial" w:hAnsi="Arial"/>
          <w:sz w:val="16"/>
          <w:szCs w:val="16"/>
          <w:color w:val="auto"/>
        </w:rPr>
        <w:t>t”) was enacted in the United States. The CARES Act provides numerous tax provisions and other stimulus measures, including temporary changes regarding the prior and future utilization of net operating losses and technical corrections from prior tax legislation for tax depreciation of certain qualified improvement property. The Company evaluated the provisions of the CARES Act and does not anticipate the associated impacts, if any, will have a material effect on our financial position.</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June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42,030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25,102</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12,735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Weighted-average common shares—outstanding, basic</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20,291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16,065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shares—outstanding, diluted</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20,291</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16,065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60" w:type="dxa"/>
            <w:vAlign w:val="bottom"/>
            <w:shd w:val="clear" w:color="auto" w:fill="CCEEFF"/>
          </w:tcPr>
          <w:p>
            <w:pPr>
              <w:spacing w:after="0"/>
              <w:rPr>
                <w:sz w:val="18"/>
                <w:szCs w:val="18"/>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Net loss per common share, basic</w:t>
            </w:r>
          </w:p>
        </w:tc>
        <w:tc>
          <w:tcPr>
            <w:tcW w:w="1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diluted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Company’s basic net loss per share is calculated by dividing the net loss by the weighted-average number of shares of common stock outstanding for the relevant period.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years ended June 30, 2020, 2019 and 2019, diluted net loss per common share is the same as the basic net loss per share for those years.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Retirement Plans</w:t>
      </w:r>
    </w:p>
    <w:p>
      <w:pPr>
        <w:spacing w:after="0" w:line="117"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The Company offers a 401(k)-retirement savings plan (the “</w:t>
      </w:r>
      <w:r>
        <w:rPr>
          <w:rFonts w:ascii="Arial" w:cs="Arial" w:eastAsia="Arial" w:hAnsi="Arial"/>
          <w:sz w:val="17"/>
          <w:szCs w:val="17"/>
          <w:b w:val="1"/>
          <w:bCs w:val="1"/>
          <w:color w:val="auto"/>
        </w:rPr>
        <w:t>401(k) Plan</w:t>
      </w:r>
      <w:r>
        <w:rPr>
          <w:rFonts w:ascii="Arial" w:cs="Arial" w:eastAsia="Arial" w:hAnsi="Arial"/>
          <w:sz w:val="17"/>
          <w:szCs w:val="17"/>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$713,000, $594,000 and $ 290,000 in the years ended June 30, 2020, 2019 and 2018, respectively.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Deed of Cross Guarantee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(as the parent entity of the AVITA Group) is party to a deed of cross guarantee dated June 29, 2020 (“</w:t>
      </w:r>
      <w:r>
        <w:rPr>
          <w:rFonts w:ascii="Arial" w:cs="Arial" w:eastAsia="Arial" w:hAnsi="Arial"/>
          <w:sz w:val="17"/>
          <w:szCs w:val="17"/>
          <w:b w:val="1"/>
          <w:bCs w:val="1"/>
          <w:color w:val="auto"/>
        </w:rPr>
        <w:t>Deed</w:t>
      </w:r>
      <w:r>
        <w:rPr>
          <w:rFonts w:ascii="Arial" w:cs="Arial" w:eastAsia="Arial" w:hAnsi="Arial"/>
          <w:sz w:val="17"/>
          <w:szCs w:val="17"/>
          <w:color w:val="auto"/>
        </w:rPr>
        <w:t>”) with each of its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Australian wholly-owned subsidiaries, namely:</w:t>
      </w:r>
    </w:p>
    <w:p>
      <w:pPr>
        <w:spacing w:after="0" w:line="112"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AVITA Medical Ltd (ACN 058 466 523) (“</w:t>
      </w:r>
      <w:r>
        <w:rPr>
          <w:rFonts w:ascii="Arial" w:cs="Arial" w:eastAsia="Arial" w:hAnsi="Arial"/>
          <w:sz w:val="18"/>
          <w:szCs w:val="18"/>
          <w:b w:val="1"/>
          <w:bCs w:val="1"/>
          <w:color w:val="auto"/>
        </w:rPr>
        <w:t>AVITA Medical</w:t>
      </w:r>
      <w:r>
        <w:rPr>
          <w:rFonts w:ascii="Arial" w:cs="Arial" w:eastAsia="Arial" w:hAnsi="Arial"/>
          <w:sz w:val="18"/>
          <w:szCs w:val="18"/>
          <w:color w:val="auto"/>
        </w:rPr>
        <w:t>”);</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C3 Operations Pty Ltd (ACN 090 161 505);</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Visiomed Group Pty Ltd (ACN 003 010 580);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Infamed Pty Limited (ACN 084 800 653),</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Australian Subsidiaries</w:t>
      </w:r>
      <w:r>
        <w:rPr>
          <w:rFonts w:ascii="Arial" w:cs="Arial" w:eastAsia="Arial" w:hAnsi="Arial"/>
          <w:sz w:val="18"/>
          <w:szCs w:val="18"/>
          <w:color w:val="auto"/>
        </w:rPr>
        <w:t>”).</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 and the Australian Subsidiaries were the only parties to the Deed at June 30, 2020 and comprise the “closed group” for the purposes of the Deed (and also the “extended closed group”). No parties have been added to or removed from the Deed, or are subject to a notice of disposal, since June 29, 2020. Since June 30, 2020, there has been no change in ownership in any of the Australian Subsidiaries.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entering into the deed, the Company and the Australian Subsidiaries have guaranteed the debts of each other.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Relief under ASIC Corporations (Wholly-owned Companies) Instrument 2016/785</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 xml:space="preserve">By entering into the Deed, the Australian Subsidiaries, except for Avita Medical, have been relieved from the requirement to prepare a financial report and directors’ report for the financial year ended June 30, 2020 under </w:t>
      </w:r>
      <w:r>
        <w:rPr>
          <w:rFonts w:ascii="Arial" w:cs="Arial" w:eastAsia="Arial" w:hAnsi="Arial"/>
          <w:sz w:val="16"/>
          <w:szCs w:val="16"/>
          <w:i w:val="1"/>
          <w:iCs w:val="1"/>
          <w:color w:val="auto"/>
        </w:rPr>
        <w:t>ASIC Corporations (Wholly-owned Companies) Instrument 2016/785</w:t>
      </w:r>
      <w:r>
        <w:rPr>
          <w:rFonts w:ascii="Arial" w:cs="Arial" w:eastAsia="Arial" w:hAnsi="Arial"/>
          <w:sz w:val="16"/>
          <w:szCs w:val="16"/>
          <w:color w:val="auto"/>
        </w:rPr>
        <w: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Relief under ASIC Instrument 20-0431</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Avita Medical, being the former parent entity of the Avita Group, is unable to rely on the relief provided under </w:t>
      </w:r>
      <w:r>
        <w:rPr>
          <w:rFonts w:ascii="Arial" w:cs="Arial" w:eastAsia="Arial" w:hAnsi="Arial"/>
          <w:sz w:val="18"/>
          <w:szCs w:val="18"/>
          <w:i w:val="1"/>
          <w:iCs w:val="1"/>
          <w:color w:val="auto"/>
        </w:rPr>
        <w:t>ASIC Corporations (Wholly-owned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Instrument 2016/785 </w:t>
      </w:r>
      <w:r>
        <w:rPr>
          <w:rFonts w:ascii="Arial" w:cs="Arial" w:eastAsia="Arial" w:hAnsi="Arial"/>
          <w:sz w:val="18"/>
          <w:szCs w:val="18"/>
          <w:color w:val="auto"/>
        </w:rPr>
        <w:t>for the financial year ended June 30, 2020, because it was a disclosing entity for part of the relevant financial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However, under subsection 340(1)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the Australian Securities and Investments Commission (“</w:t>
      </w:r>
      <w:r>
        <w:rPr>
          <w:rFonts w:ascii="Arial" w:cs="Arial" w:eastAsia="Arial" w:hAnsi="Arial"/>
          <w:sz w:val="18"/>
          <w:szCs w:val="18"/>
          <w:b w:val="1"/>
          <w:bCs w:val="1"/>
          <w:color w:val="auto"/>
        </w:rPr>
        <w:t>ASIC</w:t>
      </w:r>
      <w:r>
        <w:rPr>
          <w:rFonts w:ascii="Arial" w:cs="Arial" w:eastAsia="Arial" w:hAnsi="Arial"/>
          <w:sz w:val="18"/>
          <w:szCs w:val="18"/>
          <w:color w:val="auto"/>
        </w:rPr>
        <w:t>”) has granted separate relief to Avita Medical under ASIC Instrument 20-0431 (“</w:t>
      </w:r>
      <w:r>
        <w:rPr>
          <w:rFonts w:ascii="Arial" w:cs="Arial" w:eastAsia="Arial" w:hAnsi="Arial"/>
          <w:sz w:val="18"/>
          <w:szCs w:val="18"/>
          <w:b w:val="1"/>
          <w:bCs w:val="1"/>
          <w:color w:val="auto"/>
        </w:rPr>
        <w:t>Instrument</w:t>
      </w:r>
      <w:r>
        <w:rPr>
          <w:rFonts w:ascii="Arial" w:cs="Arial" w:eastAsia="Arial" w:hAnsi="Arial"/>
          <w:sz w:val="18"/>
          <w:szCs w:val="18"/>
          <w:color w:val="auto"/>
        </w:rPr>
        <w:t>”). Under the Instrument, ASIC has ordered that Avita Medical does not have to comply with a number of Australian reporting requirements including the requirement to prepare and file a stand-alone financial report in Australia.</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order to comply with the conditions to the relief provided in the Instrument, the Australian Subsidiaries (including Avita Medical) entered into the Deed with the Company on June 29,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Consolidated financial information of parties to the Deed</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financial statements below are additional disclosure items specifically required by ASIC and represent the consolidated financial statements of the entities that are party to the Deed only (being the ‘closed group’ and also the ‘extended closed group’ under the Deed).</w:t>
      </w:r>
    </w:p>
    <w:p>
      <w:pPr>
        <w:spacing w:after="0" w:line="15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9"/>
              </w:rPr>
              <w:t>Year Ended June 30,</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Cost of sales</w:t>
            </w:r>
          </w:p>
        </w:tc>
        <w:tc>
          <w:tcPr>
            <w:tcW w:w="2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2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w w:val="98"/>
              </w:rPr>
              <w:t>General and administrative expenses</w:t>
            </w:r>
          </w:p>
        </w:tc>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Research and development expenses</w:t>
            </w:r>
          </w:p>
        </w:tc>
        <w:tc>
          <w:tcPr>
            <w:tcW w:w="2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22,090</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8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income</w:t>
            </w:r>
          </w:p>
        </w:tc>
        <w:tc>
          <w:tcPr>
            <w:tcW w:w="2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100" w:type="dxa"/>
            <w:vAlign w:val="bottom"/>
            <w:gridSpan w:val="2"/>
          </w:tcPr>
          <w:p>
            <w:pPr>
              <w:ind w:left="280"/>
              <w:spacing w:after="0"/>
              <w:rPr>
                <w:sz w:val="20"/>
                <w:szCs w:val="20"/>
                <w:color w:val="auto"/>
              </w:rPr>
            </w:pPr>
            <w:r>
              <w:rPr>
                <w:rFonts w:ascii="Arial" w:cs="Arial" w:eastAsia="Arial" w:hAnsi="Arial"/>
                <w:sz w:val="18"/>
                <w:szCs w:val="18"/>
                <w:color w:val="auto"/>
              </w:rPr>
              <w:t>F-28</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R&amp;D tax credits</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Prepaids and other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Inventory</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Plant and equipment, net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Accrued wages and fringe benefits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Contributed Equity</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3560"/>
              <w:spacing w:after="0"/>
              <w:rPr>
                <w:sz w:val="20"/>
                <w:szCs w:val="20"/>
                <w:color w:val="auto"/>
              </w:rPr>
            </w:pPr>
            <w:r>
              <w:rPr>
                <w:rFonts w:ascii="Arial" w:cs="Arial" w:eastAsia="Arial" w:hAnsi="Arial"/>
                <w:sz w:val="18"/>
                <w:szCs w:val="18"/>
                <w:color w:val="auto"/>
              </w:rPr>
              <w:t>F-29</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Quarterly Results (Unaudited)</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1041"/>
              <w:spacing w:after="0"/>
              <w:rPr>
                <w:sz w:val="20"/>
                <w:szCs w:val="20"/>
                <w:color w:val="auto"/>
              </w:rPr>
            </w:pPr>
            <w:r>
              <w:rPr>
                <w:rFonts w:ascii="Arial" w:cs="Arial" w:eastAsia="Arial" w:hAnsi="Arial"/>
                <w:sz w:val="14"/>
                <w:szCs w:val="14"/>
                <w:b w:val="1"/>
                <w:bCs w:val="1"/>
                <w:color w:val="auto"/>
              </w:rPr>
              <w:t>Year Ended June 30,</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3"/>
          </w:tcPr>
          <w:p>
            <w:pPr>
              <w:jc w:val="right"/>
              <w:ind w:right="261"/>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right"/>
              <w:ind w:right="641"/>
              <w:spacing w:after="0" w:line="129"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1"/>
                <w:szCs w:val="11"/>
                <w:color w:val="auto"/>
              </w:rPr>
            </w:pPr>
          </w:p>
        </w:tc>
        <w:tc>
          <w:tcPr>
            <w:tcW w:w="8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3,259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3,877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3,877</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1"/>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874</w:t>
            </w: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3,243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3,003</w:t>
            </w: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BARDA income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700"/>
              <w:spacing w:after="0"/>
              <w:rPr>
                <w:sz w:val="20"/>
                <w:szCs w:val="20"/>
                <w:color w:val="auto"/>
              </w:rPr>
            </w:pPr>
            <w:r>
              <w:rPr>
                <w:rFonts w:ascii="Arial" w:cs="Arial" w:eastAsia="Arial" w:hAnsi="Arial"/>
                <w:sz w:val="18"/>
                <w:szCs w:val="18"/>
                <w:color w:val="auto"/>
              </w:rPr>
              <w:t>Sales and marketing expenses</w:t>
            </w: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8"/>
                <w:szCs w:val="18"/>
                <w:color w:val="auto"/>
              </w:rPr>
            </w:pPr>
          </w:p>
        </w:tc>
        <w:tc>
          <w:tcPr>
            <w:tcW w:w="1120" w:type="dxa"/>
            <w:vAlign w:val="bottom"/>
            <w:gridSpan w:val="2"/>
          </w:tcPr>
          <w:p>
            <w:pPr>
              <w:jc w:val="right"/>
              <w:ind w:right="221"/>
              <w:spacing w:after="0"/>
              <w:rPr>
                <w:sz w:val="20"/>
                <w:szCs w:val="20"/>
                <w:color w:val="auto"/>
              </w:rPr>
            </w:pPr>
            <w:r>
              <w:rPr>
                <w:rFonts w:ascii="Arial" w:cs="Arial" w:eastAsia="Arial" w:hAnsi="Arial"/>
                <w:sz w:val="18"/>
                <w:szCs w:val="18"/>
                <w:color w:val="auto"/>
              </w:rPr>
              <w:t>3,738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1"/>
              <w:spacing w:after="0"/>
              <w:rPr>
                <w:sz w:val="20"/>
                <w:szCs w:val="20"/>
                <w:color w:val="auto"/>
              </w:rPr>
            </w:pPr>
            <w:r>
              <w:rPr>
                <w:rFonts w:ascii="Arial" w:cs="Arial" w:eastAsia="Arial" w:hAnsi="Arial"/>
                <w:sz w:val="18"/>
                <w:szCs w:val="18"/>
                <w:color w:val="auto"/>
              </w:rPr>
              <w:t>4,162</w:t>
            </w:r>
          </w:p>
        </w:tc>
        <w:tc>
          <w:tcPr>
            <w:tcW w:w="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3,951</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3,071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4,558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4,145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6,361</w:t>
            </w:r>
          </w:p>
        </w:tc>
      </w:tr>
      <w:tr>
        <w:trPr>
          <w:trHeight w:val="216"/>
        </w:trPr>
        <w:tc>
          <w:tcPr>
            <w:tcW w:w="20" w:type="dxa"/>
            <w:vAlign w:val="bottom"/>
          </w:tcPr>
          <w:p>
            <w:pPr>
              <w:spacing w:after="0"/>
              <w:rPr>
                <w:sz w:val="18"/>
                <w:szCs w:val="18"/>
                <w:color w:val="auto"/>
              </w:rPr>
            </w:pPr>
          </w:p>
        </w:tc>
        <w:tc>
          <w:tcPr>
            <w:tcW w:w="4700" w:type="dxa"/>
            <w:vAlign w:val="bottom"/>
          </w:tcPr>
          <w:p>
            <w:pPr>
              <w:ind w:left="700"/>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18"/>
                <w:szCs w:val="18"/>
                <w:color w:val="auto"/>
              </w:rPr>
            </w:pPr>
          </w:p>
        </w:tc>
        <w:tc>
          <w:tcPr>
            <w:tcW w:w="1120" w:type="dxa"/>
            <w:vAlign w:val="bottom"/>
            <w:gridSpan w:val="2"/>
          </w:tcPr>
          <w:p>
            <w:pPr>
              <w:jc w:val="right"/>
              <w:ind w:right="221"/>
              <w:spacing w:after="0"/>
              <w:rPr>
                <w:sz w:val="20"/>
                <w:szCs w:val="20"/>
                <w:color w:val="auto"/>
              </w:rPr>
            </w:pPr>
            <w:r>
              <w:rPr>
                <w:rFonts w:ascii="Arial" w:cs="Arial" w:eastAsia="Arial" w:hAnsi="Arial"/>
                <w:sz w:val="18"/>
                <w:szCs w:val="18"/>
                <w:color w:val="auto"/>
              </w:rPr>
              <w:t>2,192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1"/>
              <w:spacing w:after="0"/>
              <w:rPr>
                <w:sz w:val="20"/>
                <w:szCs w:val="20"/>
                <w:color w:val="auto"/>
              </w:rPr>
            </w:pPr>
            <w:r>
              <w:rPr>
                <w:rFonts w:ascii="Arial" w:cs="Arial" w:eastAsia="Arial" w:hAnsi="Arial"/>
                <w:sz w:val="18"/>
                <w:szCs w:val="18"/>
                <w:color w:val="auto"/>
              </w:rPr>
              <w:t>2,302</w:t>
            </w:r>
          </w:p>
        </w:tc>
        <w:tc>
          <w:tcPr>
            <w:tcW w:w="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2,332</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2,903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9,048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3,863</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19,657</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(3,658)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(10,592)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(15,406)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(13,023)</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120" w:type="dxa"/>
            <w:vAlign w:val="bottom"/>
            <w:gridSpan w:val="2"/>
          </w:tcPr>
          <w:p>
            <w:pPr>
              <w:jc w:val="right"/>
              <w:ind w:right="221"/>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121</w:t>
            </w: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580" w:type="dxa"/>
            <w:vAlign w:val="bottom"/>
          </w:tcPr>
          <w:p>
            <w:pPr>
              <w:jc w:val="right"/>
              <w:ind w:right="44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(0.53)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1"/>
              <w:spacing w:after="0"/>
              <w:rPr>
                <w:sz w:val="20"/>
                <w:szCs w:val="20"/>
                <w:color w:val="auto"/>
              </w:rPr>
            </w:pPr>
            <w:r>
              <w:rPr>
                <w:rFonts w:ascii="Arial" w:cs="Arial" w:eastAsia="Arial" w:hAnsi="Arial"/>
                <w:sz w:val="18"/>
                <w:szCs w:val="18"/>
                <w:color w:val="auto"/>
              </w:rPr>
              <w:t>(0.71)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(0.60)</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(0.71)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18,719,857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8"/>
              </w:rPr>
              <w:t>19,877,676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w w:val="86"/>
              </w:rPr>
              <w:t>21,215,246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21,372,892</w:t>
            </w:r>
          </w:p>
        </w:tc>
      </w:tr>
      <w:tr>
        <w:trPr>
          <w:trHeight w:val="230"/>
        </w:trPr>
        <w:tc>
          <w:tcPr>
            <w:tcW w:w="20" w:type="dxa"/>
            <w:vAlign w:val="bottom"/>
          </w:tcPr>
          <w:p>
            <w:pPr>
              <w:spacing w:after="0"/>
              <w:rPr>
                <w:sz w:val="20"/>
                <w:szCs w:val="20"/>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18,719,857</w:t>
            </w:r>
          </w:p>
        </w:tc>
        <w:tc>
          <w:tcPr>
            <w:tcW w:w="80" w:type="dxa"/>
            <w:vAlign w:val="bottom"/>
          </w:tcPr>
          <w:p>
            <w:pPr>
              <w:spacing w:after="0"/>
              <w:rPr>
                <w:sz w:val="20"/>
                <w:szCs w:val="20"/>
                <w:color w:val="auto"/>
              </w:rPr>
            </w:pPr>
          </w:p>
        </w:tc>
        <w:tc>
          <w:tcPr>
            <w:tcW w:w="1120" w:type="dxa"/>
            <w:vAlign w:val="bottom"/>
            <w:gridSpan w:val="2"/>
          </w:tcPr>
          <w:p>
            <w:pPr>
              <w:jc w:val="right"/>
              <w:ind w:right="221"/>
              <w:spacing w:after="0"/>
              <w:rPr>
                <w:sz w:val="20"/>
                <w:szCs w:val="20"/>
                <w:color w:val="auto"/>
              </w:rPr>
            </w:pPr>
            <w:r>
              <w:rPr>
                <w:rFonts w:ascii="Arial" w:cs="Arial" w:eastAsia="Arial" w:hAnsi="Arial"/>
                <w:sz w:val="18"/>
                <w:szCs w:val="18"/>
                <w:color w:val="auto"/>
                <w:w w:val="88"/>
              </w:rPr>
              <w:t>19,877,676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01"/>
              <w:spacing w:after="0"/>
              <w:rPr>
                <w:sz w:val="20"/>
                <w:szCs w:val="20"/>
                <w:color w:val="auto"/>
              </w:rPr>
            </w:pPr>
            <w:r>
              <w:rPr>
                <w:rFonts w:ascii="Arial" w:cs="Arial" w:eastAsia="Arial" w:hAnsi="Arial"/>
                <w:sz w:val="18"/>
                <w:szCs w:val="18"/>
                <w:color w:val="auto"/>
                <w:w w:val="86"/>
              </w:rPr>
              <w:t>21,215,246</w:t>
            </w:r>
          </w:p>
        </w:tc>
        <w:tc>
          <w:tcPr>
            <w:tcW w:w="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w w:val="88"/>
              </w:rPr>
              <w:t>21,372,892</w:t>
            </w:r>
          </w:p>
        </w:tc>
      </w:tr>
      <w:tr>
        <w:trPr>
          <w:trHeight w:val="350"/>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940"/>
              <w:spacing w:after="0"/>
              <w:rPr>
                <w:sz w:val="20"/>
                <w:szCs w:val="20"/>
                <w:color w:val="auto"/>
              </w:rPr>
            </w:pPr>
            <w:r>
              <w:rPr>
                <w:rFonts w:ascii="Arial" w:cs="Arial" w:eastAsia="Arial" w:hAnsi="Arial"/>
                <w:sz w:val="18"/>
                <w:szCs w:val="18"/>
                <w:color w:val="auto"/>
              </w:rPr>
              <w:t>F-30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680"/>
          </w:cols>
          <w:pgMar w:left="320" w:top="459" w:right="8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Year Ended June 30,</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8"/>
        </w:trPr>
        <w:tc>
          <w:tcPr>
            <w:tcW w:w="4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1"/>
                <w:szCs w:val="11"/>
                <w:color w:val="auto"/>
              </w:rPr>
            </w:pPr>
          </w:p>
        </w:tc>
        <w:tc>
          <w:tcPr>
            <w:tcW w:w="120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r>
      <w:tr>
        <w:trPr>
          <w:trHeight w:val="176"/>
        </w:trPr>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2,455</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Cost of sales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r>
      <w:tr>
        <w:trPr>
          <w:trHeight w:val="27"/>
        </w:trPr>
        <w:tc>
          <w:tcPr>
            <w:tcW w:w="4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BARDA income</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9"/>
                <w:szCs w:val="19"/>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720"/>
              <w:spacing w:after="0"/>
              <w:rPr>
                <w:sz w:val="20"/>
                <w:szCs w:val="20"/>
                <w:color w:val="auto"/>
              </w:rPr>
            </w:pPr>
            <w:r>
              <w:rPr>
                <w:rFonts w:ascii="Arial" w:cs="Arial" w:eastAsia="Arial" w:hAnsi="Arial"/>
                <w:sz w:val="18"/>
                <w:szCs w:val="18"/>
                <w:color w:val="auto"/>
              </w:rPr>
              <w:t>Sales and marketing expenses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2,163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3,309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3,941</w:t>
            </w:r>
          </w:p>
        </w:tc>
      </w:tr>
      <w:tr>
        <w:trPr>
          <w:trHeight w:val="216"/>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3,927</w:t>
            </w:r>
          </w:p>
        </w:tc>
      </w:tr>
      <w:tr>
        <w:trPr>
          <w:trHeight w:val="216"/>
        </w:trPr>
        <w:tc>
          <w:tcPr>
            <w:tcW w:w="4540" w:type="dxa"/>
            <w:vAlign w:val="bottom"/>
          </w:tcPr>
          <w:p>
            <w:pPr>
              <w:ind w:left="720"/>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2,072</w:t>
            </w:r>
          </w:p>
        </w:tc>
      </w:tr>
      <w:tr>
        <w:trPr>
          <w:trHeight w:val="216"/>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10,509</w:t>
            </w:r>
          </w:p>
        </w:tc>
        <w:tc>
          <w:tcPr>
            <w:tcW w:w="120" w:type="dxa"/>
            <w:vAlign w:val="bottom"/>
          </w:tcPr>
          <w:p>
            <w:pPr>
              <w:spacing w:after="0"/>
              <w:rPr>
                <w:sz w:val="20"/>
                <w:szCs w:val="20"/>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19"/>
                <w:szCs w:val="19"/>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(7,620)</w:t>
            </w:r>
          </w:p>
        </w:tc>
        <w:tc>
          <w:tcPr>
            <w:tcW w:w="12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Basic</w:t>
            </w:r>
          </w:p>
        </w:tc>
        <w:tc>
          <w:tcPr>
            <w:tcW w:w="1260" w:type="dxa"/>
            <w:vAlign w:val="bottom"/>
            <w:gridSpan w:val="2"/>
          </w:tcPr>
          <w:p>
            <w:pPr>
              <w:ind w:left="11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13,240,087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14,165,200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18,263,535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18,665,604</w:t>
            </w: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13,240,087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14,165,200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18,263,535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18,665,604</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has considered all events occurring subsequent to June 30, 2020 and has concluded that all significant events have been disclosed in the financial statements and accompanying notes.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July 7, 2020, the Company had a change in Auditors from Grant Thornton Audit Pty Ltd a subsidiary of Grant Thornton Australia Ltd to Grant Thornton LLP, the U.S. member firm of Grant Thornton Internation Ltd. Change in auditors was a result of the redomiciliation of the Company and the SEC filing requirement that resulted upon the redomiciliation.</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continue to manage the risk to our business posed by the global COVID-19 pandemic. For much of the last two quarters of 2020, our entire workforce worked from home except for employees in our Ventura facility who were essential for the commercial production of the RECELL System. As various stay-at-home orders were lifted, our office reopened, although many employees continue to work from home. Although our productivity was not significantly impacted by the global pandemic, we have suitably adapted to the changed business environment that now exists.</w:t>
      </w:r>
    </w:p>
    <w:p>
      <w:pPr>
        <w:spacing w:after="0" w:line="15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The COVID-19 pandemic continues to evolve rapidly and its ultimate impact remains highly uncertain. We do not yet know the full extent of potential delays or impacts on our business, commercialization efforts, healthcare systems or to the global economy as a whole. We do not expect the COVID-19 pandemic to negatively impact our near-term revenues or our operations. We will continue to monitor the COVID-19 situation closely.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CODE OF CONDUCT AVITA THERAPEUTICS, INC. (“COMPANY”)</w:t>
      </w:r>
    </w:p>
    <w:p>
      <w:pPr>
        <w:spacing w:after="0" w:line="229"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This Code of Conduct sets out the principles and standards which the Board, management and employees of the Company are encouraged to strive towards when dealing with each other, shareholders and the broad community.</w:t>
      </w:r>
    </w:p>
    <w:p>
      <w:pPr>
        <w:spacing w:after="0" w:line="170" w:lineRule="exact"/>
        <w:rPr>
          <w:sz w:val="20"/>
          <w:szCs w:val="20"/>
          <w:color w:val="auto"/>
        </w:rPr>
      </w:pPr>
    </w:p>
    <w:p>
      <w:pPr>
        <w:jc w:val="both"/>
        <w:ind w:left="4" w:right="120" w:hanging="4"/>
        <w:spacing w:after="0" w:line="263" w:lineRule="auto"/>
        <w:tabs>
          <w:tab w:leader="none" w:pos="1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RESPONSIBILITY TO SHAREHOLDERS The Company aims: a) to increase shareholder value within an appropriate framework which safeguards the rights and interests of the Company’s shareholders and the financial community; and b) to comply with systems of control and accountability which the Company has in place as part of its corporate governance with openness and integrity.</w:t>
      </w:r>
    </w:p>
    <w:p>
      <w:pPr>
        <w:spacing w:after="0" w:line="183" w:lineRule="exact"/>
        <w:rPr>
          <w:rFonts w:ascii="Arial" w:cs="Arial" w:eastAsia="Arial" w:hAnsi="Arial"/>
          <w:sz w:val="18"/>
          <w:szCs w:val="18"/>
          <w:color w:val="auto"/>
        </w:rPr>
      </w:pPr>
    </w:p>
    <w:p>
      <w:pPr>
        <w:ind w:left="4" w:right="40" w:hanging="4"/>
        <w:spacing w:after="0" w:line="263" w:lineRule="auto"/>
        <w:tabs>
          <w:tab w:leader="none" w:pos="1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INTEGRITY AND HONESTY Directors, management and staff shall deal with the Company’s customers, suppliers, competitors and each other with the highest level of honesty, fairness and integrity and observe the rule and spirit of the legal and regulatory environment in which the Company operates.</w:t>
      </w:r>
    </w:p>
    <w:p>
      <w:pPr>
        <w:spacing w:after="0" w:line="183" w:lineRule="exact"/>
        <w:rPr>
          <w:rFonts w:ascii="Arial" w:cs="Arial" w:eastAsia="Arial" w:hAnsi="Arial"/>
          <w:sz w:val="18"/>
          <w:szCs w:val="18"/>
          <w:color w:val="auto"/>
        </w:rPr>
      </w:pPr>
    </w:p>
    <w:p>
      <w:pPr>
        <w:ind w:left="4" w:right="60" w:hanging="4"/>
        <w:spacing w:after="0" w:line="263" w:lineRule="auto"/>
        <w:tabs>
          <w:tab w:leader="none" w:pos="1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RESPECT FOR THE LAW The Company is to comply with all legislative and common law requirements which affect its business, in particular those in respect of occupational health and safety, the environment, native title and cultural heritage. Any transgression from the applicable legal rules is to be reported to the managing director as soon as a person becomes aware of such a transgression.</w:t>
      </w:r>
    </w:p>
    <w:p>
      <w:pPr>
        <w:spacing w:after="0" w:line="183" w:lineRule="exact"/>
        <w:rPr>
          <w:rFonts w:ascii="Arial" w:cs="Arial" w:eastAsia="Arial" w:hAnsi="Arial"/>
          <w:sz w:val="18"/>
          <w:szCs w:val="18"/>
          <w:color w:val="auto"/>
        </w:rPr>
      </w:pPr>
    </w:p>
    <w:p>
      <w:pPr>
        <w:ind w:left="4" w:right="40" w:hanging="4"/>
        <w:spacing w:after="0" w:line="272" w:lineRule="auto"/>
        <w:tabs>
          <w:tab w:leader="none" w:pos="184"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CONFLICTS OF INTEREST Directors, management and staff must not involve themselves in situations where there is a real or apparent conflict of interest between them as individuals and the interest of the Company. Where a real or apparent conflict of interest arises, the matter should be brought to the attention of: a) the chairperson in the case of a Board member; b) the managing director in the case of a member of management; and c) a supervisor in the case of an employee, so that it may be considered and dealt with in an appropriate manner for all concerned. 5. Protection of Assets Directors, management and staff must protect the assets of the Company to ensure availability for legitimate business purposes and ensure all corporate opportunities are enjoyed by the Company and that no property, information or position belonging to the Company or opportunity arising from these are used for personal gain or to compete with the Company.</w:t>
      </w:r>
    </w:p>
    <w:p>
      <w:pPr>
        <w:spacing w:after="0" w:line="177" w:lineRule="exact"/>
        <w:rPr>
          <w:sz w:val="20"/>
          <w:szCs w:val="20"/>
          <w:color w:val="auto"/>
        </w:rPr>
      </w:pPr>
    </w:p>
    <w:p>
      <w:pPr>
        <w:jc w:val="both"/>
        <w:ind w:left="4" w:right="120" w:hanging="4"/>
        <w:spacing w:after="0" w:line="263" w:lineRule="auto"/>
        <w:tabs>
          <w:tab w:leader="none" w:pos="1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CONFIDENTIAL INFORMATION Directors, management and staff must respect confidentiality of all information of a confidential nature which is acquired in the course of the Company’s business and not disclose or make improper use of such confidential information to any person unless specific authorization is given for disclosure or disclosure is legally mandated.</w:t>
      </w:r>
    </w:p>
    <w:p>
      <w:pPr>
        <w:spacing w:after="0" w:line="183" w:lineRule="exact"/>
        <w:rPr>
          <w:rFonts w:ascii="Arial" w:cs="Arial" w:eastAsia="Arial" w:hAnsi="Arial"/>
          <w:sz w:val="18"/>
          <w:szCs w:val="18"/>
          <w:color w:val="auto"/>
        </w:rPr>
      </w:pPr>
    </w:p>
    <w:p>
      <w:pPr>
        <w:ind w:left="4" w:right="20" w:hanging="4"/>
        <w:spacing w:after="0" w:line="263" w:lineRule="auto"/>
        <w:tabs>
          <w:tab w:leader="none" w:pos="1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EMPLOYMENT PRACTICES The Company will employ the best available staff with skills required to carry out vacant positions. The Company will ensure a safe work place and maintain proper occupational health and safety practices commensurate with the nature of the Company’s business and activities.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109" w:name="page110"/>
    <w:bookmarkEnd w:id="109"/>
    <w:p>
      <w:pPr>
        <w:ind w:left="4" w:right="140" w:hanging="4"/>
        <w:spacing w:after="0" w:line="277" w:lineRule="auto"/>
        <w:tabs>
          <w:tab w:leader="none" w:pos="184"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RESPONSIBILITY TO THE COMMUNITY The Company will recognize, consider and respect environmental issues which arise in relation to the Company’s activities and comply with all applicable legal requirements.</w:t>
      </w:r>
    </w:p>
    <w:p>
      <w:pPr>
        <w:spacing w:after="0" w:line="170" w:lineRule="exact"/>
        <w:rPr>
          <w:rFonts w:ascii="Arial" w:cs="Arial" w:eastAsia="Arial" w:hAnsi="Arial"/>
          <w:sz w:val="18"/>
          <w:szCs w:val="18"/>
          <w:color w:val="auto"/>
        </w:rPr>
      </w:pPr>
    </w:p>
    <w:p>
      <w:pPr>
        <w:ind w:left="4" w:right="60" w:hanging="4"/>
        <w:spacing w:after="0" w:line="277" w:lineRule="auto"/>
        <w:tabs>
          <w:tab w:leader="none" w:pos="184"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RESPONSIBILITY TO THE INDIVIDUAL The Company recognizes and respects the rights of individuals and to the best of its ability will comply with the applicable legal rules regarding privacy, privileges, private and confidential information.</w:t>
      </w:r>
    </w:p>
    <w:p>
      <w:pPr>
        <w:spacing w:after="0" w:line="170" w:lineRule="exact"/>
        <w:rPr>
          <w:rFonts w:ascii="Arial" w:cs="Arial" w:eastAsia="Arial" w:hAnsi="Arial"/>
          <w:sz w:val="18"/>
          <w:szCs w:val="18"/>
          <w:color w:val="auto"/>
        </w:rPr>
      </w:pPr>
    </w:p>
    <w:p>
      <w:pPr>
        <w:ind w:left="4" w:right="80" w:hanging="4"/>
        <w:spacing w:after="0" w:line="277" w:lineRule="auto"/>
        <w:tabs>
          <w:tab w:leader="none" w:pos="2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OBLIGATIONS RELATIVE TO FAIR TRADING AND DEALING The Company will deal with others in a way that is fair and will not engage in deceptive practices.</w:t>
      </w:r>
    </w:p>
    <w:p>
      <w:pPr>
        <w:spacing w:after="0" w:line="170" w:lineRule="exact"/>
        <w:rPr>
          <w:rFonts w:ascii="Arial" w:cs="Arial" w:eastAsia="Arial" w:hAnsi="Arial"/>
          <w:sz w:val="18"/>
          <w:szCs w:val="18"/>
          <w:color w:val="auto"/>
        </w:rPr>
      </w:pPr>
    </w:p>
    <w:p>
      <w:pPr>
        <w:ind w:left="4" w:hanging="4"/>
        <w:spacing w:after="0" w:line="277" w:lineRule="auto"/>
        <w:tabs>
          <w:tab w:leader="none" w:pos="2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COMPLIANCE WITH THE CODE OF CONDUCT Any breach of compliance with this Code of Conduct is to be reported directly to the managing director or chairperson, as appropriate.</w:t>
      </w:r>
    </w:p>
    <w:p>
      <w:pPr>
        <w:spacing w:after="0" w:line="170" w:lineRule="exact"/>
        <w:rPr>
          <w:rFonts w:ascii="Arial" w:cs="Arial" w:eastAsia="Arial" w:hAnsi="Arial"/>
          <w:sz w:val="18"/>
          <w:szCs w:val="18"/>
          <w:color w:val="auto"/>
        </w:rPr>
      </w:pPr>
    </w:p>
    <w:p>
      <w:pPr>
        <w:ind w:left="4" w:right="220" w:hanging="4"/>
        <w:spacing w:after="0" w:line="259" w:lineRule="auto"/>
        <w:tabs>
          <w:tab w:leader="none" w:pos="2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PERIODIC REVIEW OF CODE The Company will monitor compliance with this Code of Conduct periodically by liaising with the Board, management and staff especially in relation to any areas of difficulty which arise from this Code of Conduct and any other ideas or suggestions for improvement of it. Suggestions for improvements or amendments to this Code of Conduct can be made at any time by providing a written note to the managing director.</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60" w:type="dxa"/>
            <w:vAlign w:val="bottom"/>
          </w:tcPr>
          <w:p>
            <w:pPr>
              <w:ind w:left="112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List of Subsidiaries</w:t>
            </w:r>
          </w:p>
        </w:tc>
        <w:tc>
          <w:tcPr>
            <w:tcW w:w="3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Subsidiary Name</w:t>
            </w:r>
          </w:p>
        </w:tc>
        <w:tc>
          <w:tcPr>
            <w:tcW w:w="3720" w:type="dxa"/>
            <w:vAlign w:val="bottom"/>
          </w:tcPr>
          <w:p>
            <w:pPr>
              <w:ind w:left="2800"/>
              <w:spacing w:after="0"/>
              <w:rPr>
                <w:sz w:val="20"/>
                <w:szCs w:val="20"/>
                <w:color w:val="auto"/>
              </w:rPr>
            </w:pPr>
            <w:r>
              <w:rPr>
                <w:rFonts w:ascii="Arial" w:cs="Arial" w:eastAsia="Arial" w:hAnsi="Arial"/>
                <w:sz w:val="14"/>
                <w:szCs w:val="14"/>
                <w:b w:val="1"/>
                <w:bCs w:val="1"/>
                <w:color w:val="auto"/>
              </w:rPr>
              <w:t>Place of</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0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Business Purpose</w:t>
            </w: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3720" w:type="dxa"/>
            <w:vAlign w:val="bottom"/>
          </w:tcPr>
          <w:p>
            <w:pPr>
              <w:ind w:left="2620"/>
              <w:spacing w:after="0"/>
              <w:rPr>
                <w:sz w:val="20"/>
                <w:szCs w:val="20"/>
                <w:color w:val="auto"/>
              </w:rPr>
            </w:pPr>
            <w:r>
              <w:rPr>
                <w:rFonts w:ascii="Arial" w:cs="Arial" w:eastAsia="Arial" w:hAnsi="Arial"/>
                <w:sz w:val="14"/>
                <w:szCs w:val="14"/>
                <w:b w:val="1"/>
                <w:bCs w:val="1"/>
                <w:color w:val="auto"/>
              </w:rPr>
              <w:t>Incorporation</w:t>
            </w:r>
          </w:p>
        </w:tc>
        <w:tc>
          <w:tcPr>
            <w:tcW w:w="560" w:type="dxa"/>
            <w:vAlign w:val="bottom"/>
          </w:tcPr>
          <w:p>
            <w:pPr>
              <w:ind w:left="160"/>
              <w:spacing w:after="0"/>
              <w:rPr>
                <w:sz w:val="20"/>
                <w:szCs w:val="20"/>
                <w:color w:val="auto"/>
              </w:rPr>
            </w:pPr>
            <w:r>
              <w:rPr>
                <w:rFonts w:ascii="Arial" w:cs="Arial" w:eastAsia="Arial" w:hAnsi="Arial"/>
                <w:sz w:val="14"/>
                <w:szCs w:val="14"/>
                <w:b w:val="1"/>
                <w:bCs w:val="1"/>
                <w:color w:val="auto"/>
              </w:rPr>
              <w:t>Held</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AVITA Medical Limited</w:t>
            </w:r>
          </w:p>
        </w:tc>
        <w:tc>
          <w:tcPr>
            <w:tcW w:w="37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Australia</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w:t>
            </w:r>
          </w:p>
        </w:tc>
        <w:tc>
          <w:tcPr>
            <w:tcW w:w="2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Company</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AVITA Medical Americas, LLC</w:t>
            </w:r>
          </w:p>
        </w:tc>
        <w:tc>
          <w:tcPr>
            <w:tcW w:w="3720" w:type="dxa"/>
            <w:vAlign w:val="bottom"/>
          </w:tcPr>
          <w:p>
            <w:pPr>
              <w:ind w:left="2360"/>
              <w:spacing w:after="0"/>
              <w:rPr>
                <w:sz w:val="20"/>
                <w:szCs w:val="20"/>
                <w:color w:val="auto"/>
              </w:rPr>
            </w:pPr>
            <w:r>
              <w:rPr>
                <w:rFonts w:ascii="Arial" w:cs="Arial" w:eastAsia="Arial" w:hAnsi="Arial"/>
                <w:sz w:val="18"/>
                <w:szCs w:val="18"/>
                <w:color w:val="auto"/>
              </w:rPr>
              <w:t>Delaware</w:t>
            </w:r>
          </w:p>
        </w:tc>
        <w:tc>
          <w:tcPr>
            <w:tcW w:w="560" w:type="dxa"/>
            <w:vAlign w:val="bottom"/>
          </w:tcPr>
          <w:p>
            <w:pPr>
              <w:ind w:left="200"/>
              <w:spacing w:after="0"/>
              <w:rPr>
                <w:sz w:val="20"/>
                <w:szCs w:val="20"/>
                <w:color w:val="auto"/>
              </w:rPr>
            </w:pPr>
            <w:r>
              <w:rPr>
                <w:rFonts w:ascii="Arial" w:cs="Arial" w:eastAsia="Arial" w:hAnsi="Arial"/>
                <w:sz w:val="18"/>
                <w:szCs w:val="18"/>
                <w:color w:val="auto"/>
              </w:rPr>
              <w:t>100</w:t>
            </w:r>
          </w:p>
        </w:tc>
        <w:tc>
          <w:tcPr>
            <w:tcW w:w="2060" w:type="dxa"/>
            <w:vAlign w:val="bottom"/>
          </w:tcPr>
          <w:p>
            <w:pPr>
              <w:ind w:left="80"/>
              <w:spacing w:after="0"/>
              <w:rPr>
                <w:sz w:val="20"/>
                <w:szCs w:val="20"/>
                <w:color w:val="auto"/>
              </w:rPr>
            </w:pPr>
            <w:r>
              <w:rPr>
                <w:rFonts w:ascii="Arial" w:cs="Arial" w:eastAsia="Arial" w:hAnsi="Arial"/>
                <w:sz w:val="18"/>
                <w:szCs w:val="18"/>
                <w:color w:val="auto"/>
              </w:rPr>
              <w:t>U.S. operations</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AVITA Medical Europe Limited</w:t>
            </w:r>
          </w:p>
        </w:tc>
        <w:tc>
          <w:tcPr>
            <w:tcW w:w="37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United Kingdom</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w:t>
            </w:r>
          </w:p>
        </w:tc>
        <w:tc>
          <w:tcPr>
            <w:tcW w:w="2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EMEA operations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Visiomed Group Pty Ltd</w:t>
            </w:r>
          </w:p>
        </w:tc>
        <w:tc>
          <w:tcPr>
            <w:tcW w:w="3720" w:type="dxa"/>
            <w:vAlign w:val="bottom"/>
          </w:tcPr>
          <w:p>
            <w:pPr>
              <w:ind w:left="2360"/>
              <w:spacing w:after="0"/>
              <w:rPr>
                <w:sz w:val="20"/>
                <w:szCs w:val="20"/>
                <w:color w:val="auto"/>
              </w:rPr>
            </w:pPr>
            <w:r>
              <w:rPr>
                <w:rFonts w:ascii="Arial" w:cs="Arial" w:eastAsia="Arial" w:hAnsi="Arial"/>
                <w:sz w:val="18"/>
                <w:szCs w:val="18"/>
                <w:color w:val="auto"/>
              </w:rPr>
              <w:t>Australia</w:t>
            </w:r>
          </w:p>
        </w:tc>
        <w:tc>
          <w:tcPr>
            <w:tcW w:w="560" w:type="dxa"/>
            <w:vAlign w:val="bottom"/>
          </w:tcPr>
          <w:p>
            <w:pPr>
              <w:ind w:left="200"/>
              <w:spacing w:after="0"/>
              <w:rPr>
                <w:sz w:val="20"/>
                <w:szCs w:val="20"/>
                <w:color w:val="auto"/>
              </w:rPr>
            </w:pPr>
            <w:r>
              <w:rPr>
                <w:rFonts w:ascii="Arial" w:cs="Arial" w:eastAsia="Arial" w:hAnsi="Arial"/>
                <w:sz w:val="18"/>
                <w:szCs w:val="18"/>
                <w:color w:val="auto"/>
              </w:rPr>
              <w:t>100</w:t>
            </w:r>
          </w:p>
        </w:tc>
        <w:tc>
          <w:tcPr>
            <w:tcW w:w="2060" w:type="dxa"/>
            <w:vAlign w:val="bottom"/>
          </w:tcPr>
          <w:p>
            <w:pPr>
              <w:ind w:left="80"/>
              <w:spacing w:after="0"/>
              <w:rPr>
                <w:sz w:val="20"/>
                <w:szCs w:val="20"/>
                <w:color w:val="auto"/>
              </w:rPr>
            </w:pPr>
            <w:r>
              <w:rPr>
                <w:rFonts w:ascii="Arial" w:cs="Arial" w:eastAsia="Arial" w:hAnsi="Arial"/>
                <w:sz w:val="18"/>
                <w:szCs w:val="18"/>
                <w:color w:val="auto"/>
              </w:rPr>
              <w:t>Asia Pacific Operations</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C3 Operations Pty Ltd</w:t>
            </w:r>
          </w:p>
        </w:tc>
        <w:tc>
          <w:tcPr>
            <w:tcW w:w="37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Australia</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w:t>
            </w:r>
          </w:p>
        </w:tc>
        <w:tc>
          <w:tcPr>
            <w:tcW w:w="2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Holding company</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Infamed Pty Ltd</w:t>
            </w:r>
          </w:p>
        </w:tc>
        <w:tc>
          <w:tcPr>
            <w:tcW w:w="3720" w:type="dxa"/>
            <w:vAlign w:val="bottom"/>
          </w:tcPr>
          <w:p>
            <w:pPr>
              <w:ind w:left="2360"/>
              <w:spacing w:after="0"/>
              <w:rPr>
                <w:sz w:val="20"/>
                <w:szCs w:val="20"/>
                <w:color w:val="auto"/>
              </w:rPr>
            </w:pPr>
            <w:r>
              <w:rPr>
                <w:rFonts w:ascii="Arial" w:cs="Arial" w:eastAsia="Arial" w:hAnsi="Arial"/>
                <w:sz w:val="18"/>
                <w:szCs w:val="18"/>
                <w:color w:val="auto"/>
              </w:rPr>
              <w:t>Australia</w:t>
            </w:r>
          </w:p>
        </w:tc>
        <w:tc>
          <w:tcPr>
            <w:tcW w:w="560" w:type="dxa"/>
            <w:vAlign w:val="bottom"/>
          </w:tcPr>
          <w:p>
            <w:pPr>
              <w:ind w:left="200"/>
              <w:spacing w:after="0"/>
              <w:rPr>
                <w:sz w:val="20"/>
                <w:szCs w:val="20"/>
                <w:color w:val="auto"/>
              </w:rPr>
            </w:pPr>
            <w:r>
              <w:rPr>
                <w:rFonts w:ascii="Arial" w:cs="Arial" w:eastAsia="Arial" w:hAnsi="Arial"/>
                <w:sz w:val="18"/>
                <w:szCs w:val="18"/>
                <w:color w:val="auto"/>
              </w:rPr>
              <w:t>100</w:t>
            </w:r>
          </w:p>
        </w:tc>
        <w:tc>
          <w:tcPr>
            <w:tcW w:w="2060" w:type="dxa"/>
            <w:vAlign w:val="bottom"/>
          </w:tcPr>
          <w:p>
            <w:pPr>
              <w:ind w:left="80"/>
              <w:spacing w:after="0"/>
              <w:rPr>
                <w:sz w:val="20"/>
                <w:szCs w:val="20"/>
                <w:color w:val="auto"/>
              </w:rPr>
            </w:pPr>
            <w:r>
              <w:rPr>
                <w:rFonts w:ascii="Arial" w:cs="Arial" w:eastAsia="Arial" w:hAnsi="Arial"/>
                <w:sz w:val="18"/>
                <w:szCs w:val="18"/>
                <w:color w:val="auto"/>
              </w:rPr>
              <w:t>Inactive</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Perry, certify that:</w:t>
      </w:r>
    </w:p>
    <w:p>
      <w:pPr>
        <w:spacing w:after="0" w:line="131" w:lineRule="exact"/>
        <w:rPr>
          <w:sz w:val="20"/>
          <w:szCs w:val="20"/>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Avita Therapeutics,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jc w:val="both"/>
        <w:ind w:left="960" w:right="500" w:hanging="532"/>
        <w:spacing w:after="0" w:line="291"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13a-15I and 15d-15I)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jc w:val="both"/>
        <w:ind w:left="1420" w:right="540" w:hanging="439"/>
        <w:spacing w:after="0" w:line="263" w:lineRule="auto"/>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0" w:right="120" w:hanging="439"/>
        <w:spacing w:after="0" w:line="263" w:lineRule="auto"/>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0" w:right="200" w:hanging="439"/>
        <w:spacing w:after="0" w:line="263" w:lineRule="auto"/>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320" w:hanging="439"/>
        <w:spacing w:after="0" w:line="263" w:lineRule="auto"/>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960" w:right="520" w:hanging="532"/>
        <w:spacing w:after="0" w:line="263"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Arial" w:cs="Arial" w:eastAsia="Arial" w:hAnsi="Arial"/>
          <w:sz w:val="18"/>
          <w:szCs w:val="18"/>
          <w:color w:val="auto"/>
        </w:rPr>
      </w:pPr>
    </w:p>
    <w:p>
      <w:pPr>
        <w:ind w:left="1420" w:right="180" w:hanging="439"/>
        <w:spacing w:after="0" w:line="342" w:lineRule="auto"/>
        <w:tabs>
          <w:tab w:leader="none" w:pos="14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60" w:hanging="439"/>
        <w:spacing w:after="0" w:line="277" w:lineRule="auto"/>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Date: August 27, 2020</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 Michael Perry</w:t>
            </w:r>
          </w:p>
        </w:tc>
      </w:tr>
      <w:tr>
        <w:trPr>
          <w:trHeight w:val="195"/>
        </w:trPr>
        <w:tc>
          <w:tcPr>
            <w:tcW w:w="538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ind w:left="80"/>
              <w:spacing w:after="0" w:line="195" w:lineRule="exact"/>
              <w:rPr>
                <w:sz w:val="20"/>
                <w:szCs w:val="20"/>
                <w:color w:val="auto"/>
              </w:rPr>
            </w:pPr>
            <w:r>
              <w:rPr>
                <w:rFonts w:ascii="Arial" w:cs="Arial" w:eastAsia="Arial" w:hAnsi="Arial"/>
                <w:sz w:val="18"/>
                <w:szCs w:val="18"/>
                <w:color w:val="auto"/>
              </w:rPr>
              <w:t>Michael Perry</w:t>
            </w:r>
          </w:p>
        </w:tc>
      </w:tr>
      <w:tr>
        <w:trPr>
          <w:trHeight w:val="230"/>
        </w:trPr>
        <w:tc>
          <w:tcPr>
            <w:tcW w:w="5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20"/>
          </w:cols>
          <w:pgMar w:left="440" w:top="121" w:right="4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McIntyre, certify that:</w:t>
      </w:r>
    </w:p>
    <w:p>
      <w:pPr>
        <w:spacing w:after="0" w:line="131" w:lineRule="exact"/>
        <w:rPr>
          <w:sz w:val="20"/>
          <w:szCs w:val="20"/>
          <w:color w:val="auto"/>
        </w:rPr>
      </w:pPr>
    </w:p>
    <w:p>
      <w:pPr>
        <w:ind w:left="960" w:hanging="53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Avita Therapeutics,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jc w:val="both"/>
        <w:ind w:left="960" w:right="500" w:hanging="532"/>
        <w:spacing w:after="0" w:line="291" w:lineRule="auto"/>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13a-15I and 15d-15I)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jc w:val="both"/>
        <w:ind w:left="1420" w:right="540" w:hanging="439"/>
        <w:spacing w:after="0" w:line="263" w:lineRule="auto"/>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0" w:right="120" w:hanging="439"/>
        <w:spacing w:after="0" w:line="263" w:lineRule="auto"/>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0" w:right="200" w:hanging="439"/>
        <w:spacing w:after="0" w:line="263" w:lineRule="auto"/>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320" w:hanging="439"/>
        <w:spacing w:after="0" w:line="263" w:lineRule="auto"/>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960" w:right="520" w:hanging="532"/>
        <w:spacing w:after="0" w:line="263"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Arial" w:cs="Arial" w:eastAsia="Arial" w:hAnsi="Arial"/>
          <w:sz w:val="18"/>
          <w:szCs w:val="18"/>
          <w:color w:val="auto"/>
        </w:rPr>
      </w:pPr>
    </w:p>
    <w:p>
      <w:pPr>
        <w:ind w:left="1420" w:right="180" w:hanging="439"/>
        <w:spacing w:after="0" w:line="342" w:lineRule="auto"/>
        <w:tabs>
          <w:tab w:leader="none" w:pos="14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60" w:hanging="439"/>
        <w:spacing w:after="0" w:line="277" w:lineRule="auto"/>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Date: August 27, 2020</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 David McIntyre</w:t>
            </w:r>
          </w:p>
        </w:tc>
      </w:tr>
      <w:tr>
        <w:trPr>
          <w:trHeight w:val="195"/>
        </w:trPr>
        <w:tc>
          <w:tcPr>
            <w:tcW w:w="538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ind w:left="80"/>
              <w:spacing w:after="0" w:line="195" w:lineRule="exact"/>
              <w:rPr>
                <w:sz w:val="20"/>
                <w:szCs w:val="20"/>
                <w:color w:val="auto"/>
              </w:rPr>
            </w:pPr>
            <w:r>
              <w:rPr>
                <w:rFonts w:ascii="Arial" w:cs="Arial" w:eastAsia="Arial" w:hAnsi="Arial"/>
                <w:sz w:val="18"/>
                <w:szCs w:val="18"/>
                <w:color w:val="auto"/>
              </w:rPr>
              <w:t>David McIntyre</w:t>
            </w:r>
          </w:p>
        </w:tc>
      </w:tr>
      <w:tr>
        <w:trPr>
          <w:trHeight w:val="230"/>
        </w:trPr>
        <w:tc>
          <w:tcPr>
            <w:tcW w:w="5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121"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Avita Therapeutics, Inc. (the “Company”), does hereby certify, to such officer’s knowledge, that:</w:t>
      </w:r>
    </w:p>
    <w:p>
      <w:pPr>
        <w:spacing w:after="0" w:line="14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Annual Report on Form 10-K for the year ended June 30, 2020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Dated: August 27, 2020</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 Michael Perry</w:t>
            </w:r>
          </w:p>
        </w:tc>
      </w:tr>
      <w:tr>
        <w:trPr>
          <w:trHeight w:val="195"/>
        </w:trPr>
        <w:tc>
          <w:tcPr>
            <w:tcW w:w="538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ind w:left="80"/>
              <w:spacing w:after="0" w:line="195" w:lineRule="exact"/>
              <w:rPr>
                <w:sz w:val="20"/>
                <w:szCs w:val="20"/>
                <w:color w:val="auto"/>
              </w:rPr>
            </w:pPr>
            <w:r>
              <w:rPr>
                <w:rFonts w:ascii="Arial" w:cs="Arial" w:eastAsia="Arial" w:hAnsi="Arial"/>
                <w:sz w:val="18"/>
                <w:szCs w:val="18"/>
                <w:color w:val="auto"/>
              </w:rPr>
              <w:t>Michael Perry</w:t>
            </w:r>
          </w:p>
        </w:tc>
      </w:tr>
      <w:tr>
        <w:trPr>
          <w:trHeight w:val="230"/>
        </w:trPr>
        <w:tc>
          <w:tcPr>
            <w:tcW w:w="5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Dated: August 27, 2020</w:t>
            </w:r>
          </w:p>
        </w:tc>
        <w:tc>
          <w:tcPr>
            <w:tcW w:w="56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 David McIntyre</w:t>
            </w:r>
          </w:p>
        </w:tc>
      </w:tr>
      <w:tr>
        <w:trPr>
          <w:trHeight w:val="195"/>
        </w:trPr>
        <w:tc>
          <w:tcPr>
            <w:tcW w:w="538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ind w:left="80"/>
              <w:spacing w:after="0" w:line="195" w:lineRule="exact"/>
              <w:rPr>
                <w:sz w:val="20"/>
                <w:szCs w:val="20"/>
                <w:color w:val="auto"/>
              </w:rPr>
            </w:pPr>
            <w:r>
              <w:rPr>
                <w:rFonts w:ascii="Arial" w:cs="Arial" w:eastAsia="Arial" w:hAnsi="Arial"/>
                <w:sz w:val="18"/>
                <w:szCs w:val="18"/>
                <w:color w:val="auto"/>
              </w:rPr>
              <w:t>David McIntyre</w:t>
            </w:r>
          </w:p>
        </w:tc>
      </w:tr>
      <w:tr>
        <w:trPr>
          <w:trHeight w:val="230"/>
        </w:trPr>
        <w:tc>
          <w:tcPr>
            <w:tcW w:w="5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lowerRoman"/>
      <w:start w:val="2"/>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lowerRoman"/>
      <w:start w:val="3"/>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0"/>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4"/>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
      <w:numFmt w:val="bullet"/>
      <w:start w:val="1"/>
    </w:lvl>
    <w:lvl w:ilvl="1">
      <w:lvlJc w:val="left"/>
      <w:lvlText w:val="•"/>
      <w:numFmt w:val="bullet"/>
      <w:start w:val="1"/>
    </w:lvl>
  </w:abstractNum>
  <w:abstractNum w:abstractNumId="37">
    <w:nsid w:val="38437FDB"/>
    <w:multiLevelType w:val="hybridMultilevel"/>
    <w:lvl w:ilvl="0">
      <w:lvlJc w:val="left"/>
      <w:lvlText w:val="•"/>
      <w:numFmt w:val="bullet"/>
      <w:start w:val="1"/>
    </w:lvl>
    <w:lvl w:ilvl="1">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lowerLetter"/>
      <w:start w:val="1"/>
    </w:lvl>
    <w:lvl w:ilvl="1">
      <w:lvlJc w:val="left"/>
      <w:lvlText w:val="(%2)"/>
      <w:numFmt w:val="decimal"/>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lowerLetter"/>
      <w:start w:val="1"/>
    </w:lvl>
    <w:lvl w:ilvl="1">
      <w:lvlJc w:val="left"/>
      <w:lvlText w:val="%2."/>
      <w:numFmt w:val="decimal"/>
      <w:start w:val="1"/>
    </w:lvl>
  </w:abstractNum>
  <w:abstractNum w:abstractNumId="49">
    <w:nsid w:val="520EEDD1"/>
    <w:multiLevelType w:val="hybridMultilevel"/>
    <w:lvl w:ilvl="0">
      <w:lvlJc w:val="left"/>
      <w:lvlText w:val="%1)"/>
      <w:numFmt w:val="lowerLetter"/>
      <w:start w:val="1"/>
    </w:lvl>
    <w:lvl w:ilvl="1">
      <w:lvlJc w:val="left"/>
      <w:lvlText w:val="%2."/>
      <w:numFmt w:val="lowerLetter"/>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6"/>
    </w:lvl>
  </w:abstractNum>
  <w:abstractNum w:abstractNumId="54">
    <w:nsid w:val="275AC794"/>
    <w:multiLevelType w:val="hybridMultilevel"/>
    <w:lvl w:ilvl="0">
      <w:lvlJc w:val="left"/>
      <w:lvlText w:val="%1."/>
      <w:numFmt w:val="decimal"/>
      <w:start w:val="8"/>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10" Type="http://schemas.openxmlformats.org/officeDocument/2006/relationships/hyperlink" Target="http://www.sec.gov/Archives/edgar/data/1762303/000119312520112315/d918609dex992.htm" TargetMode="External"/><Relationship Id="rId111" Type="http://schemas.openxmlformats.org/officeDocument/2006/relationships/hyperlink" Target="http://www.sec.gov/Archives/edgar/data/1762303/000119312520183429/d75062dex31.htm" TargetMode="External"/><Relationship Id="rId112" Type="http://schemas.openxmlformats.org/officeDocument/2006/relationships/hyperlink" Target="http://www.sec.gov/Archives/edgar/data/1762303/000119312520183429/d75062dex32.htm" TargetMode="External"/><Relationship Id="rId114" Type="http://schemas.openxmlformats.org/officeDocument/2006/relationships/hyperlink" Target="http://www.sec.gov/Archives/edgar/data/1762303/000119312520183429/d75062d8k12b.htm" TargetMode="External"/><Relationship Id="rId115" Type="http://schemas.openxmlformats.org/officeDocument/2006/relationships/hyperlink" Target="http://www.sec.gov/Archives/edgar/data/1762303/000119312519249606/d757806dex41.htm" TargetMode="External"/><Relationship Id="rId116" Type="http://schemas.openxmlformats.org/officeDocument/2006/relationships/hyperlink" Target="http://www.sec.gov/Archives/edgar/data/1762303/000119312519249606/d757806dex42.htm" TargetMode="External"/><Relationship Id="rId117" Type="http://schemas.openxmlformats.org/officeDocument/2006/relationships/hyperlink" Target="http://www.sec.gov/Archives/edgar/data/1762303/000119312519249606/d757806dex43.htm" TargetMode="External"/><Relationship Id="rId118" Type="http://schemas.openxmlformats.org/officeDocument/2006/relationships/hyperlink" Target="http://www.sec.gov/Archives/edgar/data/1762303/000119312519249606/d757806dex44.htm" TargetMode="External"/><Relationship Id="rId119" Type="http://schemas.openxmlformats.org/officeDocument/2006/relationships/hyperlink" Target="http://www.sec.gov/Archives/edgar/data/1762303/000119312519249606/d757806dex45.htm" TargetMode="External"/><Relationship Id="rId120" Type="http://schemas.openxmlformats.org/officeDocument/2006/relationships/hyperlink" Target="http://www.sec.gov/Archives/edgar/data/1762303/000119312519249606/d757806dex46.htm" TargetMode="External"/><Relationship Id="rId121" Type="http://schemas.openxmlformats.org/officeDocument/2006/relationships/hyperlink" Target="http://www.sec.gov/Archives/edgar/data/1762303/000119312519249606/d757806dex47.htm" TargetMode="External"/><Relationship Id="rId122" Type="http://schemas.openxmlformats.org/officeDocument/2006/relationships/hyperlink" Target="http://www.sec.gov/Archives/edgar/data/1762303/000119312519249606/d757806dex48.htm" TargetMode="External"/><Relationship Id="rId123" Type="http://schemas.openxmlformats.org/officeDocument/2006/relationships/hyperlink" Target="http://www.sec.gov/Archives/edgar/data/1762303/000119312519249606/d757806dex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2020-08-27T15:55:11Z</dcterms:created>
  <dcterms:modified xsi:type="dcterms:W3CDTF">2020-08-27T15:55:11Z</dcterms:modified>
</cp:coreProperties>
</file>