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8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2"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8" w:lineRule="exact"/>
        <w:rPr>
          <w:sz w:val="24"/>
          <w:szCs w:val="24"/>
          <w:color w:val="auto"/>
        </w:rPr>
      </w:pPr>
    </w:p>
    <w:p>
      <w:pPr>
        <w:ind w:left="362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3653790</wp:posOffset>
            </wp:positionH>
            <wp:positionV relativeFrom="paragraph">
              <wp:posOffset>-3175</wp:posOffset>
            </wp:positionV>
            <wp:extent cx="514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1363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3633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1"/>
          <w:szCs w:val="41"/>
          <w:b w:val="1"/>
          <w:bCs w:val="1"/>
          <w:color w:val="auto"/>
        </w:rPr>
        <w:t>AVITA MEDICAL, INC.</w:t>
      </w:r>
    </w:p>
    <w:p>
      <w:pPr>
        <w:spacing w:after="0" w:line="64" w:lineRule="exact"/>
        <w:rPr>
          <w:sz w:val="24"/>
          <w:szCs w:val="24"/>
          <w:color w:val="auto"/>
        </w:rPr>
      </w:pPr>
    </w:p>
    <w:tbl>
      <w:tblPr>
        <w:tblLayout w:type="fixed"/>
        <w:tblInd w:w="2000" w:type="dxa"/>
        <w:tblCellMar>
          <w:top w:w="0" w:type="dxa"/>
          <w:left w:w="0" w:type="dxa"/>
          <w:bottom w:w="0" w:type="dxa"/>
          <w:right w:w="0" w:type="dxa"/>
        </w:tblCellMar>
      </w:tblPr>
      <w:tr>
        <w:trPr>
          <w:trHeight w:val="212"/>
        </w:trPr>
        <w:tc>
          <w:tcPr>
            <w:tcW w:w="1720" w:type="dxa"/>
            <w:vAlign w:val="bottom"/>
          </w:tcPr>
          <w:p>
            <w:pPr>
              <w:spacing w:after="0"/>
              <w:rPr>
                <w:sz w:val="18"/>
                <w:szCs w:val="18"/>
                <w:color w:val="auto"/>
              </w:rPr>
            </w:pPr>
          </w:p>
        </w:tc>
        <w:tc>
          <w:tcPr>
            <w:tcW w:w="5200" w:type="dxa"/>
            <w:vAlign w:val="bottom"/>
            <w:gridSpan w:val="3"/>
          </w:tcPr>
          <w:p>
            <w:pPr>
              <w:jc w:val="center"/>
              <w:ind w:right="1357"/>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94"/>
        </w:trPr>
        <w:tc>
          <w:tcPr>
            <w:tcW w:w="1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r>
      <w:tr>
        <w:trPr>
          <w:trHeight w:val="257"/>
        </w:trPr>
        <w:tc>
          <w:tcPr>
            <w:tcW w:w="172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200" w:type="dxa"/>
            <w:vAlign w:val="bottom"/>
            <w:gridSpan w:val="3"/>
          </w:tcPr>
          <w:p>
            <w:pPr>
              <w:jc w:val="center"/>
              <w:ind w:left="4145"/>
              <w:spacing w:after="0"/>
              <w:rPr>
                <w:sz w:val="20"/>
                <w:szCs w:val="20"/>
                <w:color w:val="auto"/>
              </w:rPr>
            </w:pPr>
            <w:r>
              <w:rPr>
                <w:rFonts w:ascii="Times New Roman" w:cs="Times New Roman" w:eastAsia="Times New Roman" w:hAnsi="Times New Roman"/>
                <w:sz w:val="16"/>
                <w:szCs w:val="16"/>
                <w:b w:val="1"/>
                <w:bCs w:val="1"/>
                <w:color w:val="auto"/>
              </w:rPr>
              <w:t>85-1021707</w:t>
            </w:r>
          </w:p>
        </w:tc>
      </w:tr>
      <w:tr>
        <w:trPr>
          <w:trHeight w:val="135"/>
        </w:trPr>
        <w:tc>
          <w:tcPr>
            <w:tcW w:w="172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7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180" w:type="dxa"/>
            <w:vAlign w:val="bottom"/>
          </w:tcPr>
          <w:p>
            <w:pPr>
              <w:jc w:val="center"/>
              <w:ind w:left="11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72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7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80" w:type="dxa"/>
            <w:vAlign w:val="bottom"/>
          </w:tcPr>
          <w:p>
            <w:pPr>
              <w:jc w:val="center"/>
              <w:ind w:left="113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7"/>
        </w:trPr>
        <w:tc>
          <w:tcPr>
            <w:tcW w:w="1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20" w:type="dxa"/>
            <w:vAlign w:val="bottom"/>
            <w:gridSpan w:val="2"/>
          </w:tcPr>
          <w:p>
            <w:pPr>
              <w:jc w:val="center"/>
              <w:ind w:right="2137"/>
              <w:spacing w:after="0"/>
              <w:rPr>
                <w:sz w:val="20"/>
                <w:szCs w:val="20"/>
                <w:color w:val="auto"/>
              </w:rPr>
            </w:pPr>
            <w:r>
              <w:rPr>
                <w:rFonts w:ascii="Times New Roman" w:cs="Times New Roman" w:eastAsia="Times New Roman" w:hAnsi="Times New Roman"/>
                <w:sz w:val="16"/>
                <w:szCs w:val="16"/>
                <w:b w:val="1"/>
                <w:bCs w:val="1"/>
                <w:color w:val="auto"/>
              </w:rPr>
              <w:t>28159 Avenue Stanford</w:t>
            </w:r>
          </w:p>
        </w:tc>
      </w:tr>
      <w:tr>
        <w:trPr>
          <w:trHeight w:val="203"/>
        </w:trPr>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20" w:type="dxa"/>
            <w:vAlign w:val="bottom"/>
            <w:gridSpan w:val="2"/>
          </w:tcPr>
          <w:p>
            <w:pPr>
              <w:jc w:val="center"/>
              <w:ind w:right="2157"/>
              <w:spacing w:after="0"/>
              <w:rPr>
                <w:sz w:val="20"/>
                <w:szCs w:val="20"/>
                <w:color w:val="auto"/>
              </w:rPr>
            </w:pPr>
            <w:r>
              <w:rPr>
                <w:rFonts w:ascii="Times New Roman" w:cs="Times New Roman" w:eastAsia="Times New Roman" w:hAnsi="Times New Roman"/>
                <w:sz w:val="16"/>
                <w:szCs w:val="16"/>
                <w:b w:val="1"/>
                <w:bCs w:val="1"/>
                <w:color w:val="auto"/>
              </w:rPr>
              <w:t>Suite 220</w:t>
            </w:r>
          </w:p>
        </w:tc>
      </w:tr>
      <w:tr>
        <w:trPr>
          <w:trHeight w:val="198"/>
        </w:trPr>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20" w:type="dxa"/>
            <w:vAlign w:val="bottom"/>
            <w:gridSpan w:val="2"/>
          </w:tcPr>
          <w:p>
            <w:pPr>
              <w:jc w:val="center"/>
              <w:ind w:right="2157"/>
              <w:spacing w:after="0"/>
              <w:rPr>
                <w:sz w:val="20"/>
                <w:szCs w:val="20"/>
                <w:color w:val="auto"/>
              </w:rPr>
            </w:pPr>
            <w:r>
              <w:rPr>
                <w:rFonts w:ascii="Times New Roman" w:cs="Times New Roman" w:eastAsia="Times New Roman" w:hAnsi="Times New Roman"/>
                <w:sz w:val="16"/>
                <w:szCs w:val="16"/>
                <w:b w:val="1"/>
                <w:bCs w:val="1"/>
                <w:color w:val="auto"/>
              </w:rPr>
              <w:t>Valencia, CA 91355</w:t>
            </w:r>
          </w:p>
        </w:tc>
      </w:tr>
      <w:tr>
        <w:trPr>
          <w:trHeight w:val="166"/>
        </w:trPr>
        <w:tc>
          <w:tcPr>
            <w:tcW w:w="1720" w:type="dxa"/>
            <w:vAlign w:val="bottom"/>
          </w:tcPr>
          <w:p>
            <w:pPr>
              <w:spacing w:after="0"/>
              <w:rPr>
                <w:sz w:val="14"/>
                <w:szCs w:val="14"/>
                <w:color w:val="auto"/>
              </w:rPr>
            </w:pPr>
          </w:p>
        </w:tc>
        <w:tc>
          <w:tcPr>
            <w:tcW w:w="5200" w:type="dxa"/>
            <w:vAlign w:val="bottom"/>
            <w:gridSpan w:val="3"/>
          </w:tcPr>
          <w:p>
            <w:pPr>
              <w:jc w:val="center"/>
              <w:ind w:right="135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 and Zip Code)</w:t>
            </w:r>
          </w:p>
        </w:tc>
      </w:tr>
    </w:tbl>
    <w:p>
      <w:pPr>
        <w:spacing w:after="0" w:line="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(661) 367-9170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4380" w:type="dxa"/>
            <w:vAlign w:val="bottom"/>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w w:val="95"/>
              </w:rPr>
              <w:t>Name of each exchange</w:t>
            </w:r>
          </w:p>
        </w:tc>
      </w:tr>
      <w:tr>
        <w:trPr>
          <w:trHeight w:val="155"/>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20" w:type="dxa"/>
            <w:vAlign w:val="bottom"/>
          </w:tcPr>
          <w:p>
            <w:pPr>
              <w:spacing w:after="0"/>
              <w:rPr>
                <w:sz w:val="13"/>
                <w:szCs w:val="13"/>
                <w:color w:val="auto"/>
              </w:rPr>
            </w:pPr>
          </w:p>
        </w:tc>
        <w:tc>
          <w:tcPr>
            <w:tcW w:w="2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3"/>
                <w:szCs w:val="13"/>
                <w:color w:val="auto"/>
              </w:rPr>
            </w:pPr>
          </w:p>
        </w:tc>
        <w:tc>
          <w:tcPr>
            <w:tcW w:w="438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06"/>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120" w:type="dxa"/>
            <w:vAlign w:val="bottom"/>
          </w:tcPr>
          <w:p>
            <w:pPr>
              <w:spacing w:after="0"/>
              <w:rPr>
                <w:sz w:val="17"/>
                <w:szCs w:val="17"/>
                <w:color w:val="auto"/>
              </w:rPr>
            </w:pPr>
          </w:p>
        </w:tc>
        <w:tc>
          <w:tcPr>
            <w:tcW w:w="2240" w:type="dxa"/>
            <w:vAlign w:val="bottom"/>
          </w:tcPr>
          <w:p>
            <w:pPr>
              <w:ind w:left="920"/>
              <w:spacing w:after="0"/>
              <w:rPr>
                <w:sz w:val="20"/>
                <w:szCs w:val="20"/>
                <w:color w:val="auto"/>
              </w:rPr>
            </w:pPr>
            <w:r>
              <w:rPr>
                <w:rFonts w:ascii="Times New Roman" w:cs="Times New Roman" w:eastAsia="Times New Roman" w:hAnsi="Times New Roman"/>
                <w:sz w:val="16"/>
                <w:szCs w:val="16"/>
                <w:b w:val="1"/>
                <w:bCs w:val="1"/>
                <w:color w:val="auto"/>
              </w:rPr>
              <w:t>RCEL</w:t>
            </w:r>
          </w:p>
        </w:tc>
        <w:tc>
          <w:tcPr>
            <w:tcW w:w="100" w:type="dxa"/>
            <w:vAlign w:val="bottom"/>
          </w:tcPr>
          <w:p>
            <w:pPr>
              <w:spacing w:after="0"/>
              <w:rPr>
                <w:sz w:val="17"/>
                <w:szCs w:val="17"/>
                <w:color w:val="auto"/>
              </w:rPr>
            </w:pPr>
          </w:p>
        </w:tc>
        <w:tc>
          <w:tcPr>
            <w:tcW w:w="438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44"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74" w:right="339" w:bottom="1440" w:gutter="0" w:footer="0" w:header="0"/>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Accelerated filer</w:t>
            </w: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Smaller reporting company</w:t>
            </w:r>
          </w:p>
        </w:tc>
      </w:tr>
      <w:tr>
        <w:trPr>
          <w:trHeight w:val="272"/>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5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spacing w:after="0"/>
              <w:rPr>
                <w:sz w:val="23"/>
                <w:szCs w:val="23"/>
                <w:color w:val="auto"/>
              </w:rPr>
            </w:pPr>
          </w:p>
        </w:tc>
      </w:tr>
    </w:tbl>
    <w:p>
      <w:pPr>
        <w:spacing w:after="0" w:line="20"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140"/>
        <w:spacing w:after="0" w:line="26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par value $0.0001, outstanding as of August 4, 2025 was 26,618,934.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740" w:space="280"/>
            <w:col w:w="220"/>
          </w:cols>
          <w:pgMar w:left="320" w:top="97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60" w:type="dxa"/>
            <w:vAlign w:val="bottom"/>
            <w:gridSpan w:val="11"/>
          </w:tcPr>
          <w:p>
            <w:pPr>
              <w:ind w:left="1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NOTE REGARDING FORWARD-LOOKING STATEMENTS</w:t>
            </w:r>
          </w:p>
        </w:tc>
        <w:tc>
          <w:tcPr>
            <w:tcW w:w="40" w:type="dxa"/>
            <w:vAlign w:val="bottom"/>
            <w:tcBorders>
              <w:bottom w:val="single" w:sz="8" w:color="0000EE"/>
            </w:tcBorders>
          </w:tcPr>
          <w:p>
            <w:pPr>
              <w:spacing w:after="0"/>
              <w:rPr>
                <w:sz w:val="24"/>
                <w:szCs w:val="24"/>
                <w:color w:val="auto"/>
              </w:rPr>
            </w:pPr>
          </w:p>
        </w:tc>
        <w:tc>
          <w:tcPr>
            <w:tcW w:w="576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18"/>
        </w:trPr>
        <w:tc>
          <w:tcPr>
            <w:tcW w:w="32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750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04"/>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Balance Sheets – As of June 30, 2025 (unaudited) and December 31, 2024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three-months and six-months ended June 30, 2025 and 2024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three-months and six-months ended June 30, 2025 and 2024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(Deficit) for the three-months and six-months ended June 30, 2025 and 2024</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4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(unaudited)</w:t>
            </w:r>
          </w:p>
        </w:tc>
        <w:tc>
          <w:tcPr>
            <w:tcW w:w="20" w:type="dxa"/>
            <w:vAlign w:val="bottom"/>
            <w:tcBorders>
              <w:top w:val="single" w:sz="8" w:color="0000FF"/>
              <w:bottom w:val="single" w:sz="8" w:color="0000EE"/>
            </w:tcBorders>
          </w:tcPr>
          <w:p>
            <w:pPr>
              <w:spacing w:after="0"/>
              <w:rPr>
                <w:sz w:val="17"/>
                <w:szCs w:val="17"/>
                <w:color w:val="auto"/>
              </w:rPr>
            </w:pPr>
          </w:p>
        </w:tc>
        <w:tc>
          <w:tcPr>
            <w:tcW w:w="8100" w:type="dxa"/>
            <w:vAlign w:val="bottom"/>
            <w:tcBorders>
              <w:top w:val="single" w:sz="8" w:color="0000FF"/>
            </w:tcBorders>
            <w:gridSpan w:val="14"/>
          </w:tcPr>
          <w:p>
            <w:pPr>
              <w:spacing w:after="0"/>
              <w:rPr>
                <w:sz w:val="17"/>
                <w:szCs w:val="17"/>
                <w:color w:val="auto"/>
              </w:rPr>
            </w:pPr>
          </w:p>
        </w:tc>
        <w:tc>
          <w:tcPr>
            <w:tcW w:w="520" w:type="dxa"/>
            <w:vAlign w:val="bottom"/>
            <w:gridSpan w:val="2"/>
          </w:tcPr>
          <w:p>
            <w:pPr>
              <w:spacing w:after="0"/>
              <w:rPr>
                <w:sz w:val="17"/>
                <w:szCs w:val="17"/>
                <w:color w:val="auto"/>
              </w:rPr>
            </w:pP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six-months ended June 30, 2025 and 2024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340" w:type="dxa"/>
            <w:vAlign w:val="bottom"/>
            <w:tcBorders>
              <w:left w:val="single" w:sz="8" w:color="0000FF"/>
            </w:tcBorders>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7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18"/>
        </w:trPr>
        <w:tc>
          <w:tcPr>
            <w:tcW w:w="1040" w:type="dxa"/>
            <w:vAlign w:val="bottom"/>
            <w:tcBorders>
              <w:top w:val="single" w:sz="8" w:color="0000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17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920" w:type="dxa"/>
            <w:vAlign w:val="bottom"/>
            <w:gridSpan w:val="13"/>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36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920" w:type="dxa"/>
            <w:vAlign w:val="bottom"/>
            <w:gridSpan w:val="1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8360" w:type="dxa"/>
            <w:vAlign w:val="bottom"/>
            <w:gridSpan w:val="1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9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080" w:type="dxa"/>
            <w:vAlign w:val="bottom"/>
            <w:gridSpan w:val="1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1024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229"/>
        </w:trPr>
        <w:tc>
          <w:tcPr>
            <w:tcW w:w="46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7"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including uncertainties associated with our expectations regarding future revenue, or future growth in revenue, profit, or gross and/or operating margins; the ability to achieve or sustain profitability; industry market conditions; increased competition; changes in our production capacity; failure to obtain, maintain and enforce our intellectual property rights, including our expectations regarding the future scope of such rights; failure to obtain and/or maintain regulatory approvals and comply with applicable regulations; the conduct or outcome of pre-clinical or clinical (human) studies; operational and management restructuring activities; our ability to find and maintain partnerships relating to collaborations, strategic arrangements, and licensing arrangements; mergers and acquisitions (and related integration activities); if third parties fail to uphold their contractual duties or meet expected deadlines; our ability to obtain and maintain favorable coverage and reimbursement determinations from third party payors; market reaction to growth or product initiatives; our ability to expand our sales and marketing organizations to address existing and new markets that we intend to target; market penetration of our products; the ability to continue to scale our manufacturing operations to meet the demand for our products; our ability to attract and retain qualified personnel, including management; solvency; non-compliance with debt covenants, which may result in the acceleration of our debt obligations or the need for renegotiations with our lenders, tax and interest rates; inflationary pressures on the U.S. and global economies, respectively; changes in the legal or regulatory environments; the impact of a cybersecurity breach, terrorist attack or other geopolitical instability, pandemic or epidemic, or natural disaster; and future working capital, costs, productivity, business process, rationalization, investment (including rates), consulting, operational, financial, and capital projects and/or initiatives.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1" w:lineRule="exact"/>
        <w:rPr>
          <w:sz w:val="20"/>
          <w:szCs w:val="20"/>
          <w:color w:val="auto"/>
        </w:rPr>
      </w:pPr>
    </w:p>
    <w:p>
      <w:pPr>
        <w:jc w:val="both"/>
        <w:ind w:right="50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terms such as “aim,” “anticipate,” “believe,” “contemplate,” “continue,” “could,” “estimate,” “expect," “intend,” “may,” “plan,” “potential,” “predict,” “project,” “seek,” “should,” “target,” “will,” or “would” or the negative of these terms or other similar expressions.</w:t>
      </w:r>
    </w:p>
    <w:p>
      <w:pPr>
        <w:spacing w:after="0" w:line="173" w:lineRule="exact"/>
        <w:rPr>
          <w:sz w:val="20"/>
          <w:szCs w:val="20"/>
          <w:color w:val="auto"/>
        </w:rPr>
      </w:pPr>
    </w:p>
    <w:p>
      <w:pPr>
        <w:jc w:val="both"/>
        <w:ind w:right="4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p>
    <w:p>
      <w:pPr>
        <w:spacing w:after="0" w:line="182" w:lineRule="exact"/>
        <w:rPr>
          <w:sz w:val="20"/>
          <w:szCs w:val="20"/>
          <w:color w:val="auto"/>
        </w:rPr>
      </w:pPr>
    </w:p>
    <w:p>
      <w:pPr>
        <w:ind w:right="2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Moreover, we operate in an evolving environment. New risk factors and uncertainties may emerge from time to time, and it is not possible for our management to predict all risk factors and uncertainties.</w:t>
      </w:r>
    </w:p>
    <w:p>
      <w:pPr>
        <w:spacing w:after="0" w:line="15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statements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reviewed the accompanying consolidated balance sheet of AVITA Medical, Inc. (a Delaware corporation) and subsidiaries (the “Company”) and the related consolidated statements of operations, comprehensive loss, stockholders’ equity (deficit) and cash flows as of June 30, 2025 and for the three-month and six-month periods ended June 30, 2025 and 2024, and the related notes (collectively referred to as the “interim financial statements”). Based on our reviews, we are not aware of any material modifications that should be made to the accompanying interim financial statements for them to be in conformity with accounting principles generally accepted in the United States of America.</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balance sheet of the Company as of December 31, 2024, and the related consolidated statements of operations, comprehensive loss, stockholders’ equity, and cash flows for the year then ended (not presented herein); and in our report dated February 13, 2025, we expressed an unqualified opinion on those consolidated financial statements. In our opinion, the information set forth in the accompanying consolidated balance sheet as of December 31, 2024, is fairly stated, in all material respects, in relation to the consolidated balance sheet from which it has been derived.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31"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As indicated in Note 1, certain conditions indicate that the Company may be unable to continue as a going concern. The accompanying consolidated financial statements do not include any adjustments that might result from the outcome of this uncertainty.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interim financial statements are the responsibility of the Company’s management. We are a public accounting firm registered with the PCAOB and are required to be independent with respect to the Company in accordance with U.S. federal securities laws and the applicable rules and regulations of the Securities and Exchange Commission and the PCAOB.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7,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jc w:val="center"/>
              <w:ind w:left="3890"/>
              <w:spacing w:after="0"/>
              <w:rPr>
                <w:sz w:val="20"/>
                <w:szCs w:val="20"/>
                <w:color w:val="auto"/>
              </w:rPr>
            </w:pPr>
            <w:r>
              <w:rPr>
                <w:rFonts w:ascii="Times New Roman" w:cs="Times New Roman" w:eastAsia="Times New Roman" w:hAnsi="Times New Roman"/>
                <w:sz w:val="18"/>
                <w:szCs w:val="18"/>
                <w:b w:val="1"/>
                <w:bCs w:val="1"/>
                <w:color w:val="auto"/>
                <w:w w:val="99"/>
              </w:rPr>
              <w:t>Item 1. FINANCIAL STATEMENTS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220" w:type="dxa"/>
            <w:vAlign w:val="bottom"/>
          </w:tcPr>
          <w:p>
            <w:pPr>
              <w:jc w:val="center"/>
              <w:ind w:left="3890"/>
              <w:spacing w:after="0"/>
              <w:rPr>
                <w:sz w:val="20"/>
                <w:szCs w:val="20"/>
                <w:color w:val="auto"/>
              </w:rPr>
            </w:pPr>
            <w:r>
              <w:rPr>
                <w:rFonts w:ascii="Times New Roman" w:cs="Times New Roman" w:eastAsia="Times New Roman" w:hAnsi="Times New Roman"/>
                <w:sz w:val="18"/>
                <w:szCs w:val="18"/>
                <w:b w:val="1"/>
                <w:bCs w:val="1"/>
                <w:color w:val="auto"/>
                <w:w w:val="99"/>
              </w:rPr>
              <w:t>AVITA MEDICAL, INC.</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20" w:type="dxa"/>
            <w:vAlign w:val="bottom"/>
          </w:tcPr>
          <w:p>
            <w:pPr>
              <w:jc w:val="center"/>
              <w:ind w:left="38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20" w:type="dxa"/>
            <w:vAlign w:val="bottom"/>
          </w:tcPr>
          <w:p>
            <w:pPr>
              <w:jc w:val="center"/>
              <w:ind w:left="39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vMerge w:val="continue"/>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18"/>
                <w:szCs w:val="18"/>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and equipment,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Corporate-owned life insurance (“COLI”) asset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722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LIABILITIES, NON-QUALIFIED DEFERRED COMPENSATION PLAN SHARE AWARDS</w:t>
            </w: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AND STOCKHOLDERS’ EQUITY (DEFICIT)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wages and fringe benefits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 facility</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non-qualified deferred compensation (“NQDC”) liability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Contingent liability</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62,602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 facility - long-term</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Non-qualified deferred compensation liability</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liability, long-term</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70,981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Non-qualified deferred compensation plan share awards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200,000,000 shares authorized, 26,613,678 and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26,354,042, shares issued and outstanding at June 30, 2025 and December 31, 2024, 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2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 issued or</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at June 30, 2025 and December 31, 2024</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common stock held by the non-qualified deferred compensation plan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(1,296)</w:t>
            </w:r>
          </w:p>
        </w:tc>
        <w:tc>
          <w:tcPr>
            <w:tcW w:w="1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374,073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(2,079)</w:t>
            </w:r>
          </w:p>
        </w:tc>
        <w:tc>
          <w:tcPr>
            <w:tcW w:w="1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(383,593)</w:t>
            </w: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(359,814)</w:t>
            </w:r>
          </w:p>
        </w:tc>
        <w:tc>
          <w:tcPr>
            <w:tcW w:w="0" w:type="dxa"/>
            <w:vAlign w:val="bottom"/>
          </w:tcPr>
          <w:p>
            <w:pPr>
              <w:spacing w:after="0"/>
              <w:rPr>
                <w:sz w:val="1"/>
                <w:szCs w:val="1"/>
                <w:color w:val="auto"/>
              </w:rPr>
            </w:pPr>
          </w:p>
        </w:tc>
      </w:tr>
      <w:tr>
        <w:trPr>
          <w:trHeight w:val="20"/>
        </w:trPr>
        <w:tc>
          <w:tcPr>
            <w:tcW w:w="7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(12,892)</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2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liabilities, non-qualified deferred compensation plan share awards and stockholders’ equity</w:t>
            </w:r>
          </w:p>
        </w:tc>
        <w:tc>
          <w:tcPr>
            <w:tcW w:w="3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58,134</w:t>
            </w:r>
          </w:p>
        </w:tc>
        <w:tc>
          <w:tcPr>
            <w:tcW w:w="24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2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(deficit)</w:t>
            </w:r>
          </w:p>
        </w:tc>
        <w:tc>
          <w:tcPr>
            <w:tcW w:w="340" w:type="dxa"/>
            <w:vAlign w:val="bottom"/>
            <w:gridSpan w:val="2"/>
            <w:vMerge w:val="continue"/>
            <w:shd w:val="clear" w:color="auto" w:fill="CFF0FC"/>
          </w:tcPr>
          <w:p>
            <w:pPr>
              <w:spacing w:after="0"/>
              <w:rPr>
                <w:sz w:val="18"/>
                <w:szCs w:val="18"/>
                <w:color w:val="auto"/>
              </w:rPr>
            </w:pPr>
          </w:p>
        </w:tc>
        <w:tc>
          <w:tcPr>
            <w:tcW w:w="15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6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-4182745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-4165600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-4182745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-4165600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-2091055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-427990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6"/>
          </w:tcPr>
          <w:p>
            <w:pPr>
              <w:jc w:val="right"/>
              <w:ind w:right="1340"/>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180" w:type="dxa"/>
            <w:vAlign w:val="bottom"/>
          </w:tcPr>
          <w:p>
            <w:pPr>
              <w:spacing w:after="0"/>
              <w:rPr>
                <w:sz w:val="18"/>
                <w:szCs w:val="18"/>
                <w:color w:val="auto"/>
              </w:rPr>
            </w:pPr>
          </w:p>
        </w:tc>
        <w:tc>
          <w:tcPr>
            <w:tcW w:w="3440" w:type="dxa"/>
            <w:vAlign w:val="bottom"/>
            <w:gridSpan w:val="6"/>
          </w:tcPr>
          <w:p>
            <w:pPr>
              <w:jc w:val="right"/>
              <w:ind w:right="1220"/>
              <w:spacing w:after="0"/>
              <w:rPr>
                <w:sz w:val="20"/>
                <w:szCs w:val="20"/>
                <w:color w:val="auto"/>
              </w:rPr>
            </w:pPr>
            <w:r>
              <w:rPr>
                <w:rFonts w:ascii="Times New Roman" w:cs="Times New Roman" w:eastAsia="Times New Roman" w:hAnsi="Times New Roman"/>
                <w:sz w:val="16"/>
                <w:szCs w:val="16"/>
                <w:b w:val="1"/>
                <w:bCs w:val="1"/>
                <w:color w:val="auto"/>
              </w:rPr>
              <w:t>Six-Months Ended</w:t>
            </w:r>
          </w:p>
        </w:tc>
      </w:tr>
      <w:tr>
        <w:trPr>
          <w:trHeight w:val="215"/>
        </w:trPr>
        <w:tc>
          <w:tcPr>
            <w:tcW w:w="3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r>
      <w:tr>
        <w:trPr>
          <w:trHeight w:val="210"/>
        </w:trPr>
        <w:tc>
          <w:tcPr>
            <w:tcW w:w="3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Sales 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18,226</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36,551</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26,287</w:t>
            </w:r>
          </w:p>
        </w:tc>
        <w:tc>
          <w:tcPr>
            <w:tcW w:w="100" w:type="dxa"/>
            <w:vAlign w:val="bottom"/>
            <w:shd w:val="clear" w:color="auto" w:fill="CFF0FC"/>
          </w:tcPr>
          <w:p>
            <w:pPr>
              <w:spacing w:after="0"/>
              <w:rPr>
                <w:sz w:val="18"/>
                <w:szCs w:val="18"/>
                <w:color w:val="auto"/>
              </w:rPr>
            </w:pPr>
          </w:p>
        </w:tc>
      </w:tr>
      <w:tr>
        <w:trPr>
          <w:trHeight w:val="216"/>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revenue</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r>
      <w:tr>
        <w:trPr>
          <w:trHeight w:val="20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26,299</w:t>
            </w:r>
          </w:p>
        </w:tc>
        <w:tc>
          <w:tcPr>
            <w:tcW w:w="10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(2,111)</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(3,624)</w:t>
            </w:r>
          </w:p>
        </w:tc>
      </w:tr>
      <w:tr>
        <w:trPr>
          <w:trHeight w:val="209"/>
        </w:trPr>
        <w:tc>
          <w:tcPr>
            <w:tcW w:w="3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14,949</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30,629</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(14,314)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(16,302)</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(29,147)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(28,942)</w:t>
            </w:r>
          </w:p>
        </w:tc>
      </w:tr>
      <w:tr>
        <w:trPr>
          <w:trHeight w:val="216"/>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(7,519)</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(16,481)</w:t>
            </w:r>
          </w:p>
        </w:tc>
      </w:tr>
      <w:tr>
        <w:trPr>
          <w:trHeight w:val="216"/>
        </w:trPr>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(5,117)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(4,887)</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(10,081)</w:t>
            </w:r>
          </w:p>
        </w:tc>
      </w:tr>
      <w:tr>
        <w:trPr>
          <w:trHeight w:val="20"/>
        </w:trPr>
        <w:tc>
          <w:tcPr>
            <w:tcW w:w="37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(28,708)</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(55,504)</w:t>
            </w:r>
          </w:p>
        </w:tc>
      </w:tr>
      <w:tr>
        <w:trPr>
          <w:trHeight w:val="20"/>
        </w:trPr>
        <w:tc>
          <w:tcPr>
            <w:tcW w:w="3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(11,148)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(15,624)</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(22,975)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(32,829)</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(1,347)</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(2,703)</w:t>
            </w:r>
          </w:p>
        </w:tc>
      </w:tr>
      <w:tr>
        <w:trPr>
          <w:trHeight w:val="216"/>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(15,360)</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(33,988)</w:t>
            </w: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37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(9,920)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(23,779)</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(34,051)</w:t>
            </w:r>
          </w:p>
        </w:tc>
      </w:tr>
      <w:tr>
        <w:trPr>
          <w:trHeight w:val="20"/>
        </w:trPr>
        <w:tc>
          <w:tcPr>
            <w:tcW w:w="3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26,367,548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25,760,278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26,400,366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25,699,030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-2136775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-2136775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-2136775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-2136775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-1579880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-1579880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-1579880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-1014095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-1014095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-1014095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-1014095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-730885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-730885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-730885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260" w:type="dxa"/>
            <w:vAlign w:val="bottom"/>
          </w:tcPr>
          <w:p>
            <w:pPr>
              <w:spacing w:after="0"/>
              <w:rPr>
                <w:sz w:val="18"/>
                <w:szCs w:val="18"/>
                <w:color w:val="auto"/>
              </w:rPr>
            </w:pPr>
          </w:p>
        </w:tc>
        <w:tc>
          <w:tcPr>
            <w:tcW w:w="2020" w:type="dxa"/>
            <w:vAlign w:val="bottom"/>
            <w:gridSpan w:val="5"/>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Six-Months Ended</w:t>
            </w:r>
          </w:p>
        </w:tc>
      </w:tr>
      <w:tr>
        <w:trPr>
          <w:trHeight w:val="202"/>
        </w:trPr>
        <w:tc>
          <w:tcPr>
            <w:tcW w:w="6520" w:type="dxa"/>
            <w:vAlign w:val="bottom"/>
          </w:tcPr>
          <w:p>
            <w:pPr>
              <w:spacing w:after="0"/>
              <w:rPr>
                <w:sz w:val="17"/>
                <w:szCs w:val="17"/>
                <w:color w:val="auto"/>
              </w:rPr>
            </w:pPr>
          </w:p>
        </w:tc>
        <w:tc>
          <w:tcPr>
            <w:tcW w:w="1120" w:type="dxa"/>
            <w:vAlign w:val="bottom"/>
            <w:tcBorders>
              <w:top w:val="single" w:sz="8" w:color="auto"/>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7"/>
                <w:szCs w:val="17"/>
                <w:color w:val="auto"/>
              </w:rPr>
            </w:pPr>
          </w:p>
        </w:tc>
        <w:tc>
          <w:tcPr>
            <w:tcW w:w="10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7"/>
                <w:szCs w:val="17"/>
                <w:color w:val="auto"/>
              </w:rPr>
            </w:pP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(9,920)</w:t>
            </w:r>
          </w:p>
        </w:tc>
        <w:tc>
          <w:tcPr>
            <w:tcW w:w="32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(15,393)</w:t>
            </w: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(23,779)</w:t>
            </w: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(34,051)</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due to credit risk on loan facility</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(1,667)</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gain (loss) on marketable securities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6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(11,586)</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(13,881)</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(23,919)</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(33,720)</w:t>
            </w: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-170815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-170815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Company common</w:t>
            </w:r>
          </w:p>
        </w:tc>
        <w:tc>
          <w:tcPr>
            <w:tcW w:w="92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w:t>
            </w:r>
          </w:p>
        </w:tc>
        <w:tc>
          <w:tcPr>
            <w:tcW w:w="860" w:type="dxa"/>
            <w:vAlign w:val="bottom"/>
            <w:gridSpan w:val="3"/>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81"/>
        </w:trPr>
        <w:tc>
          <w:tcPr>
            <w:tcW w:w="3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3"/>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restart"/>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5"/>
                <w:szCs w:val="5"/>
                <w:color w:val="auto"/>
              </w:rPr>
            </w:pPr>
          </w:p>
        </w:tc>
        <w:tc>
          <w:tcPr>
            <w:tcW w:w="58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 held by the</w:t>
            </w:r>
          </w:p>
        </w:tc>
        <w:tc>
          <w:tcPr>
            <w:tcW w:w="100" w:type="dxa"/>
            <w:vAlign w:val="bottom"/>
          </w:tcPr>
          <w:p>
            <w:pPr>
              <w:spacing w:after="0"/>
              <w:rPr>
                <w:sz w:val="5"/>
                <w:szCs w:val="5"/>
                <w:color w:val="auto"/>
              </w:rPr>
            </w:pPr>
          </w:p>
        </w:tc>
        <w:tc>
          <w:tcPr>
            <w:tcW w:w="82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restart"/>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5"/>
                <w:szCs w:val="5"/>
                <w:color w:val="auto"/>
              </w:rPr>
            </w:pPr>
          </w:p>
        </w:tc>
        <w:tc>
          <w:tcPr>
            <w:tcW w:w="76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85"/>
              </w:rPr>
              <w:t>s'</w:t>
            </w:r>
          </w:p>
        </w:tc>
        <w:tc>
          <w:tcPr>
            <w:tcW w:w="0" w:type="dxa"/>
            <w:vAlign w:val="bottom"/>
          </w:tcPr>
          <w:p>
            <w:pPr>
              <w:spacing w:after="0"/>
              <w:rPr>
                <w:sz w:val="1"/>
                <w:szCs w:val="1"/>
                <w:color w:val="auto"/>
              </w:rPr>
            </w:pPr>
          </w:p>
        </w:tc>
      </w:tr>
      <w:tr>
        <w:trPr>
          <w:trHeight w:val="81"/>
        </w:trPr>
        <w:tc>
          <w:tcPr>
            <w:tcW w:w="3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6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NQDC Plan</w:t>
            </w:r>
          </w:p>
        </w:tc>
        <w:tc>
          <w:tcPr>
            <w:tcW w:w="100" w:type="dxa"/>
            <w:vAlign w:val="bottom"/>
          </w:tcPr>
          <w:p>
            <w:pPr>
              <w:spacing w:after="0"/>
              <w:rPr>
                <w:sz w:val="5"/>
                <w:szCs w:val="5"/>
                <w:color w:val="auto"/>
              </w:rPr>
            </w:pPr>
          </w:p>
        </w:tc>
        <w:tc>
          <w:tcPr>
            <w:tcW w:w="8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restart"/>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5"/>
                <w:szCs w:val="5"/>
                <w:color w:val="auto"/>
              </w:rPr>
            </w:pPr>
          </w:p>
        </w:tc>
        <w:tc>
          <w:tcPr>
            <w:tcW w:w="7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81"/>
        </w:trPr>
        <w:tc>
          <w:tcPr>
            <w:tcW w:w="3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0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92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26,434,658</w:t>
            </w:r>
          </w:p>
        </w:tc>
        <w:tc>
          <w:tcPr>
            <w:tcW w:w="480" w:type="dxa"/>
            <w:vAlign w:val="bottom"/>
            <w:tcBorders>
              <w:left w:val="single" w:sz="8" w:color="CFF0FC"/>
            </w:tcBorders>
            <w:gridSpan w:val="2"/>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CFF0FC"/>
            </w:tcBorders>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(1,308)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370,820</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right w:val="single" w:sz="8" w:color="CFF0FC"/>
            </w:tcBorders>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FF0FC"/>
            </w:tcBorders>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(373,673)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(4,571)</w:t>
            </w: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(9,920)</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(9,920)</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2,671</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62,116</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2,117</w:t>
            </w:r>
          </w:p>
        </w:tc>
        <w:tc>
          <w:tcPr>
            <w:tcW w:w="120" w:type="dxa"/>
            <w:vAlign w:val="bottom"/>
            <w:tcBorders>
              <w:lef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ESPP purchase</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114,787</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8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Distribution/diversification of Company common stock held by the</w:t>
            </w:r>
          </w:p>
        </w:tc>
        <w:tc>
          <w:tcPr>
            <w:tcW w:w="9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tcBorders>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left w:val="single" w:sz="8" w:color="CFF0FC"/>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FF0FC"/>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NQDC Plan</w:t>
            </w:r>
          </w:p>
        </w:tc>
        <w:tc>
          <w:tcPr>
            <w:tcW w:w="920" w:type="dxa"/>
            <w:vAlign w:val="bottom"/>
            <w:tcBorders>
              <w:right w:val="single" w:sz="8" w:color="CFF0FC"/>
            </w:tcBorders>
            <w:vMerge w:val="continue"/>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12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tcBorders>
              <w:left w:val="single" w:sz="8" w:color="CFF0FC"/>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4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Change in redemption value of share awards in NQDC Plan</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unrealized gain on marketable securities</w:t>
            </w:r>
          </w:p>
        </w:tc>
        <w:tc>
          <w:tcPr>
            <w:tcW w:w="92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due to credit risk on loan facility</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2025</w:t>
            </w:r>
          </w:p>
        </w:tc>
        <w:tc>
          <w:tcPr>
            <w:tcW w:w="92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26,613,678</w:t>
            </w:r>
          </w:p>
        </w:tc>
        <w:tc>
          <w:tcPr>
            <w:tcW w:w="480" w:type="dxa"/>
            <w:vAlign w:val="bottom"/>
            <w:tcBorders>
              <w:left w:val="single" w:sz="8" w:color="CFF0FC"/>
            </w:tcBorders>
            <w:gridSpan w:val="2"/>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CFF0FC"/>
            </w:tcBorders>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(1,296)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374,073</w:t>
            </w:r>
          </w:p>
        </w:tc>
        <w:tc>
          <w:tcPr>
            <w:tcW w:w="120" w:type="dxa"/>
            <w:vAlign w:val="bottom"/>
            <w:tcBorders>
              <w:left w:val="single" w:sz="8" w:color="CFF0FC"/>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right w:val="single" w:sz="8" w:color="CFF0FC"/>
            </w:tcBorders>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(2,079)</w:t>
            </w:r>
          </w:p>
        </w:tc>
        <w:tc>
          <w:tcPr>
            <w:tcW w:w="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(383,593) $</w:t>
            </w:r>
          </w:p>
        </w:tc>
        <w:tc>
          <w:tcPr>
            <w:tcW w:w="7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(12,892)</w:t>
            </w: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Company common</w:t>
            </w:r>
          </w:p>
        </w:tc>
        <w:tc>
          <w:tcPr>
            <w:tcW w:w="9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3"/>
            <w:vMerge w:val="continue"/>
          </w:tcPr>
          <w:p>
            <w:pPr>
              <w:spacing w:after="0"/>
              <w:rPr>
                <w:sz w:val="12"/>
                <w:szCs w:val="12"/>
                <w:color w:val="auto"/>
              </w:rPr>
            </w:pPr>
          </w:p>
        </w:tc>
        <w:tc>
          <w:tcPr>
            <w:tcW w:w="8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70"/>
        </w:trPr>
        <w:tc>
          <w:tcPr>
            <w:tcW w:w="3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2"/>
          </w:tcPr>
          <w:p>
            <w:pPr>
              <w:jc w:val="center"/>
              <w:ind w:right="240"/>
              <w:spacing w:after="0" w:line="70" w:lineRule="exact"/>
              <w:rPr>
                <w:sz w:val="20"/>
                <w:szCs w:val="20"/>
                <w:color w:val="auto"/>
              </w:rPr>
            </w:pPr>
            <w:r>
              <w:rPr>
                <w:rFonts w:ascii="Times New Roman" w:cs="Times New Roman" w:eastAsia="Times New Roman" w:hAnsi="Times New Roman"/>
                <w:sz w:val="8"/>
                <w:szCs w:val="8"/>
                <w:b w:val="1"/>
                <w:bCs w:val="1"/>
                <w:color w:val="auto"/>
              </w:rPr>
              <w:t>stock held by the</w:t>
            </w:r>
          </w:p>
        </w:tc>
        <w:tc>
          <w:tcPr>
            <w:tcW w:w="100" w:type="dxa"/>
            <w:vAlign w:val="bottom"/>
          </w:tcPr>
          <w:p>
            <w:pPr>
              <w:spacing w:after="0"/>
              <w:rPr>
                <w:sz w:val="6"/>
                <w:szCs w:val="6"/>
                <w:color w:val="auto"/>
              </w:rPr>
            </w:pPr>
          </w:p>
        </w:tc>
        <w:tc>
          <w:tcPr>
            <w:tcW w:w="820" w:type="dxa"/>
            <w:vAlign w:val="bottom"/>
            <w:gridSpan w:val="2"/>
          </w:tcPr>
          <w:p>
            <w:pPr>
              <w:jc w:val="center"/>
              <w:ind w:right="260"/>
              <w:spacing w:after="0" w:line="70" w:lineRule="exact"/>
              <w:rPr>
                <w:sz w:val="20"/>
                <w:szCs w:val="20"/>
                <w:color w:val="auto"/>
              </w:rPr>
            </w:pPr>
            <w:r>
              <w:rPr>
                <w:rFonts w:ascii="Times New Roman" w:cs="Times New Roman" w:eastAsia="Times New Roman" w:hAnsi="Times New Roman"/>
                <w:sz w:val="8"/>
                <w:szCs w:val="8"/>
                <w:b w:val="1"/>
                <w:bCs w:val="1"/>
                <w:color w:val="auto"/>
              </w:rPr>
              <w:t>Paid-in</w:t>
            </w:r>
          </w:p>
        </w:tc>
        <w:tc>
          <w:tcPr>
            <w:tcW w:w="80" w:type="dxa"/>
            <w:vAlign w:val="bottom"/>
          </w:tcPr>
          <w:p>
            <w:pPr>
              <w:spacing w:after="0"/>
              <w:rPr>
                <w:sz w:val="6"/>
                <w:szCs w:val="6"/>
                <w:color w:val="auto"/>
              </w:rPr>
            </w:pPr>
          </w:p>
        </w:tc>
        <w:tc>
          <w:tcPr>
            <w:tcW w:w="1180" w:type="dxa"/>
            <w:vAlign w:val="bottom"/>
            <w:gridSpan w:val="2"/>
            <w:vMerge w:val="restart"/>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6"/>
                <w:szCs w:val="6"/>
                <w:color w:val="auto"/>
              </w:rPr>
            </w:pPr>
          </w:p>
        </w:tc>
        <w:tc>
          <w:tcPr>
            <w:tcW w:w="760" w:type="dxa"/>
            <w:vAlign w:val="bottom"/>
            <w:gridSpan w:val="2"/>
          </w:tcPr>
          <w:p>
            <w:pPr>
              <w:jc w:val="center"/>
              <w:ind w:right="200"/>
              <w:spacing w:after="0" w:line="70" w:lineRule="exact"/>
              <w:rPr>
                <w:sz w:val="20"/>
                <w:szCs w:val="20"/>
                <w:color w:val="auto"/>
              </w:rPr>
            </w:pPr>
            <w:r>
              <w:rPr>
                <w:rFonts w:ascii="Times New Roman" w:cs="Times New Roman" w:eastAsia="Times New Roman" w:hAnsi="Times New Roman"/>
                <w:sz w:val="8"/>
                <w:szCs w:val="8"/>
                <w:b w:val="1"/>
                <w:bCs w:val="1"/>
                <w:color w:val="auto"/>
              </w:rPr>
              <w:t>d</w:t>
            </w:r>
          </w:p>
        </w:tc>
        <w:tc>
          <w:tcPr>
            <w:tcW w:w="100" w:type="dxa"/>
            <w:vAlign w:val="bottom"/>
          </w:tcPr>
          <w:p>
            <w:pPr>
              <w:spacing w:after="0"/>
              <w:rPr>
                <w:sz w:val="6"/>
                <w:szCs w:val="6"/>
                <w:color w:val="auto"/>
              </w:rPr>
            </w:pPr>
          </w:p>
        </w:tc>
        <w:tc>
          <w:tcPr>
            <w:tcW w:w="760" w:type="dxa"/>
            <w:vAlign w:val="bottom"/>
            <w:gridSpan w:val="2"/>
            <w:vMerge w:val="restart"/>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81"/>
        </w:trPr>
        <w:tc>
          <w:tcPr>
            <w:tcW w:w="3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NQDC Plan</w:t>
            </w:r>
          </w:p>
        </w:tc>
        <w:tc>
          <w:tcPr>
            <w:tcW w:w="100" w:type="dxa"/>
            <w:vAlign w:val="bottom"/>
          </w:tcPr>
          <w:p>
            <w:pPr>
              <w:spacing w:after="0"/>
              <w:rPr>
                <w:sz w:val="7"/>
                <w:szCs w:val="7"/>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4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9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0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2024</w:t>
            </w:r>
          </w:p>
        </w:tc>
        <w:tc>
          <w:tcPr>
            <w:tcW w:w="920" w:type="dxa"/>
            <w:vAlign w:val="bottom"/>
            <w:tcBorders>
              <w:right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25,789,051</w:t>
            </w:r>
          </w:p>
        </w:tc>
        <w:tc>
          <w:tcPr>
            <w:tcW w:w="480" w:type="dxa"/>
            <w:vAlign w:val="bottom"/>
            <w:tcBorders>
              <w:left w:val="single" w:sz="8" w:color="CFF0FC"/>
            </w:tcBorders>
            <w:gridSpan w:val="2"/>
            <w:shd w:val="clear" w:color="auto" w:fill="CFF0FC"/>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(944)</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353,205</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(3,068)</w:t>
            </w:r>
          </w:p>
        </w:tc>
        <w:tc>
          <w:tcPr>
            <w:tcW w:w="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(316,627)</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32,569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(15,393)</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(15,393)</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Borders>
              <w:right w:val="single" w:sz="8" w:color="CFF0FC"/>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3,978</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53,918</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tcBorders>
              <w:right w:val="single" w:sz="8" w:color="CFF0FC"/>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10,684</w:t>
            </w:r>
          </w:p>
        </w:tc>
        <w:tc>
          <w:tcPr>
            <w:tcW w:w="120" w:type="dxa"/>
            <w:vAlign w:val="bottom"/>
            <w:tcBorders>
              <w:lef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ESPP purchase</w:t>
            </w:r>
          </w:p>
        </w:tc>
        <w:tc>
          <w:tcPr>
            <w:tcW w:w="9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96,253</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8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Distribution/diversification of Company common stock held by the</w:t>
            </w:r>
          </w:p>
        </w:tc>
        <w:tc>
          <w:tcPr>
            <w:tcW w:w="92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tcBorders>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40" w:type="dxa"/>
            <w:vAlign w:val="bottom"/>
            <w:tcBorders>
              <w:right w:val="single" w:sz="8" w:color="CFF0FC"/>
            </w:tcBorders>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left w:val="single" w:sz="8" w:color="CFF0FC"/>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FF0FC"/>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NQDC Plan</w:t>
            </w:r>
          </w:p>
        </w:tc>
        <w:tc>
          <w:tcPr>
            <w:tcW w:w="920" w:type="dxa"/>
            <w:vAlign w:val="bottom"/>
            <w:tcBorders>
              <w:right w:val="single" w:sz="8" w:color="CFF0FC"/>
            </w:tcBorders>
            <w:vMerge w:val="continue"/>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4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tcBorders>
              <w:left w:val="single" w:sz="8" w:color="CFF0FC"/>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4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Change in redemption value of share awards in NQDC Plan</w:t>
            </w:r>
          </w:p>
        </w:tc>
        <w:tc>
          <w:tcPr>
            <w:tcW w:w="9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unrealized loss on marketable securities</w:t>
            </w:r>
          </w:p>
        </w:tc>
        <w:tc>
          <w:tcPr>
            <w:tcW w:w="920" w:type="dxa"/>
            <w:vAlign w:val="bottom"/>
            <w:tcBorders>
              <w:right w:val="single" w:sz="8" w:color="CFF0FC"/>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tcBorders>
              <w:right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9"/>
        </w:trPr>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due to credit risk on loan facility</w:t>
            </w: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1,530</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2024</w:t>
            </w:r>
          </w:p>
        </w:tc>
        <w:tc>
          <w:tcPr>
            <w:tcW w:w="100" w:type="dxa"/>
            <w:vAlign w:val="bottom"/>
            <w:shd w:val="clear" w:color="auto" w:fill="CFF0FC"/>
          </w:tcPr>
          <w:p>
            <w:pPr>
              <w:spacing w:after="0"/>
              <w:rPr>
                <w:sz w:val="14"/>
                <w:szCs w:val="14"/>
                <w:color w:val="auto"/>
              </w:rPr>
            </w:pPr>
          </w:p>
        </w:tc>
        <w:tc>
          <w:tcPr>
            <w:tcW w:w="920" w:type="dxa"/>
            <w:vAlign w:val="bottom"/>
            <w:tcBorders>
              <w:right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25,949,906</w:t>
            </w:r>
          </w:p>
        </w:tc>
        <w:tc>
          <w:tcPr>
            <w:tcW w:w="480" w:type="dxa"/>
            <w:vAlign w:val="bottom"/>
            <w:tcBorders>
              <w:left w:val="single" w:sz="8" w:color="CFF0FC"/>
            </w:tcBorders>
            <w:gridSpan w:val="2"/>
            <w:shd w:val="clear" w:color="auto" w:fill="CFF0FC"/>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(1,022)</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358,510</w:t>
            </w:r>
          </w:p>
        </w:tc>
        <w:tc>
          <w:tcPr>
            <w:tcW w:w="120" w:type="dxa"/>
            <w:vAlign w:val="bottom"/>
            <w:tcBorders>
              <w:left w:val="single" w:sz="8" w:color="CFF0FC"/>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(1,556)</w:t>
            </w:r>
          </w:p>
        </w:tc>
        <w:tc>
          <w:tcPr>
            <w:tcW w:w="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(332,020) $</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23,915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Company common</w:t>
            </w:r>
          </w:p>
        </w:tc>
        <w:tc>
          <w:tcPr>
            <w:tcW w:w="92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60" w:type="dxa"/>
            <w:vAlign w:val="bottom"/>
            <w:gridSpan w:val="3"/>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w:t>
            </w:r>
          </w:p>
        </w:tc>
        <w:tc>
          <w:tcPr>
            <w:tcW w:w="86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81"/>
        </w:trPr>
        <w:tc>
          <w:tcPr>
            <w:tcW w:w="3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3"/>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restart"/>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5"/>
                <w:szCs w:val="5"/>
                <w:color w:val="auto"/>
              </w:rPr>
            </w:pPr>
          </w:p>
        </w:tc>
        <w:tc>
          <w:tcPr>
            <w:tcW w:w="58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 held by the</w:t>
            </w:r>
          </w:p>
        </w:tc>
        <w:tc>
          <w:tcPr>
            <w:tcW w:w="100" w:type="dxa"/>
            <w:vAlign w:val="bottom"/>
          </w:tcPr>
          <w:p>
            <w:pPr>
              <w:spacing w:after="0"/>
              <w:rPr>
                <w:sz w:val="5"/>
                <w:szCs w:val="5"/>
                <w:color w:val="auto"/>
              </w:rPr>
            </w:pPr>
          </w:p>
        </w:tc>
        <w:tc>
          <w:tcPr>
            <w:tcW w:w="82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5"/>
                <w:szCs w:val="5"/>
                <w:color w:val="auto"/>
              </w:rPr>
            </w:pPr>
          </w:p>
        </w:tc>
        <w:tc>
          <w:tcPr>
            <w:tcW w:w="76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81"/>
        </w:trPr>
        <w:tc>
          <w:tcPr>
            <w:tcW w:w="3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2"/>
            <w:vMerge w:val="restart"/>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NQDC Plan</w:t>
            </w:r>
          </w:p>
        </w:tc>
        <w:tc>
          <w:tcPr>
            <w:tcW w:w="100" w:type="dxa"/>
            <w:vAlign w:val="bottom"/>
          </w:tcPr>
          <w:p>
            <w:pPr>
              <w:spacing w:after="0"/>
              <w:rPr>
                <w:sz w:val="5"/>
                <w:szCs w:val="5"/>
                <w:color w:val="auto"/>
              </w:rPr>
            </w:pPr>
          </w:p>
        </w:tc>
        <w:tc>
          <w:tcPr>
            <w:tcW w:w="82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5"/>
                <w:szCs w:val="5"/>
                <w:color w:val="auto"/>
              </w:rPr>
            </w:pPr>
          </w:p>
        </w:tc>
        <w:tc>
          <w:tcPr>
            <w:tcW w:w="76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81"/>
        </w:trPr>
        <w:tc>
          <w:tcPr>
            <w:tcW w:w="3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9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0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920" w:type="dxa"/>
            <w:vAlign w:val="bottom"/>
            <w:tcBorders>
              <w:right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26,354,042</w:t>
            </w:r>
          </w:p>
        </w:tc>
        <w:tc>
          <w:tcPr>
            <w:tcW w:w="480" w:type="dxa"/>
            <w:vAlign w:val="bottom"/>
            <w:tcBorders>
              <w:left w:val="single" w:sz="8" w:color="CFF0FC"/>
            </w:tcBorders>
            <w:gridSpan w:val="2"/>
            <w:shd w:val="clear" w:color="auto" w:fill="CFF0FC"/>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(1,319)</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367,568</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(1,939)</w:t>
            </w:r>
          </w:p>
        </w:tc>
        <w:tc>
          <w:tcPr>
            <w:tcW w:w="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FF0FC"/>
            </w:tcBorders>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(359,814)</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(23,779)</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(23,779)</w:t>
            </w: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Borders>
              <w:right w:val="single" w:sz="8" w:color="CFF0FC"/>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5,346</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62,116</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tcBorders>
              <w:right w:val="single" w:sz="8" w:color="CFF0FC"/>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68,125</w:t>
            </w:r>
          </w:p>
        </w:tc>
        <w:tc>
          <w:tcPr>
            <w:tcW w:w="120" w:type="dxa"/>
            <w:vAlign w:val="bottom"/>
            <w:tcBorders>
              <w:lef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ESPP purchase</w:t>
            </w:r>
          </w:p>
        </w:tc>
        <w:tc>
          <w:tcPr>
            <w:tcW w:w="9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114,787</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Distribution of Company common stock held by the NQDC Plan</w:t>
            </w:r>
          </w:p>
        </w:tc>
        <w:tc>
          <w:tcPr>
            <w:tcW w:w="920" w:type="dxa"/>
            <w:vAlign w:val="bottom"/>
            <w:tcBorders>
              <w:right w:val="single" w:sz="8" w:color="CFF0FC"/>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Vesting of Company common stock held by the NQDC Plan</w:t>
            </w:r>
          </w:p>
        </w:tc>
        <w:tc>
          <w:tcPr>
            <w:tcW w:w="9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14,608</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redemption value of share awards in NQDC Plan</w:t>
            </w:r>
          </w:p>
        </w:tc>
        <w:tc>
          <w:tcPr>
            <w:tcW w:w="920" w:type="dxa"/>
            <w:vAlign w:val="bottom"/>
            <w:tcBorders>
              <w:right w:val="single" w:sz="8" w:color="CFF0FC"/>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unrealized loss on marketable securities</w:t>
            </w:r>
          </w:p>
        </w:tc>
        <w:tc>
          <w:tcPr>
            <w:tcW w:w="9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3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due to credit risk on loan facility</w:t>
            </w:r>
          </w:p>
        </w:tc>
        <w:tc>
          <w:tcPr>
            <w:tcW w:w="100" w:type="dxa"/>
            <w:vAlign w:val="bottom"/>
            <w:shd w:val="clear" w:color="auto" w:fill="CFF0FC"/>
          </w:tcPr>
          <w:p>
            <w:pPr>
              <w:spacing w:after="0"/>
              <w:rPr>
                <w:sz w:val="12"/>
                <w:szCs w:val="12"/>
                <w:color w:val="auto"/>
              </w:rPr>
            </w:pPr>
          </w:p>
        </w:tc>
        <w:tc>
          <w:tcPr>
            <w:tcW w:w="920" w:type="dxa"/>
            <w:vAlign w:val="bottom"/>
            <w:tcBorders>
              <w:right w:val="single" w:sz="8" w:color="CFF0FC"/>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tcBorders>
              <w:right w:val="single" w:sz="8" w:color="CFF0FC"/>
            </w:tcBorders>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FF0FC"/>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2025</w:t>
            </w:r>
          </w:p>
        </w:tc>
        <w:tc>
          <w:tcPr>
            <w:tcW w:w="100" w:type="dxa"/>
            <w:vAlign w:val="bottom"/>
          </w:tcPr>
          <w:p>
            <w:pPr>
              <w:spacing w:after="0"/>
              <w:rPr>
                <w:sz w:val="12"/>
                <w:szCs w:val="12"/>
                <w:color w:val="auto"/>
              </w:rPr>
            </w:pPr>
          </w:p>
        </w:tc>
        <w:tc>
          <w:tcPr>
            <w:tcW w:w="9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26,613,678</w:t>
            </w:r>
          </w:p>
        </w:tc>
        <w:tc>
          <w:tcPr>
            <w:tcW w:w="480" w:type="dxa"/>
            <w:vAlign w:val="bottom"/>
            <w:gridSpan w:val="2"/>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(1,296)</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374,073</w:t>
            </w:r>
          </w:p>
        </w:tc>
        <w:tc>
          <w:tcPr>
            <w:tcW w:w="1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(2,079)</w:t>
            </w: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(383,593) $</w:t>
            </w:r>
          </w:p>
        </w:tc>
        <w:tc>
          <w:tcPr>
            <w:tcW w:w="7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(12,892)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-3702685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-3685540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-3702685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-3685540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-3702685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-3685540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-3702685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-3685540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-3702685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-3685540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-3702685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-3685540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-1910715</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-1893570</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-1910715</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-1893570</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-1910715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-1893570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-1910715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-1893570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-1910715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-1893570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-1910715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-1893570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-128270</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-128270</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-128270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-128270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-128270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-128270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48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 common</w:t>
            </w:r>
          </w:p>
        </w:tc>
        <w:tc>
          <w:tcPr>
            <w:tcW w:w="4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9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70"/>
        </w:trPr>
        <w:tc>
          <w:tcPr>
            <w:tcW w:w="39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gridSpan w:val="2"/>
          </w:tcPr>
          <w:p>
            <w:pPr>
              <w:jc w:val="center"/>
              <w:ind w:right="200"/>
              <w:spacing w:after="0" w:line="70" w:lineRule="exact"/>
              <w:rPr>
                <w:sz w:val="20"/>
                <w:szCs w:val="20"/>
                <w:color w:val="auto"/>
              </w:rPr>
            </w:pPr>
            <w:r>
              <w:rPr>
                <w:rFonts w:ascii="Times New Roman" w:cs="Times New Roman" w:eastAsia="Times New Roman" w:hAnsi="Times New Roman"/>
                <w:sz w:val="8"/>
                <w:szCs w:val="8"/>
                <w:b w:val="1"/>
                <w:bCs w:val="1"/>
                <w:color w:val="auto"/>
              </w:rPr>
              <w:t>stock held by the</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jc w:val="center"/>
              <w:ind w:right="110"/>
              <w:spacing w:after="0" w:line="70" w:lineRule="exact"/>
              <w:rPr>
                <w:sz w:val="20"/>
                <w:szCs w:val="20"/>
                <w:color w:val="auto"/>
              </w:rPr>
            </w:pPr>
            <w:r>
              <w:rPr>
                <w:rFonts w:ascii="Times New Roman" w:cs="Times New Roman" w:eastAsia="Times New Roman" w:hAnsi="Times New Roman"/>
                <w:sz w:val="8"/>
                <w:szCs w:val="8"/>
                <w:b w:val="1"/>
                <w:bCs w:val="1"/>
                <w:color w:val="auto"/>
              </w:rPr>
              <w:t>Paid-in</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6"/>
                <w:szCs w:val="6"/>
                <w:color w:val="auto"/>
              </w:rPr>
            </w:pPr>
          </w:p>
        </w:tc>
        <w:tc>
          <w:tcPr>
            <w:tcW w:w="720" w:type="dxa"/>
            <w:vAlign w:val="bottom"/>
            <w:gridSpan w:val="2"/>
          </w:tcPr>
          <w:p>
            <w:pPr>
              <w:jc w:val="right"/>
              <w:ind w:right="420"/>
              <w:spacing w:after="0" w:line="70" w:lineRule="exact"/>
              <w:rPr>
                <w:sz w:val="20"/>
                <w:szCs w:val="20"/>
                <w:color w:val="auto"/>
              </w:rPr>
            </w:pPr>
            <w:r>
              <w:rPr>
                <w:rFonts w:ascii="Times New Roman" w:cs="Times New Roman" w:eastAsia="Times New Roman" w:hAnsi="Times New Roman"/>
                <w:sz w:val="8"/>
                <w:szCs w:val="8"/>
                <w:b w:val="1"/>
                <w:bCs w:val="1"/>
                <w:color w:val="auto"/>
              </w:rPr>
              <w:t>d</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rs'</w:t>
            </w:r>
          </w:p>
        </w:tc>
        <w:tc>
          <w:tcPr>
            <w:tcW w:w="0" w:type="dxa"/>
            <w:vAlign w:val="bottom"/>
          </w:tcPr>
          <w:p>
            <w:pPr>
              <w:spacing w:after="0"/>
              <w:rPr>
                <w:sz w:val="1"/>
                <w:szCs w:val="1"/>
                <w:color w:val="auto"/>
              </w:rPr>
            </w:pPr>
          </w:p>
        </w:tc>
      </w:tr>
      <w:tr>
        <w:trPr>
          <w:trHeight w:val="81"/>
        </w:trPr>
        <w:tc>
          <w:tcPr>
            <w:tcW w:w="39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NQDC Plan</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98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25,682,078</w:t>
            </w:r>
          </w:p>
        </w:tc>
        <w:tc>
          <w:tcPr>
            <w:tcW w:w="520" w:type="dxa"/>
            <w:vAlign w:val="bottom"/>
            <w:gridSpan w:val="2"/>
            <w:shd w:val="clear" w:color="auto" w:fill="CFF0FC"/>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(1,130)</w:t>
            </w: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350,039</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(1,887)</w:t>
            </w:r>
          </w:p>
        </w:tc>
        <w:tc>
          <w:tcPr>
            <w:tcW w:w="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(297,969)</w:t>
            </w:r>
          </w:p>
        </w:tc>
        <w:tc>
          <w:tcPr>
            <w:tcW w:w="1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49,056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(34,051)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(34,051)</w:t>
            </w:r>
          </w:p>
        </w:tc>
        <w:tc>
          <w:tcPr>
            <w:tcW w:w="0" w:type="dxa"/>
            <w:vAlign w:val="bottom"/>
          </w:tcPr>
          <w:p>
            <w:pPr>
              <w:spacing w:after="0"/>
              <w:rPr>
                <w:sz w:val="1"/>
                <w:szCs w:val="1"/>
                <w:color w:val="auto"/>
              </w:rPr>
            </w:pPr>
          </w:p>
        </w:tc>
      </w:tr>
      <w:tr>
        <w:trPr>
          <w:trHeight w:val="149"/>
        </w:trPr>
        <w:tc>
          <w:tcPr>
            <w:tcW w:w="3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6,563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53,918</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117,657</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ESPP purchase</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96,253</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9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Distribution/diversification of Company common stock held by the</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NQDC Plan</w:t>
            </w: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4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Company common stock held by the NQDC Plan</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redemption value of share awards in NQDC Plan</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unrealized loss on marketable securities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48"/>
        </w:trPr>
        <w:tc>
          <w:tcPr>
            <w:tcW w:w="39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due to credit risk on loan facility</w:t>
            </w: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2024</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25,949,906</w:t>
            </w:r>
          </w:p>
        </w:tc>
        <w:tc>
          <w:tcPr>
            <w:tcW w:w="520" w:type="dxa"/>
            <w:vAlign w:val="bottom"/>
            <w:gridSpan w:val="2"/>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(1,022)</w:t>
            </w: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358,510</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(1,556)</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(332,020) $</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23,915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-128270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-128270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-128270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-128270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-128270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-128270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5"/>
          </w:tcPr>
          <w:p>
            <w:pPr>
              <w:jc w:val="right"/>
              <w:ind w:right="1340"/>
              <w:spacing w:after="0"/>
              <w:rPr>
                <w:sz w:val="20"/>
                <w:szCs w:val="20"/>
                <w:color w:val="auto"/>
              </w:rPr>
            </w:pPr>
            <w:r>
              <w:rPr>
                <w:rFonts w:ascii="Times New Roman" w:cs="Times New Roman" w:eastAsia="Times New Roman" w:hAnsi="Times New Roman"/>
                <w:sz w:val="16"/>
                <w:szCs w:val="16"/>
                <w:b w:val="1"/>
                <w:bCs w:val="1"/>
                <w:color w:val="auto"/>
              </w:rPr>
              <w:t>Six-Months Ended</w:t>
            </w:r>
          </w:p>
        </w:tc>
      </w:tr>
      <w:tr>
        <w:trPr>
          <w:trHeight w:val="202"/>
        </w:trPr>
        <w:tc>
          <w:tcPr>
            <w:tcW w:w="6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7"/>
                <w:szCs w:val="17"/>
                <w:color w:val="auto"/>
              </w:rPr>
            </w:pPr>
          </w:p>
        </w:tc>
      </w:tr>
      <w:tr>
        <w:trPr>
          <w:trHeight w:val="19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13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(23,779)</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(34,051)</w:t>
            </w:r>
          </w:p>
        </w:tc>
      </w:tr>
      <w:tr>
        <w:trPr>
          <w:trHeight w:val="20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loan facility</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(155)</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00" w:type="dxa"/>
            <w:vAlign w:val="bottom"/>
          </w:tcPr>
          <w:p>
            <w:pPr>
              <w:spacing w:after="0"/>
              <w:rPr>
                <w:sz w:val="17"/>
                <w:szCs w:val="17"/>
                <w:color w:val="auto"/>
              </w:rPr>
            </w:pPr>
          </w:p>
        </w:tc>
      </w:tr>
      <w:tr>
        <w:trPr>
          <w:trHeight w:val="203"/>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(1,532)</w:t>
            </w: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(1,190)</w:t>
            </w: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7"/>
                <w:szCs w:val="17"/>
                <w:color w:val="auto"/>
              </w:rPr>
            </w:pPr>
          </w:p>
        </w:tc>
      </w:tr>
      <w:tr>
        <w:trPr>
          <w:trHeight w:val="203"/>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5,369</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6,618</w:t>
            </w:r>
          </w:p>
        </w:tc>
        <w:tc>
          <w:tcPr>
            <w:tcW w:w="100" w:type="dxa"/>
            <w:vAlign w:val="bottom"/>
            <w:shd w:val="clear" w:color="auto" w:fill="CFF0FC"/>
          </w:tcPr>
          <w:p>
            <w:pPr>
              <w:spacing w:after="0"/>
              <w:rPr>
                <w:sz w:val="17"/>
                <w:szCs w:val="17"/>
                <w:color w:val="auto"/>
              </w:rPr>
            </w:pP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7"/>
                <w:szCs w:val="17"/>
                <w:color w:val="auto"/>
              </w:rPr>
            </w:pPr>
          </w:p>
        </w:tc>
      </w:tr>
      <w:tr>
        <w:trPr>
          <w:trHeight w:val="203"/>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Loss on fixed asset disposal</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FF0FC"/>
          </w:tcPr>
          <w:p>
            <w:pPr>
              <w:spacing w:after="0"/>
              <w:rPr>
                <w:sz w:val="17"/>
                <w:szCs w:val="17"/>
                <w:color w:val="auto"/>
              </w:rPr>
            </w:pP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patent disposal</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r>
      <w:tr>
        <w:trPr>
          <w:trHeight w:val="203"/>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Remeasurement and foreign currency transaction gain</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17"/>
                <w:szCs w:val="17"/>
                <w:color w:val="auto"/>
              </w:rPr>
            </w:pP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Excess and obsolete inventory related charges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7"/>
                <w:szCs w:val="17"/>
                <w:color w:val="auto"/>
              </w:rPr>
            </w:pPr>
          </w:p>
        </w:tc>
      </w:tr>
      <w:tr>
        <w:trPr>
          <w:trHeight w:val="203"/>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FF0FC"/>
          </w:tcPr>
          <w:p>
            <w:pPr>
              <w:spacing w:after="0"/>
              <w:rPr>
                <w:sz w:val="17"/>
                <w:szCs w:val="17"/>
                <w:color w:val="auto"/>
              </w:rPr>
            </w:pP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premium of marketable securities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(193)</w:t>
            </w:r>
          </w:p>
        </w:tc>
        <w:tc>
          <w:tcPr>
            <w:tcW w:w="22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(1,152)</w:t>
            </w:r>
          </w:p>
        </w:tc>
      </w:tr>
      <w:tr>
        <w:trPr>
          <w:trHeight w:val="203"/>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Non-cash changes in the fair value of NQDC plan</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(1,097)</w:t>
            </w: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(380)</w:t>
            </w: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(1,144)</w:t>
            </w: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Prepaids and other current assets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(1,786)</w:t>
            </w:r>
          </w:p>
        </w:tc>
      </w:tr>
      <w:tr>
        <w:trPr>
          <w:trHeight w:val="203"/>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(810)</w:t>
            </w: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(1,347)</w:t>
            </w: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(467)</w:t>
            </w:r>
          </w:p>
        </w:tc>
        <w:tc>
          <w:tcPr>
            <w:tcW w:w="22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(447)</w:t>
            </w:r>
          </w:p>
        </w:tc>
      </w:tr>
      <w:tr>
        <w:trPr>
          <w:trHeight w:val="203"/>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Corporate-owned life insurance ("COLI") asset</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(215)</w:t>
            </w: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(294)</w:t>
            </w:r>
          </w:p>
        </w:tc>
        <w:tc>
          <w:tcPr>
            <w:tcW w:w="22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w:t>
            </w:r>
          </w:p>
        </w:tc>
      </w:tr>
      <w:tr>
        <w:trPr>
          <w:trHeight w:val="203"/>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(1,402)</w:t>
            </w: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wages and fringe benefits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(2,510)</w:t>
            </w:r>
          </w:p>
        </w:tc>
        <w:tc>
          <w:tcPr>
            <w:tcW w:w="22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(348)</w:t>
            </w:r>
          </w:p>
        </w:tc>
      </w:tr>
      <w:tr>
        <w:trPr>
          <w:trHeight w:val="203"/>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Current non-qualified deferred compensation liability</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(1,709)</w:t>
            </w: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shd w:val="clear" w:color="auto" w:fill="CFF0FC"/>
          </w:tcPr>
          <w:p>
            <w:pPr>
              <w:spacing w:after="0"/>
              <w:rPr>
                <w:sz w:val="17"/>
                <w:szCs w:val="17"/>
                <w:color w:val="auto"/>
              </w:rPr>
            </w:pP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(403)</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7"/>
                <w:szCs w:val="17"/>
                <w:color w:val="auto"/>
              </w:rPr>
            </w:pPr>
          </w:p>
        </w:tc>
      </w:tr>
      <w:tr>
        <w:trPr>
          <w:trHeight w:val="203"/>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Non-qualified deferred compensation plan liability</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(318)</w:t>
            </w: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6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(20,538)</w:t>
            </w: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(33,644)</w:t>
            </w: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(3,460)</w:t>
            </w: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(5,819)</w:t>
            </w: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37,200</w:t>
            </w:r>
          </w:p>
        </w:tc>
        <w:tc>
          <w:tcPr>
            <w:tcW w:w="100" w:type="dxa"/>
            <w:vAlign w:val="bottom"/>
          </w:tcPr>
          <w:p>
            <w:pPr>
              <w:spacing w:after="0"/>
              <w:rPr>
                <w:sz w:val="17"/>
                <w:szCs w:val="17"/>
                <w:color w:val="auto"/>
              </w:rPr>
            </w:pPr>
          </w:p>
        </w:tc>
      </w:tr>
      <w:tr>
        <w:trPr>
          <w:trHeight w:val="203"/>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 of plant and equipment</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(745)</w:t>
            </w:r>
          </w:p>
        </w:tc>
        <w:tc>
          <w:tcPr>
            <w:tcW w:w="2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(3,799)</w:t>
            </w: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Patent filing fees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w:t>
            </w:r>
          </w:p>
        </w:tc>
      </w:tr>
      <w:tr>
        <w:trPr>
          <w:trHeight w:val="196"/>
        </w:trPr>
        <w:tc>
          <w:tcPr>
            <w:tcW w:w="60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3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17,782</w:t>
            </w:r>
          </w:p>
        </w:tc>
        <w:tc>
          <w:tcPr>
            <w:tcW w:w="4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27,498</w:t>
            </w:r>
          </w:p>
        </w:tc>
        <w:tc>
          <w:tcPr>
            <w:tcW w:w="100" w:type="dxa"/>
            <w:vAlign w:val="bottom"/>
            <w:shd w:val="clear" w:color="auto" w:fill="CFF0FC"/>
          </w:tcPr>
          <w:p>
            <w:pPr>
              <w:spacing w:after="0"/>
              <w:rPr>
                <w:sz w:val="17"/>
                <w:szCs w:val="17"/>
                <w:color w:val="auto"/>
              </w:rPr>
            </w:pP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FF0FC"/>
          </w:tcPr>
          <w:p>
            <w:pPr>
              <w:spacing w:after="0"/>
              <w:rPr>
                <w:sz w:val="17"/>
                <w:szCs w:val="17"/>
                <w:color w:val="auto"/>
              </w:rPr>
            </w:pPr>
          </w:p>
        </w:tc>
      </w:tr>
      <w:tr>
        <w:trPr>
          <w:trHeight w:val="203"/>
        </w:trPr>
        <w:tc>
          <w:tcPr>
            <w:tcW w:w="6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 ("ESPP") purchases</w:t>
            </w:r>
          </w:p>
        </w:tc>
        <w:tc>
          <w:tcPr>
            <w:tcW w:w="1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7"/>
                <w:szCs w:val="17"/>
                <w:color w:val="auto"/>
              </w:rPr>
            </w:pPr>
          </w:p>
        </w:tc>
      </w:tr>
      <w:tr>
        <w:trPr>
          <w:trHeight w:val="196"/>
        </w:trPr>
        <w:tc>
          <w:tcPr>
            <w:tcW w:w="60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shd w:val="clear" w:color="auto" w:fill="CFF0FC"/>
          </w:tcPr>
          <w:p>
            <w:pPr>
              <w:spacing w:after="0"/>
              <w:rPr>
                <w:sz w:val="17"/>
                <w:szCs w:val="17"/>
                <w:color w:val="auto"/>
              </w:rPr>
            </w:pP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(1,834)</w:t>
            </w:r>
          </w:p>
        </w:tc>
        <w:tc>
          <w:tcPr>
            <w:tcW w:w="22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(4,666)</w:t>
            </w:r>
          </w:p>
        </w:tc>
      </w:tr>
      <w:tr>
        <w:trPr>
          <w:trHeight w:val="196"/>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13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14,050</w:t>
            </w:r>
          </w:p>
        </w:tc>
        <w:tc>
          <w:tcPr>
            <w:tcW w:w="4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the period</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12,216</w:t>
            </w:r>
          </w:p>
        </w:tc>
        <w:tc>
          <w:tcPr>
            <w:tcW w:w="42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17,452</w:t>
            </w:r>
          </w:p>
        </w:tc>
        <w:tc>
          <w:tcPr>
            <w:tcW w:w="100" w:type="dxa"/>
            <w:vAlign w:val="bottom"/>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paid during the period</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r>
      <w:tr>
        <w:trPr>
          <w:trHeight w:val="20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paid during the period</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00" w:type="dxa"/>
            <w:vAlign w:val="bottom"/>
            <w:shd w:val="clear" w:color="auto" w:fill="CFF0FC"/>
          </w:tcPr>
          <w:p>
            <w:pPr>
              <w:spacing w:after="0"/>
              <w:rPr>
                <w:sz w:val="17"/>
                <w:szCs w:val="17"/>
                <w:color w:val="auto"/>
              </w:rPr>
            </w:pPr>
          </w:p>
        </w:tc>
      </w:tr>
      <w:tr>
        <w:trPr>
          <w:trHeight w:val="203"/>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Plant and equipment purchases not yet paid</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FF0FC"/>
          </w:tcPr>
          <w:p>
            <w:pPr>
              <w:spacing w:after="0"/>
              <w:rPr>
                <w:sz w:val="17"/>
                <w:szCs w:val="17"/>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Right-of-use-asset obtained in exchange for lease liabilities</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-938530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-938530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w:t>
      </w:r>
    </w:p>
    <w:p>
      <w:pPr>
        <w:spacing w:after="0" w:line="229" w:lineRule="exact"/>
        <w:rPr>
          <w:sz w:val="20"/>
          <w:szCs w:val="20"/>
          <w:color w:val="auto"/>
        </w:rPr>
      </w:pPr>
    </w:p>
    <w:p>
      <w:pPr>
        <w:ind w:right="20" w:firstLine="749"/>
        <w:spacing w:after="0" w:line="248" w:lineRule="auto"/>
        <w:rPr>
          <w:sz w:val="20"/>
          <w:szCs w:val="20"/>
          <w:color w:val="auto"/>
        </w:rPr>
      </w:pPr>
      <w:r>
        <w:rPr>
          <w:rFonts w:ascii="Times New Roman" w:cs="Times New Roman" w:eastAsia="Times New Roman" w:hAnsi="Times New Roman"/>
          <w:sz w:val="18"/>
          <w:szCs w:val="18"/>
          <w:color w:val="auto"/>
        </w:rPr>
        <w:t>AVITA Medical, Inc. and its subsidiaries (collectively, “AVITA Medical” or the “Company”) is a leading therapeutic acute wound care company delivering transformative solutions. The Company’s technologies are designed to optimize wound healing, effectively accelerating the time to patient recovery. The Company’s solutions improve the healing outcomes for patients with traumatic injuries and surgical repairs, addressing critical healing needs that arise from unpredictable and life-changing events. At the forefront of the Company’s portfolio is the patented and proprietary RECELL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System (“RECELL System” or “RECELL”), approved by the U.S. Food and Drug Administration (the “FDA”) for the treatment of thermal burn wounds and full-thickness skin defects. RECELL harnesses the healing properties of a patient’s own skin to create an autologous skin cell suspension, Spray-On Skin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Cells, offering an innovative solution for improved clinical outcomes at the point-of-care.</w:t>
      </w:r>
    </w:p>
    <w:p>
      <w:pPr>
        <w:spacing w:after="0" w:line="115" w:lineRule="exact"/>
        <w:rPr>
          <w:sz w:val="20"/>
          <w:szCs w:val="20"/>
          <w:color w:val="auto"/>
        </w:rPr>
      </w:pPr>
    </w:p>
    <w:p>
      <w:pPr>
        <w:ind w:right="40" w:firstLine="749"/>
        <w:spacing w:after="0" w:line="249" w:lineRule="auto"/>
        <w:rPr>
          <w:sz w:val="20"/>
          <w:szCs w:val="20"/>
          <w:color w:val="auto"/>
        </w:rPr>
      </w:pPr>
      <w:r>
        <w:rPr>
          <w:rFonts w:ascii="Times New Roman" w:cs="Times New Roman" w:eastAsia="Times New Roman" w:hAnsi="Times New Roman"/>
          <w:sz w:val="17"/>
          <w:szCs w:val="17"/>
          <w:color w:val="auto"/>
        </w:rPr>
        <w:t>The single-use RECELL Autologous Cell Harvesting Device (“RECELL Ease-of-Use” or “RECELL EOU”) is approved by the FDA for the treatment of thermal burn wounds and full-thickness skin defects. The Company's next-generation device, RECELL GO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Autologous Cell Harvesting Device (“RECELL GO”), was approved by the FDA in May of 2024 to treat thermal burn wounds and full-thickness skin defects. RECELL GO introduces enhanced features that improve consistency and standardization across clinical settings. It consists of two components: a multi-use, AC-powered RECELL GO Processing Device (the “RPD”) and a RECELL GO Preparation Kit (the “RPK”). The RPK contains the single-use RECELL GO Cartridge, disaggregation head, RECELL Enzyme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and other components. The RPD provides the control for the RPK, manages the pressure applied to disaggregate the donor skin cells, and precisely regulates the incubation times of the RECELL Enzyme and solutions to optimize cell yield and promote cell viability.</w:t>
      </w:r>
    </w:p>
    <w:p>
      <w:pPr>
        <w:spacing w:after="0" w:line="199" w:lineRule="exact"/>
        <w:rPr>
          <w:sz w:val="20"/>
          <w:szCs w:val="20"/>
          <w:color w:val="auto"/>
        </w:rPr>
      </w:pPr>
    </w:p>
    <w:p>
      <w:pPr>
        <w:ind w:right="200" w:firstLine="794"/>
        <w:spacing w:after="0" w:line="224" w:lineRule="auto"/>
        <w:rPr>
          <w:sz w:val="20"/>
          <w:szCs w:val="20"/>
          <w:color w:val="auto"/>
        </w:rPr>
      </w:pPr>
      <w:r>
        <w:rPr>
          <w:rFonts w:ascii="Times New Roman" w:cs="Times New Roman" w:eastAsia="Times New Roman" w:hAnsi="Times New Roman"/>
          <w:sz w:val="18"/>
          <w:szCs w:val="18"/>
          <w:color w:val="auto"/>
        </w:rPr>
        <w:t>RECELL GO mini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Autologous Cell Harvesting Device (“RECELL GO mini”), which was approved by the FDA in December of 2024, is a line extension of RECELL GO, designed specifically to treat smaller wounds up to 480 cm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It utilizes the same RPD but features a RECELL GO mini Preparation Kit (the “mini RPK”), which includes a single-use RECELL GO mini Cartridge optimized for smaller skin samples. These modifications are intended to align with the needs of clinicians treating smaller wounds, and to support broader adoption of the RECELL GO platform in trauma centers.</w:t>
      </w:r>
    </w:p>
    <w:p>
      <w:pPr>
        <w:spacing w:after="0" w:line="205"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18"/>
          <w:szCs w:val="18"/>
          <w:color w:val="auto"/>
        </w:rPr>
        <w:t>The Company holds the rights to manufacture, market, sell, and distribute PermeaDerm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biosynthetic wound matrix, in the United States under the terms of an exclusive multi-year distribution agreement (the “Distribution Agreement”) and a contract manufacturing agreement (the “Manufacturing Agreement”) with Stedical Scientific, Inc. (“Stedical”). The Company also holds the rights to market, sell, and distribute Cohealyx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unique collagen-based dermal matrix, under the terms of an exclusive multi-year development and distribution agreement (the “Regenity Agreement”) with Collagen Matrix, Inc. dba Regenity Biosciences (“Regenity”). Under the terms of the Regenity Agreement, Regenity manufactures and supplies Cohealyx and the Company holds the exclusive marketing, sales, and distribution rights to this product under its private label in the U.S., and potentially in countries in the European Union, as well as in Australia and Japan. See Note 11 to the Consolidated Financial Statements for additional information regarding the Company’s commitments with Stedical and Regenity.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Capital Resources and Going Concern</w:t>
      </w:r>
    </w:p>
    <w:p>
      <w:pPr>
        <w:spacing w:after="0" w:line="22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the basis of the Company continuing as a going concern for the next 12 months. The Company has incurred operating losses and negative cash flows from operations since its inception and has an accumulated deficit of $383.6 million as of June 30, 2025. For the six months ended June 30, 2025 and 2024, the Company used $20.5 million and $33.6 million of cash, respectively, in its operating activities. For the years ended December 31, 2024 and 2023, the Company used $48.9 million and $38.0 million of cash, respectively, in its operating activities. As of June 30, 2025, the Company had cash, cash equivalents, and marketable securities of $15.7 million. Historically, the Company has funded its operations principally through the sales of its products, issuance of equity securities, and debt financing.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1" w:name="page12"/>
    <w:bookmarkEnd w:id="11"/>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connection with the Long-term debt described in Note 6 to the Consolidated Financial Statements, the Company will need to be in compliance with a minimum trailing 12-month net revenue at the end of each quarter and maintain a minimum quarterly cash and cash equivalents balance. The Company was not in compliance with the trailing 12-month net revenue covenants for the first quarter of 2025 and the second quarter of 2025. On March 31, 2025, the Company received a waiver related to the trailing 12-month net revenue covenant for the first quarter of 2025, which was set at $73.0 million. On June 30, 2025, the Company received a waiver related to the trailing 12-month net revenue covenant for the second quarter of 2025, which was set at $78.0 million. On August 7, 2025, the Company amended the Credit Agreement (as defined in Note 6 to the Consolidated Financial Statements), to amend the trailing 12-month revenue covenant to $73.0 million for the quarter ending September 30, 2025, to $77.0 million for the quarter ending December 31, 2025, to $90.0 million for the quarter ending March 31, 2026, and to $103.0 million for the quarter ending June 30, 2026. The $115.0 million revenue covenant for all subsequent quarters through the date of debt maturity remains in effect. See Note 16 to the Consolidated Financial Statements for additional information regarding the amendment. As of June 30, 2025, the Company was in compliance with all other quantitative financial covenants in the Credit Agreement.</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Based on the Company’s liquidity position at June 30, 2025 and the Company’s current forecast of operating results and cash flows, management has determined that, absent any mitigating action, it is probable the Company will not be able to maintain compliance of the minimum cash balance covenant pursuant with the terms of its Credit Agreement within the next twelve months following the date of issuance of the Consolidated Financial Statements in this Quarterly Report on Form 10-Q. Should such situation arise, the Lender (as defined in Note 6 to the Consolidated Financial Statements) could exercise its right to accelerate repayment of the outstanding debt. These events and conditions raise substantial doubt about the Company’s ability to continue as a going concern.</w:t>
      </w:r>
    </w:p>
    <w:p>
      <w:pPr>
        <w:spacing w:after="0" w:line="120"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As a result of this conclusion, and due to the Company’s current debt servicing obligations, the long-term portion of the credit facility has been classified as a current liability in the accompanying Consolidated Financial Statements as of June 30, 2025. On August 7, 2025, the Company obtained a waiver related to these debt service obligations.</w:t>
      </w:r>
    </w:p>
    <w:p>
      <w:pPr>
        <w:spacing w:after="0" w:line="9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Company is actively evaluating strategies to obtain the required additional funding for future operations. These strategies include, but are not limited to, obtaining additional equity financing, issuing debt or entering into other financing agreements. The Company intends to raise capital through the issuance of equity securities. In April 2023, the Company filed a Registration Statement on Form S-3 with the SEC in relation to the registration of common stock, preferred stock, debt securities, warrants or any combination thereof for up to an aggregate of $200.0 million, of which 3,799,164 shares of the Company’s common stock may be issued and sold pursuant to an at-the-market offering program for sales of the Company’s common stock under a sales agreement with Cowen and Company, LLC. However, there can be no assurance that such funding will be available to the Company when needed, either on favorable terms or at all.</w:t>
      </w:r>
    </w:p>
    <w:p>
      <w:pPr>
        <w:spacing w:after="0" w:line="12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do not include any adjustments to the carrying amount of assets, liabilities, and reported expenses that may be necessary if the Company were unable to continue as a going concern.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have been prepared in accordance with generally accepted accounting principles in the United States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In the opinion of management, the Consolidated Financial Statements reflect all adjustments of a normal and recurring nature that are considered necessary for a fair presentation of the results for the interim periods presented. The information included in this Quarterly Report on Form 10-Q should be read in conjunction with the audited Consolidated Financial Statements and notes thereto included in the Company’s Annual Report on Form 10-K for the year-ended December 31, 2024 filed with the SEC on February 13, 2025 and lodged with the Australian Securities Exchange (“ASX”) on February 14, 2025 (the “2024 Annual Report”).</w:t>
      </w:r>
    </w:p>
    <w:p>
      <w:pPr>
        <w:spacing w:after="0" w:line="19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as described in the 2024 Annual Report that have had a material impact on the Company’s Consolidated Financial Statements. See the summary of the Company’s significant accounting policies set forth in the notes to its Consolidated Financial Statements included in the 2024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020" w:firstLine="74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All intercompany transactions and balances have been eliminated upon consolidation.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amendments affected by this ASU require (i) enhanced disclosures in connection with an entity's effective tax rate reconciliation and (ii) income taxes paid disaggregated by jurisdiction. These amendments are effective for annual periods beginning after December 15, 2024. The Company is currently evaluating the impact of adopting this ASU on its Consolidated Financial Statements and disclosures.</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(Topic 220):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w:t>
      </w:r>
      <w:r>
        <w:rPr>
          <w:rFonts w:ascii="Times New Roman" w:cs="Times New Roman" w:eastAsia="Times New Roman" w:hAnsi="Times New Roman"/>
          <w:sz w:val="18"/>
          <w:szCs w:val="18"/>
          <w:color w:val="auto"/>
        </w:rPr>
        <w:t>, which requires disaggregated disclosures of certain costs and expenses in the notes to financial statements. This guidance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effective for annual reporting periods beginning after December 15, 2026, and for interim reporting periods beginning after December 15, 2027. Early adoption is permitted. The Company is currently evaluating the impact of adopting this ASU on its Consolidated Financial Statements and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GAAP requires management to make estimates and assumptions that affect the reported amounts (including the stand-alone selling price (“SSP”) for the RPD, allowance for credit losses, reserves for inventory excess and obsolescence, carrying value of long-lived assets, the useful lives of long-lived assets, accounting for marketable securities, income taxes, fair value of loan facility, fair value of warrants and stock-based compensation) and related disclosures. Estimates have been prepared based on the current and available information. However, actual results could differ from estimated amounts.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cash held at deposit institutions and cash equivalents. Cash equivalents consist primarily of money market funds. Cash equivalents also include short-term highly liquid investments with original maturities of three months or less from the date of purchase. The Company holds cash at deposit institutions in the amount of $1.6 million and $2.3 million as of June 30, 2025 and December 31, 2024, respectively. The Company does not have cash on deposit denominated in foreign currency in foreign institutions as of June 30, 2025 and December 31, 2024. As of June 30, 2025 and December 31, 2024, the Company held cash equivalents in the amounts of $10.6 million and $11.7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marketable securities, trade receivables, and debt and other liabilities. As of June 30, 2025 and December 31, 2024, substantially all the Company’s cash and cash equivalents were deposited in accounts at financial institutions, and those deposited amounts exceed federally insured limits and are subject to the risk of bank failure.</w:t>
      </w:r>
    </w:p>
    <w:p>
      <w:pPr>
        <w:spacing w:after="0" w:line="180"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As of June 30, 2025, no single commercial customer accounted for more than 10% of net accounts receivable. As of December 31, 2024, two commercial customers accounted for more than 10% of accounts receivable. Customer A constituted 21% of the accounts receivable, while Customer B represented 11%. For the three-months and six-months ended June 30, 2025 and 2024, no single customer accounted for more than 10% of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generates revenues primarily from:</w:t>
      </w:r>
    </w:p>
    <w:p>
      <w:pPr>
        <w:spacing w:after="0" w:line="117"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RECELL EOU, RPK and mini RPK (collectively, the “RPKs”), PermeaDerm and Cohealyx products to hospitals, other treatment centers, and distributors.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for the RPD.</w:t>
      </w:r>
    </w:p>
    <w:p>
      <w:pPr>
        <w:spacing w:after="0" w:line="223" w:lineRule="exact"/>
        <w:rPr>
          <w:sz w:val="20"/>
          <w:szCs w:val="20"/>
          <w:color w:val="auto"/>
        </w:rPr>
      </w:pPr>
    </w:p>
    <w:p>
      <w:pPr>
        <w:ind w:right="20" w:firstLine="749"/>
        <w:spacing w:after="0" w:line="267" w:lineRule="auto"/>
        <w:rPr>
          <w:sz w:val="20"/>
          <w:szCs w:val="20"/>
          <w:color w:val="auto"/>
        </w:rPr>
      </w:pPr>
      <w:r>
        <w:rPr>
          <w:rFonts w:ascii="Times New Roman" w:cs="Times New Roman" w:eastAsia="Times New Roman" w:hAnsi="Times New Roman"/>
          <w:sz w:val="18"/>
          <w:szCs w:val="18"/>
          <w:color w:val="auto"/>
        </w:rPr>
        <w:t xml:space="preserve">The Company’s sale of the RECELL EOU, PermeaDerm and Cohealyx products are accounted for under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Revenue for the RECELL System is disaggregated between two accounting standards: (1) ASC 606 for the RPKs and (2) 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for the RPD.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3" w:name="page14"/>
    <w:bookmarkEnd w:id="13"/>
    <w:p>
      <w:pPr>
        <w:ind w:left="360"/>
        <w:spacing w:after="0"/>
        <w:rPr>
          <w:sz w:val="20"/>
          <w:szCs w:val="20"/>
          <w:color w:val="auto"/>
        </w:rPr>
      </w:pPr>
      <w:r>
        <w:rPr>
          <w:rFonts w:ascii="Times New Roman" w:cs="Times New Roman" w:eastAsia="Times New Roman" w:hAnsi="Times New Roman"/>
          <w:sz w:val="18"/>
          <w:szCs w:val="18"/>
          <w:color w:val="auto"/>
        </w:rPr>
        <w:t>To determine revenue recognition for contracts that are within the scope of ASC 606, the Company performs the following five steps:</w:t>
      </w:r>
    </w:p>
    <w:p>
      <w:pPr>
        <w:spacing w:after="0" w:line="225"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when/as a performance obligation(s) is(are) satisfied</w:t>
      </w:r>
    </w:p>
    <w:p>
      <w:pPr>
        <w:spacing w:after="0" w:line="20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order for an arrangement to be considered a contract, it must be probable that the Company will collect the consideration to which it is entitled for goods or services to be transferred. The Company then assesses the goods or services promised within the contract to determine whether each promised good or service is a performance obligation. Performance obligations are promises in a contract to transfer a distinct good or service to the customer that (i) the customer can benefit from on its own or together with other readily available resources, and (ii) is separately identifiable from other promises in the contract.</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Company determines the transaction price based on the amount of consideration the Company expects to receive for providing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When accounting for a contract that contains multiple performance obligations, the Company must develop judgmental assumptions to determine the estimated SSP for each performance obligation identified in the contract. The Company utilizes the observable SSP when available, which represents the price charged for the promised product or service when sold separately. When the SSP for the Company’s products or services are not directly observable, the Company determines the SSP using relevant information available and apply suitable estimation methods including, but not limited to, the cost-plus margin approach. The Company then allocates the transaction price to each performance obligation based on the relative SSP and recognizes as revenue the amount of the transaction price that is allocated to the respective performance obligation when (or as) control is transferred to the customer and the performance obligation is satisfied.</w:t>
      </w:r>
    </w:p>
    <w:p>
      <w:pPr>
        <w:spacing w:after="0" w:line="12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Most of the Company’s contracts have a single performance obligation. As such, the Company recognizes revenue when its customers obtain control of promised goods or services, in an amount that reflects the consideration which the Company expects to be entitled in exchange for those goods or services. Revenue is recognized net of volume discounts (variable consideration). For the Company’s contracts that have an original duration of one year or less, since contract inception and customer payment occur within the same period the Company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acquisition costs such as commissions and shipping and handling expenses as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for contracts that are within the scope of ASC 606 and ASC 842</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customers where it receives consideration for the RPKs and does not receive additional consideration for the RPD. As a result, judgment and analysis are required to determine the appropriate accounting, including: (i) whether the arrangement contains an embedded lease, and if so, whether such embedded lease is a sales-type lease or an operating lease, (ii) the amount of the total consideration, as well as variable consideration, (iii) the identification of the distinct performance obligations contained within the arrangement, (iv) how the arrangement consideration should be allocated to each performance obligation when multiple performance obligations exist, including the determination of standalone selling price, and (v) when to recognize revenue on the performance obligations.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4" w:name="page15"/>
    <w:bookmarkEnd w:id="14"/>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In determining whether the lease components are related to a sales-type lease or an operating lease, the Company evaluates if the lease transfers ownership at the end of the lease term, the existence of purchase options, the lease term in relation to the economic life of the asset, if the lease payments exceed the fair value of the asset, and if the asset is of a specialized nature. The Company also evaluates if the lease results in a loss at the lease commencement date. As the lease term is for a major part of the economic life, the lease meets the classification criteria for sales-type lease. However, to determine if the contract results in a loss at the lease commencement date the Company evaluated the consideration in the contract. The consideration at lease commencement does not contain fixed payments, purchase options, penalty payments or residual value guarantees. The variable consideration is related to the sale of the RPKs. As the variable lease payments are not dependent on an index or rate, the variable consideration is excluded from consideration at contract inception resulting in a loss at lease commencement. As such, the Company classifies the lease as an operating lease.</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contracts contain an operating lease component, the RPD, and non-lease components, the RPKs. The lease component will be accounted for under the ASC 842 and the non-lease component will be accounted for under ASC 606, as described above. In accordance with ASC 842, the consideration in the contract will be allocated to each separate lease component and non-lease component of the contract. The consideration is allocated to these lease and non-lease components based on the SSP (as described above for contracts within the scope of ASC 606). In accordance with ASC 842, variable lease payments will be recognized once the sale of the RPKs occurs and control has transferred to the customer. Consideration will be allocated to the RPD and the RPKs based on the SSP. Consideration related to the RPD will be recognized as Lease revenue and consideration related to the RPKs will be recognized as Sales revenues in accordance with guidance in ASC 606, as described above, upon transfer of control of the RPKs, which generally occurs at the time the product is shipped or delivered depending on the customer's shipping terms.</w:t>
      </w:r>
    </w:p>
    <w:p>
      <w:pPr>
        <w:spacing w:after="0" w:line="19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Assets in the Company’s lease program are reported in Plant and equipment, net on the Consolidated Balance Sheets and are depreciated over the useful life of the RPD device's 200 uses, as indicated in the Instructions for Use that were approved by the FDA, and expensed as Costs of goods sold in the Consolidated Statements of Operations. The RPD depreciation has a direct relationship to the number of RPKs sold. Based on customer usage, each purchase of a RPKs results in a 1/200 depreciation to the RPD.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amortized cost and estimated fair values of securities available-for-sale: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jc w:val="center"/>
              <w:ind w:right="33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jc w:val="center"/>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jc w:val="center"/>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2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7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2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0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2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jc w:val="center"/>
              <w:ind w:right="33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jc w:val="center"/>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jc w:val="center"/>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2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22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3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Current marketable securities:</w:t>
            </w:r>
          </w:p>
        </w:tc>
        <w:tc>
          <w:tcPr>
            <w:tcW w:w="7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2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-3213735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-3213735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-3213735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-2767965</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-2767965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-2767965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-1379220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-1362075</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-1379220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-1362075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-1379220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-1362075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-1079500</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-1079500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-1079500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5" w:name="page16"/>
    <w:bookmarkEnd w:id="15"/>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The maturities of the Company’s available-for-sale securities are summarized in the following table using contractual maturities. Actual maturities may differ from contractual maturities due to obligations that are called or prepaid.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164"/>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04"/>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3,474</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3,474</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21,821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21,835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Unrealized gains and losses, net of any related tax effects for available-for-sale securities are excluded from earnings and are included in other comprehensive loss and reported as a separate component of stockholders' equity until realized. Realized gains and losses on marketable securities are included in Other income, net, in the accompanying Consolidated Statements of Operations. The Company had a net unrealized loss of $0 and net unrealized gain of $14,000 as of June 30, 2025 and December 31, 2024, respectively. The Company did not have sales of investments during the three-months and six-months ended June 30, 2025 and 2024 that resulted in realized gains or losses. As of June 30, 2025 and December 31, 2024, the Company did not recognize credit losses. The Company has accrued interest income receivable of $31,000 and $121,000 as of June 30, 2025 and December 31, 2024, respectively, recorded in Prepaids and other current assets in the Consolidated Balance Sheets.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 that the reporting entity can</w:t>
            </w:r>
          </w:p>
        </w:tc>
        <w:tc>
          <w:tcPr>
            <w:tcW w:w="1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access at the</w:t>
            </w:r>
          </w:p>
        </w:tc>
      </w:tr>
      <w:tr>
        <w:trPr>
          <w:trHeight w:val="234"/>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measurement date.</w:t>
            </w:r>
          </w:p>
        </w:tc>
        <w:tc>
          <w:tcPr>
            <w:tcW w:w="1300" w:type="dxa"/>
            <w:vAlign w:val="bottom"/>
          </w:tcPr>
          <w:p>
            <w:pPr>
              <w:spacing w:after="0"/>
              <w:rPr>
                <w:sz w:val="20"/>
                <w:szCs w:val="20"/>
                <w:color w:val="auto"/>
              </w:rPr>
            </w:pPr>
          </w:p>
        </w:tc>
      </w:tr>
      <w:tr>
        <w:trPr>
          <w:trHeight w:val="414"/>
        </w:trPr>
        <w:tc>
          <w:tcPr>
            <w:tcW w:w="9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w:t>
            </w:r>
          </w:p>
        </w:tc>
        <w:tc>
          <w:tcPr>
            <w:tcW w:w="13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directly or</w:t>
            </w:r>
          </w:p>
        </w:tc>
      </w:tr>
      <w:tr>
        <w:trPr>
          <w:trHeight w:val="234"/>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indirectly.</w:t>
            </w:r>
          </w:p>
        </w:tc>
        <w:tc>
          <w:tcPr>
            <w:tcW w:w="1300" w:type="dxa"/>
            <w:vAlign w:val="bottom"/>
          </w:tcPr>
          <w:p>
            <w:pPr>
              <w:spacing w:after="0"/>
              <w:rPr>
                <w:sz w:val="20"/>
                <w:szCs w:val="20"/>
                <w:color w:val="auto"/>
              </w:rPr>
            </w:pPr>
          </w:p>
        </w:tc>
      </w:tr>
      <w:tr>
        <w:trPr>
          <w:trHeight w:val="432"/>
        </w:trPr>
        <w:tc>
          <w:tcPr>
            <w:tcW w:w="99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Level 3: Inputs are unobservable inputs for the asset or liability.</w:t>
            </w:r>
          </w:p>
        </w:tc>
        <w:tc>
          <w:tcPr>
            <w:tcW w:w="1300" w:type="dxa"/>
            <w:vAlign w:val="bottom"/>
          </w:tcPr>
          <w:p>
            <w:pPr>
              <w:spacing w:after="0"/>
              <w:rPr>
                <w:sz w:val="24"/>
                <w:szCs w:val="24"/>
                <w:color w:val="auto"/>
              </w:rPr>
            </w:pPr>
          </w:p>
        </w:tc>
      </w:tr>
      <w:tr>
        <w:trPr>
          <w:trHeight w:val="432"/>
        </w:trPr>
        <w:tc>
          <w:tcPr>
            <w:tcW w:w="99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tcPr>
          <w:p>
            <w:pPr>
              <w:spacing w:after="0"/>
              <w:rPr>
                <w:sz w:val="24"/>
                <w:szCs w:val="24"/>
                <w:color w:val="auto"/>
              </w:rPr>
            </w:pPr>
          </w:p>
        </w:tc>
      </w:tr>
      <w:tr>
        <w:trPr>
          <w:trHeight w:val="763"/>
        </w:trPr>
        <w:tc>
          <w:tcPr>
            <w:tcW w:w="99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6" w:name="page17"/>
    <w:bookmarkEnd w:id="16"/>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based on the three-tier fair value hierarchy: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2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20" w:type="dxa"/>
            <w:vAlign w:val="bottom"/>
            <w:shd w:val="clear" w:color="auto" w:fill="CFF0FC"/>
          </w:tcPr>
          <w:p>
            <w:pPr>
              <w:spacing w:after="0"/>
              <w:rPr>
                <w:sz w:val="18"/>
                <w:szCs w:val="18"/>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marketable securities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1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Financial liabilities:</w:t>
            </w:r>
          </w:p>
        </w:tc>
        <w:tc>
          <w:tcPr>
            <w:tcW w:w="3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Loan facility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42,216</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42,216</w:t>
            </w: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Non-qualified deferred compensation plan liability</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20" w:type="dxa"/>
            <w:vAlign w:val="bottom"/>
          </w:tcPr>
          <w:p>
            <w:pPr>
              <w:spacing w:after="0"/>
              <w:rPr>
                <w:sz w:val="18"/>
                <w:szCs w:val="18"/>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43,348</w:t>
            </w: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48,255</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Corporate-owned life insurance policies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20" w:type="dxa"/>
            <w:vAlign w:val="bottom"/>
            <w:shd w:val="clear" w:color="auto" w:fill="CFF0FC"/>
          </w:tcPr>
          <w:p>
            <w:pPr>
              <w:spacing w:after="0"/>
              <w:rPr>
                <w:sz w:val="18"/>
                <w:szCs w:val="18"/>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28"/>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-1862455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-1862455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-1862455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-1862455</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-1296670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-1296670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-1296670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-1296670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-156845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-156845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-156845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-156845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1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Current marketable securities:</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120" w:type="dxa"/>
            <w:vAlign w:val="bottom"/>
            <w:shd w:val="clear" w:color="auto" w:fill="CFF0FC"/>
          </w:tcPr>
          <w:p>
            <w:pPr>
              <w:spacing w:after="0"/>
              <w:rPr>
                <w:sz w:val="18"/>
                <w:szCs w:val="18"/>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marketable securities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1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marketable securities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33,555</w:t>
            </w:r>
          </w:p>
        </w:tc>
        <w:tc>
          <w:tcPr>
            <w:tcW w:w="120" w:type="dxa"/>
            <w:vAlign w:val="bottom"/>
            <w:shd w:val="clear" w:color="auto" w:fill="CFF0FC"/>
          </w:tcPr>
          <w:p>
            <w:pPr>
              <w:spacing w:after="0"/>
              <w:rPr>
                <w:sz w:val="21"/>
                <w:szCs w:val="21"/>
                <w:color w:val="auto"/>
              </w:rPr>
            </w:pPr>
          </w:p>
        </w:tc>
      </w:tr>
      <w:tr>
        <w:trPr>
          <w:trHeight w:val="196"/>
        </w:trPr>
        <w:tc>
          <w:tcPr>
            <w:tcW w:w="50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Financial liabilities:</w:t>
            </w:r>
          </w:p>
        </w:tc>
        <w:tc>
          <w:tcPr>
            <w:tcW w:w="3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facility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2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Non-qualified deferred compensation plan liability</w:t>
            </w:r>
          </w:p>
        </w:tc>
        <w:tc>
          <w:tcPr>
            <w:tcW w:w="3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50,740</w:t>
            </w:r>
          </w:p>
        </w:tc>
        <w:tc>
          <w:tcPr>
            <w:tcW w:w="1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Corporate-owned life insurance policies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-1431290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-1431290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-1431290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-1431290</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-1139190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-1122680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-1139190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-1122680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-1139190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-1122680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-1139190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-1122680</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-565150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-565150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-565150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the summary of changes in the fair value of the Company’s Level 3 financial instruments: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80" w:type="dxa"/>
            <w:vAlign w:val="bottom"/>
            <w:gridSpan w:val="6"/>
          </w:tcPr>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220" w:type="dxa"/>
            <w:vAlign w:val="bottom"/>
          </w:tcPr>
          <w:p>
            <w:pPr>
              <w:spacing w:after="0"/>
              <w:rPr>
                <w:sz w:val="20"/>
                <w:szCs w:val="20"/>
                <w:color w:val="auto"/>
              </w:rPr>
            </w:pPr>
          </w:p>
        </w:tc>
        <w:tc>
          <w:tcPr>
            <w:tcW w:w="334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Loan facility</w:t>
            </w: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Warrant liability</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Loan facility</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Warrant liability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in earnings</w:t>
            </w:r>
          </w:p>
        </w:tc>
        <w:tc>
          <w:tcPr>
            <w:tcW w:w="32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(2,300)</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in other comprehensive</w:t>
            </w:r>
          </w:p>
        </w:tc>
        <w:tc>
          <w:tcPr>
            <w:tcW w:w="320" w:type="dxa"/>
            <w:vAlign w:val="bottom"/>
            <w:shd w:val="clear" w:color="auto" w:fill="CFF0FC"/>
          </w:tcPr>
          <w:p>
            <w:pPr>
              <w:spacing w:after="0"/>
              <w:rPr>
                <w:sz w:val="17"/>
                <w:szCs w:val="17"/>
                <w:color w:val="auto"/>
              </w:rPr>
            </w:pPr>
          </w:p>
        </w:tc>
        <w:tc>
          <w:tcPr>
            <w:tcW w:w="1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7"/>
                <w:szCs w:val="17"/>
                <w:color w:val="auto"/>
              </w:rPr>
            </w:pPr>
          </w:p>
        </w:tc>
        <w:tc>
          <w:tcPr>
            <w:tcW w:w="1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w:t>
            </w:r>
          </w:p>
        </w:tc>
        <w:tc>
          <w:tcPr>
            <w:tcW w:w="320" w:type="dxa"/>
            <w:vAlign w:val="bottom"/>
            <w:shd w:val="clear" w:color="auto" w:fill="CFF0FC"/>
          </w:tcPr>
          <w:p>
            <w:pPr>
              <w:spacing w:after="0"/>
              <w:rPr>
                <w:sz w:val="19"/>
                <w:szCs w:val="19"/>
                <w:color w:val="auto"/>
              </w:rPr>
            </w:pPr>
          </w:p>
        </w:tc>
        <w:tc>
          <w:tcPr>
            <w:tcW w:w="17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period, at fair value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42,216</w:t>
            </w:r>
          </w:p>
        </w:tc>
        <w:tc>
          <w:tcPr>
            <w:tcW w:w="8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17</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-1079500</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-1079500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-1079500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7" w:name="page18"/>
    <w:bookmarkEnd w:id="17"/>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Company’s Level 1 assets include money market instruments and are valued based upon observable market prices. The Company’s Level 1 liabilities include the Penny Warrants (as defined below) and are valued based upon observable market prices. Level 2 assets consist of U.S Treasury securities and U.S. Government Agency obligations. Level 2 securities are valued based upon observable inputs that include reported trades, broker/dealer quotes, bids and offers. The corporate-owned life insurance contracts are recorded at cash surrender value, which approximates the fair value and is categorized as Level 2. Non-qualified deferred compensation plan liability is measured at fair value based on quoted prices of identical instruments to the investment vehicles selected by the participants and it is recorded as Level 2. There were no transfers between fair value measurement levels during the periods ended June 30, 2025 and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Facility</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fair value of the loan facility was determined using a Monte Carlo Simulation (“MCS”) in order to predict the probability of different outcomes. The valuation was performed based on significant inputs not observable in the market, which represents a Level 3 measurement within the fair value hierarchy. The fair value of the loan facility is recorded in the Consolidated Balance Sheets. The fair value is estimated by the Company each reporting period and the change in the fair value is recorded in both earnings and other comprehensive income depending on the instrument's inherent credit risk and market risk related to the loan facility valuation.</w:t>
      </w:r>
    </w:p>
    <w:p>
      <w:pPr>
        <w:spacing w:after="0" w:line="18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As the loan facility is subject to net revenue requirements, the valuation of the loan facility was determined using MCS. The underlying metric to be simulated is the projected Trailing Twelve Month (“TTM”) revenues at each quarter end through the maturity date of October 18, 2028. Based on the simulated metric, the different levels of simulated TTM revenues may trigger different discounted cash flow scenarios in which the TTM revenues are lower than the targeted revenues per the Credit Agreement (as defined in Note 6 to the Consolidated Financial Statements) or the TTM revenues are equal to or higher than the targeted revenues per the Credit Agreement, as discussed in Note 6 to the Consolidated Financial Statements. MCS performs 100,000 iterations of various simulated revenues to determine the fair value of the loan facility.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below assumptions were used in the MCS: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080" w:type="dxa"/>
            <w:vAlign w:val="bottom"/>
          </w:tcPr>
          <w:p>
            <w:pPr>
              <w:spacing w:after="0"/>
              <w:rPr>
                <w:sz w:val="24"/>
                <w:szCs w:val="24"/>
                <w:color w:val="auto"/>
              </w:rPr>
            </w:pPr>
          </w:p>
        </w:tc>
        <w:tc>
          <w:tcPr>
            <w:tcW w:w="23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4"/>
                <w:szCs w:val="24"/>
                <w:color w:val="auto"/>
              </w:rPr>
            </w:pPr>
          </w:p>
        </w:tc>
      </w:tr>
      <w:tr>
        <w:trPr>
          <w:trHeight w:val="210"/>
        </w:trPr>
        <w:tc>
          <w:tcPr>
            <w:tcW w:w="7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2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63.00%</w:t>
            </w:r>
          </w:p>
        </w:tc>
      </w:tr>
      <w:tr>
        <w:trPr>
          <w:trHeight w:val="216"/>
        </w:trPr>
        <w:tc>
          <w:tcPr>
            <w:tcW w:w="7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discount rate</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February 13, 2025, the Company issued 145,180 warrants with an exercise price of $0.01 per share (the “Penny Warrants”). The Penny Warrants were issued in connection with the Credit Agreement. The fair value of the Penny Warrants liability was determined based on quoted prices in active markets, which represents a Level 1 measurement within the fair value hierarchy. The fair value of the Penny Warrants liability, which is reported within Warrant liabilities on the Consolidated Balance Sheets, is estimated by the Company based on the closing price of the Company’s Common Stock as quoted on the Nasdaq Capital Market (“Nasdaq”) under the ticker code, “RCEL.”</w:t>
      </w:r>
    </w:p>
    <w:p>
      <w:pPr>
        <w:spacing w:after="0" w:line="183" w:lineRule="exact"/>
        <w:rPr>
          <w:sz w:val="20"/>
          <w:szCs w:val="20"/>
          <w:color w:val="auto"/>
        </w:rPr>
      </w:pPr>
    </w:p>
    <w:p>
      <w:pPr>
        <w:ind w:right="20" w:firstLine="749"/>
        <w:spacing w:after="0" w:line="281" w:lineRule="auto"/>
        <w:rPr>
          <w:sz w:val="20"/>
          <w:szCs w:val="20"/>
          <w:color w:val="auto"/>
        </w:rPr>
      </w:pPr>
      <w:r>
        <w:rPr>
          <w:rFonts w:ascii="Times New Roman" w:cs="Times New Roman" w:eastAsia="Times New Roman" w:hAnsi="Times New Roman"/>
          <w:sz w:val="17"/>
          <w:szCs w:val="17"/>
          <w:color w:val="auto"/>
        </w:rPr>
        <w:t>On the Closing Date of the Credit Agreement, the Company issued 409,661 warrants with an exercise price of $10.9847 per share (the “$10.9847 Warrants”). The fair value of the $10.9847 Warrants liability was determined based on significant inputs not observable in the market, which represents a Level 3 measurement within the fair value hierarchy. The fair value of the $10.9847 Warrants liability, which is reported within Warrant liabilities on the Consolidated Balance Sheets, is estimated by the Company based on the Black-Scholes option pricing model with the following key inputs: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20"/>
                <w:szCs w:val="20"/>
                <w:color w:val="auto"/>
              </w:rPr>
            </w:pPr>
          </w:p>
        </w:tc>
      </w:tr>
      <w:tr>
        <w:trPr>
          <w:trHeight w:val="20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Price of common stock</w:t>
            </w:r>
          </w:p>
        </w:tc>
        <w:tc>
          <w:tcPr>
            <w:tcW w:w="3900" w:type="dxa"/>
            <w:vAlign w:val="bottom"/>
            <w:gridSpan w:val="2"/>
            <w:shd w:val="clear" w:color="auto" w:fill="CFF0FC"/>
          </w:tcPr>
          <w:p>
            <w:pPr>
              <w:jc w:val="right"/>
              <w:ind w:right="19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5.29</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8.31 years</w:t>
            </w:r>
          </w:p>
        </w:tc>
        <w:tc>
          <w:tcPr>
            <w:tcW w:w="380" w:type="dxa"/>
            <w:vAlign w:val="bottom"/>
          </w:tcPr>
          <w:p>
            <w:pPr>
              <w:spacing w:after="0"/>
              <w:rPr>
                <w:sz w:val="18"/>
                <w:szCs w:val="18"/>
                <w:color w:val="auto"/>
              </w:rPr>
            </w:pPr>
          </w:p>
        </w:tc>
        <w:tc>
          <w:tcPr>
            <w:tcW w:w="2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 years</w:t>
            </w: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380" w:type="dxa"/>
            <w:vAlign w:val="bottom"/>
            <w:shd w:val="clear" w:color="auto" w:fill="CFF0FC"/>
          </w:tcPr>
          <w:p>
            <w:pPr>
              <w:spacing w:after="0"/>
              <w:rPr>
                <w:sz w:val="18"/>
                <w:szCs w:val="18"/>
                <w:color w:val="auto"/>
              </w:rPr>
            </w:pPr>
          </w:p>
        </w:tc>
        <w:tc>
          <w:tcPr>
            <w:tcW w:w="2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48.89%</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900" w:type="dxa"/>
            <w:vAlign w:val="bottom"/>
            <w:gridSpan w:val="2"/>
          </w:tcPr>
          <w:p>
            <w:pPr>
              <w:jc w:val="right"/>
              <w:ind w:right="19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10.9847</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10.9847</w:t>
            </w: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2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80" w:type="dxa"/>
            <w:vAlign w:val="bottom"/>
            <w:shd w:val="clear" w:color="auto" w:fill="CFF0FC"/>
          </w:tcPr>
          <w:p>
            <w:pPr>
              <w:spacing w:after="0"/>
              <w:rPr>
                <w:sz w:val="18"/>
                <w:szCs w:val="18"/>
                <w:color w:val="auto"/>
              </w:rPr>
            </w:pPr>
          </w:p>
        </w:tc>
        <w:tc>
          <w:tcPr>
            <w:tcW w:w="2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7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80" w:type="dxa"/>
            <w:vAlign w:val="bottom"/>
          </w:tcPr>
          <w:p>
            <w:pPr>
              <w:spacing w:after="0"/>
              <w:rPr>
                <w:sz w:val="20"/>
                <w:szCs w:val="20"/>
                <w:color w:val="auto"/>
              </w:rPr>
            </w:pPr>
          </w:p>
        </w:tc>
        <w:tc>
          <w:tcPr>
            <w:tcW w:w="2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630"/>
        </w:trPr>
        <w:tc>
          <w:tcPr>
            <w:tcW w:w="3400" w:type="dxa"/>
            <w:vAlign w:val="bottom"/>
          </w:tcPr>
          <w:p>
            <w:pPr>
              <w:spacing w:after="0"/>
              <w:rPr>
                <w:sz w:val="24"/>
                <w:szCs w:val="24"/>
                <w:color w:val="auto"/>
              </w:rPr>
            </w:pPr>
          </w:p>
        </w:tc>
        <w:tc>
          <w:tcPr>
            <w:tcW w:w="39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color w:val="auto"/>
              </w:rPr>
              <w:t>18</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5. Revenues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generates revenues primarily from:</w:t>
      </w:r>
    </w:p>
    <w:p>
      <w:pPr>
        <w:spacing w:after="0" w:line="117" w:lineRule="exact"/>
        <w:rPr>
          <w:sz w:val="20"/>
          <w:szCs w:val="20"/>
          <w:color w:val="auto"/>
        </w:rPr>
      </w:pPr>
    </w:p>
    <w:p>
      <w:pPr>
        <w:ind w:left="1020" w:right="2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EOU, RECELL GO RPK, RECELL GO mini RPK, PermeaDerm, and Cohealyx products to hospitals, other treatment centers, and distributors.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for the RECELL GO RPD.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EOU, PermeaDerm, and Cohealyx Sales</w:t>
      </w:r>
    </w:p>
    <w:p>
      <w:pPr>
        <w:spacing w:after="0" w:line="229" w:lineRule="exact"/>
        <w:rPr>
          <w:sz w:val="20"/>
          <w:szCs w:val="20"/>
          <w:color w:val="auto"/>
        </w:rPr>
      </w:pPr>
    </w:p>
    <w:p>
      <w:pPr>
        <w:ind w:right="780" w:firstLine="749"/>
        <w:spacing w:after="0" w:line="266" w:lineRule="auto"/>
        <w:rPr>
          <w:sz w:val="20"/>
          <w:szCs w:val="20"/>
          <w:color w:val="auto"/>
        </w:rPr>
      </w:pPr>
      <w:r>
        <w:rPr>
          <w:rFonts w:ascii="Times New Roman" w:cs="Times New Roman" w:eastAsia="Times New Roman" w:hAnsi="Times New Roman"/>
          <w:sz w:val="18"/>
          <w:szCs w:val="18"/>
          <w:color w:val="auto"/>
        </w:rPr>
        <w:t>The Company’s sale of the EOU, PermeaDerm and Cohealyx products are accounted for under ASC 606, as discussed in Note 2 to the Consolidated Financial Statements. See Note 11 to the Consolidated Financial Statements for additional information regarding the Company’s commitments with Stedical and Regenity.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RECELL GO and RECELL GO mini Sales</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Revenue for the RECELL GO device is disaggregated between two accounting standards: (1) ASC 606 for the RPK and (2) ASC 842 for the RPD. The RECELL GO and RECELL GO mini devices consist of single-use RPKs and a durable AC powered device, the RPD. The Company enters into contracts with customers where it receives consideration for the single-use RPKs and does not receive additional consideration for the RPD. The consideration in the contract is allocated based on the SSP. Upon sale of the RPKs, the consideration is allocated to the lease and non-lease components. Consideration received for the RPK is recorded in Sales revenues in the Consolidated Statement of Operations and consideration for the lease is recorded in Lease revenue in the Consolidated Statement of Operations. During the three and six-months ended June 30, 2025, the Company recorded approximately $9.3 million and $19.0 million in Sales revenue related to the RPKs, respectively, and $192,000 and $381,000 in Lease revenue related to the RPD, respectively, in the Consolidated Statement of Operations. During the three and six-months ended June 30, 2024, the Company recorded approximately $613,000 in Sales revenue related to the RPK and $12,000 related to Lease revenue related to the RPD in the Consolidated Statement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Distributor Transactions</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For international markets, the Company exclusively partners with third-party distributors (currently, COSMOTEC in Japan, PolyMedics Innovation GmbH in Germany, Joint Operations Ltd in the United Kingdom, and Revolution Surgical Pty Ltd in Australia and New Zealand). Revenue recognition occurs when the distributors obtain control of the product. The terms of sales transactions through distributors are generally consistent with the terms of direct sales to customers and do not contain return rights. These transactions are accounted for in accordance with the Company’s revenue recognition policy described in Note 2 to the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229" w:lineRule="exact"/>
        <w:rPr>
          <w:sz w:val="20"/>
          <w:szCs w:val="20"/>
          <w:color w:val="auto"/>
        </w:rPr>
      </w:pPr>
    </w:p>
    <w:p>
      <w:pPr>
        <w:ind w:right="340" w:firstLine="749"/>
        <w:spacing w:after="0" w:line="261" w:lineRule="auto"/>
        <w:rPr>
          <w:sz w:val="20"/>
          <w:szCs w:val="20"/>
          <w:color w:val="auto"/>
        </w:rPr>
      </w:pPr>
      <w:r>
        <w:rPr>
          <w:rFonts w:ascii="Times New Roman" w:cs="Times New Roman" w:eastAsia="Times New Roman" w:hAnsi="Times New Roman"/>
          <w:sz w:val="18"/>
          <w:szCs w:val="18"/>
          <w:color w:val="auto"/>
        </w:rPr>
        <w:t>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w:t>
      </w:r>
    </w:p>
    <w:p>
      <w:pPr>
        <w:spacing w:after="0" w:line="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Volume Discounts </w:t>
      </w:r>
      <w:r>
        <w:rPr>
          <w:rFonts w:ascii="Times New Roman" w:cs="Times New Roman" w:eastAsia="Times New Roman" w:hAnsi="Times New Roman"/>
          <w:sz w:val="18"/>
          <w:szCs w:val="18"/>
          <w:color w:val="auto"/>
        </w:rPr>
        <w:t>— The Company generally provides contracted customers with volume discounts that are explicitly stated 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contracts. The RECELL system is sold with respective volume discounts based on aggregated sales over a 12-month period on a customer-by-customer basis. Revenue from these sales is recognized based on the price specified in the contract, net of estimated volume discounts, and net of any sales tax charged. Goods sold are not eligible for return. The Company has determined such discounts are not distinct from the Company’s sale of products to the customer and, therefore, these payments have been recorded as a reduction of revenue and as a reduction to accounts receivable, net.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Contract assets include amounts related to the Company’s contractual right to consideration for both completed and partially completed performance for which the Company does not have the right to payment. As of June 30, 2025 and December 31, 2024, the Company does not have any contract assets.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9" w:name="page20"/>
    <w:bookmarkEnd w:id="19"/>
    <w:p>
      <w:pPr>
        <w:ind w:left="760"/>
        <w:spacing w:after="0"/>
        <w:rPr>
          <w:sz w:val="20"/>
          <w:szCs w:val="20"/>
          <w:color w:val="auto"/>
        </w:rPr>
      </w:pPr>
      <w:r>
        <w:rPr>
          <w:rFonts w:ascii="Times New Roman" w:cs="Times New Roman" w:eastAsia="Times New Roman" w:hAnsi="Times New Roman"/>
          <w:sz w:val="18"/>
          <w:szCs w:val="18"/>
          <w:color w:val="auto"/>
        </w:rPr>
        <w:t>Contract liabilities are recorded when the Company receives payment prior to satisfying its obligation to transfer goods to a customer.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had unsatisfied performance obligations of $340,000 and $357,000 as of June 30, 2025 and December 31, 2024, respectively. These balances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between current and long-term. As of June 30, 2025 and December 31, 2024, a total of $33,000 was included in Other current liabilities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$307,000 and $324,000, respectively, in Contract liabilities in the Consolidated Balance Sheets. As of December 31, 2023, the Company had an unsatisfied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obligation of $390,000.</w:t>
      </w:r>
    </w:p>
    <w:p>
      <w:pPr>
        <w:spacing w:after="0" w:line="207"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For the three and six-months ended June 30, 2025, the Company recognized revenue of approximately $64,000 and $128,000, respectively, for amounts included in the beginning balance in Contract liabilities. For the three and six-months ended June 30, 2024, the Company recognized revenue of approximately $64,000 and $100,000, respectively, for amounts included in the beginning balance in Contract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Company’s remaining performance obligations are calculated as the dollar value of the remaining unsatisfied performance obligations on executed contracts. The estimated revenue expected to be recognized in the future once the performance obligations are satisfied under the Company’s existing customer agreements was $340,000 and $357,000 as of June 30, 2025 and December 31, 2024, respectively. These amounts are classified between current and long-term in Other current liabilities and Contract liabilities in the Consolidated Balance Sheets. The Company expects to recognize approximately $33,000 as revenue in the next twelve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to Obtain and Fulfill a Contract</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into geographical regions, by customer type and by product. As noted in the segment footnote (Note 10 to the Consolidated Financial Statements), the Company’s business consists of one reporting segment. A reconciliation of revenue by geographical region, customer type and product is provided in Note 10.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 Facility</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On October 18, 2023 (the “Closing Date”) the Company entered into a credit agreement, by and between the Company, as borrower, and an affiliate of OrbiMed Advisors, LLC (the “Lender”) as the lender and administrative agent (the “Credit Agreement”). The Credit Agreement provides for a five-year senior secured credit facility in an aggregate principal amount of up to $90.0 million, of which (i) $40.0 million was made available on the Closing Date (the “Initial Commitment Amount”), (ii) $25.0 million would be made available, at the Company’s discretion, on or prior to December 31, 2024, subject to certain net revenue requirements, and (iii) $25.0 million would be made available, at the Company’s discretion, on or prior to June 30, 2025, subject to certain net revenue covenants (the “Loan Facility”). The maturity date of the Credit Agreement is October 18, 2028 (“Maturity Date”). On the Closing date, the Company closed on the Initial Commitment Amount, less certain fees and expenses payable to or on behalf of the Lender. The Company received net proceeds of $38.8 million upon closing after deducting the Lender's transaction costs in connection with the Loan Facility.</w:t>
      </w:r>
    </w:p>
    <w:p>
      <w:pPr>
        <w:spacing w:after="0" w:line="19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November 7, 2024, the Lender and the Company mutually agreed to a third amendment (the “Third Amendment”) to the Credit Agreement. Under the terms of the Third Amendment and subject to the payment by the Company of a consent fee to the Lender, the Company and the Lender mutually agreed to (1) terminate the two additional tranches of available debt in the aggregate amount of $50.0 million and (2) remove the trailing 12-month revenue covenant for the fourth quarter of 2024, which was set at $67.5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0" w:name="page21"/>
    <w:bookmarkEnd w:id="20"/>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On February 13, 2025, the Lender and the Company mutually agreed to a fourth amendment (the “Fourth Amendment”) to the Credit Agreement. Under the terms of the Fourth Amendment, the Company and the Lender mutually agreed to amend the trailing 12-month revenue covenant to $73.0 million for the quarter ending March 31, 2025, to $78.0 million for the quarter ending June 30, 2025, to $84.0 million for the quarter ending September 30, 2025, to $92.0 million for the quarter ending December 31, 2025 and to $103.0 million for the quarter ending March 31, 2026, and the Lender received the Penny Warrants. The $115.0 million revenue covenant for all subsequent quarters through the Maturity Date remains in effect. On March 31, 2025, the Company received a waiver related to the trailing 12-month revenue covenant for the first quarter of 2025, and paid the Lender a fee. On June 30, 2025, the Company received a waiver related to the trailing 12-month revenue covenant for the second quarter of 2025. Subsequent to June 30, 2025, the Lender and the Company mutually agreed to a fifth amendment to the Credit Agreement, see Note 16 to the Consolidated Financial Statements for additional information.</w:t>
      </w:r>
    </w:p>
    <w:p>
      <w:pPr>
        <w:spacing w:after="0" w:line="18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All obligations under the Credit Agreement are guaranteed by all of the Company’s wholly owned subsidiaries (subject to certain exceptions) and secured by substantially all of the Company's and each guarantor's assets. The loan will be due in full on the Maturity Date unless the Company elects to repay the principal amount at any time prior to the Maturity Date. Upon prepayment, the Company will owe an exit fee of 3% on the principal amount of the loans as well as the applicable repayment premium. The repayment premium varies between 0.0% - 3.0% of the principal amount of the loan, depending on certain conditions that are defined in the Credit Agreement. The repayment premium may also incorporate the make-whole amount. The make-whole amount represents the remaining scheduled interest payments on the Loan Facility during the period commencing on the prepayment date through the 24-month anniversary of the Closing Date. The Credit Agreement further states that the Company will be required to repay portions of the principal amount of the Loan Facility if the Company does not achieve certain net revenue thresholds. If, for any quarter until the Maturity Date, the Company’s net revenue does not equal or exceed the applicable trailing 12-month amount as set forth in the Credit Agreement, then the Company shall repay, in equal quarterly installments of 5.0% of the outstanding principal amount of the Loan Facility on the date the net revenue amount was not satisfied, together with the exit fee and repayment premium, if applicable. The Company shall repay amounts outstanding in full immediately upon an acceleration as a result of an event of default as set forth in the Credit Agreement, together with a repayment premium and other fees. As of June 30, 2025, the Company has not made any repayments on the outstanding debt balance.</w:t>
      </w:r>
    </w:p>
    <w:p>
      <w:pPr>
        <w:spacing w:after="0" w:line="18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During the term of the Credit Agreement, interest payable in cash by the Company shall accrue on any outstanding debt at a rate per annum equal to the greater of (x) the SOFR rate for such period and (y) 4.00% plus, in either case, 8.00%. As of June 30, 2025, the interest rate was 12.33%. During an event of default, any outstanding amount will bear interest at a rate of 4.00% in excess of the otherwise applicable rate of interest. The Company paid certain fees with respect to the Credit Agreement, including an upfront fee, an unused fee on the undrawn portion of the Loan Facility, and certain fees related to amendments to the Credit Agreement; continues to pay an administration fee; and may have to pay a repayment premium and an exit fee, as well as certain other fees and expenses of the Lender.</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Credit Agreement contains certain customary events of default, including: nonpayment of principal, interest, fees or other amounts; material inaccuracy of a representation or warranty; failure to perform or observe covenants; material defaults on other indebtedness; bankruptcy and insolvency events; material monetary judgments; loss of certain key permits, persons and contracts; material adverse effects; certain regulatory matters; and any change of control. On June 30, 2025, the Company received a waiver related to the trailing 12-month revenue covenant for the second quarter of 2025, which was set at $78.0 million. As of June 30, 2025, the Company was in compliance with all other financial covenants in the Credit Agreement.</w:t>
      </w:r>
    </w:p>
    <w:p>
      <w:pPr>
        <w:spacing w:after="0" w:line="18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Each of the Credit Agreement and the Pledge and Security Agreement entered into by the Company, the guarantors and the Lender on October 18, 2023 (the “Pledge and Security Agreement”) contains a number of customary representations, warranties, and covenants that, among other things, will limit or restrict the ability of the Company and its subsidiaries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amend certain material documents; redeem or repurchase certain debt; engage in certain transactions with affiliates; and enter into certain restrictive agreements. In addition, the Company and the guarantors will be required to maintain at least $10.0 million of unrestricted cash and cash equivalents.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the Closing Date, the Company issued to an affiliate of the Lender the $10.9847 Warrants, with a term of 10 years from the issuance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$10.9847 Warrants contain customary share adjustment provisions, as well as weighted average price protection in certain circumstances.</w:t>
      </w:r>
    </w:p>
    <w:p>
      <w:pPr>
        <w:spacing w:after="0" w:line="207"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On February 13, 2025, as a condition to the execution of the Fourth Amendment, the Company issued to the Lender the Penny Warrants, with a term of 10 years from the issuance date. The Penny Warrants contain customary share adjustment provisions, as well as weighted average price protection in certain circumstances.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1" w:name="page22"/>
    <w:bookmarkEnd w:id="21"/>
    <w:p>
      <w:pPr>
        <w:ind w:right="80" w:firstLine="749"/>
        <w:spacing w:after="0" w:line="275" w:lineRule="auto"/>
        <w:rPr>
          <w:sz w:val="20"/>
          <w:szCs w:val="20"/>
          <w:color w:val="auto"/>
        </w:rPr>
      </w:pPr>
      <w:r>
        <w:rPr>
          <w:rFonts w:ascii="Times New Roman" w:cs="Times New Roman" w:eastAsia="Times New Roman" w:hAnsi="Times New Roman"/>
          <w:sz w:val="17"/>
          <w:szCs w:val="17"/>
          <w:color w:val="auto"/>
        </w:rPr>
        <w:t xml:space="preserve">As permitted under ASC 825,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the Company elected the fair value option to record the loan facility and warrants with changes in fair value recorded in the Consolidated Statements of Operations in Other income, net. Changes related to instrument-specific credit risk are revalued by comparing the amount of the total change in fair value of the loan facility to the amount of change in fair value that would have occurred if the Company’s credit spread had not changed between the reporting periods, and is recorded in Accumulated other comprehensive loss in the Consolidated Balance Sheets. The difference between the fair value of the loan facility and the unpaid principal balance of $40.0 million is an additional liability of $2.2 million as of June 30, 2025 and December 31, 2024, respectively. For changes in fair value, refer to Note 4 to the Consolidated Financial Statements.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composition of the inventory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940" w:type="dxa"/>
            <w:vAlign w:val="bottom"/>
          </w:tcPr>
          <w:p>
            <w:pPr>
              <w:spacing w:after="0"/>
              <w:rPr>
                <w:sz w:val="18"/>
                <w:szCs w:val="18"/>
                <w:color w:val="auto"/>
              </w:rPr>
            </w:pPr>
          </w:p>
        </w:tc>
        <w:tc>
          <w:tcPr>
            <w:tcW w:w="2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8"/>
                <w:szCs w:val="18"/>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340" w:type="dxa"/>
            <w:vAlign w:val="bottom"/>
            <w:shd w:val="clear" w:color="auto" w:fill="CFF0FC"/>
          </w:tcPr>
          <w:p>
            <w:pPr>
              <w:jc w:val="right"/>
              <w:ind w:right="2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2,449</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3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480" w:type="dxa"/>
            <w:vAlign w:val="bottom"/>
          </w:tcPr>
          <w:p>
            <w:pPr>
              <w:spacing w:after="0"/>
              <w:rPr>
                <w:sz w:val="18"/>
                <w:szCs w:val="18"/>
                <w:color w:val="auto"/>
              </w:rPr>
            </w:pPr>
          </w:p>
        </w:tc>
        <w:tc>
          <w:tcPr>
            <w:tcW w:w="2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3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2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34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1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7,269</w:t>
            </w:r>
          </w:p>
        </w:tc>
      </w:tr>
      <w:tr>
        <w:trPr>
          <w:trHeight w:val="20"/>
        </w:trPr>
        <w:tc>
          <w:tcPr>
            <w:tcW w:w="4940" w:type="dxa"/>
            <w:vAlign w:val="bottom"/>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The Company values its inventories to reflect the lower of cost or net realizable value. Charges for estimated excess and obsolescence are recorded in Cost of sales in the Consolidated Statements of Operations and were $230,000 and $151,000 for the three-months ended June 30, 2025 and 2024, respectively, and $543,000 and $234,000 for the six-months ended June 30, 2025 and 2024,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composition of intangible assets, net is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6"/>
        </w:trPr>
        <w:tc>
          <w:tcPr>
            <w:tcW w:w="1960" w:type="dxa"/>
            <w:vAlign w:val="bottom"/>
          </w:tcPr>
          <w:p>
            <w:pPr>
              <w:spacing w:after="0"/>
              <w:rPr>
                <w:sz w:val="16"/>
                <w:szCs w:val="16"/>
                <w:color w:val="auto"/>
              </w:rPr>
            </w:pPr>
          </w:p>
        </w:tc>
        <w:tc>
          <w:tcPr>
            <w:tcW w:w="1560" w:type="dxa"/>
            <w:vAlign w:val="bottom"/>
          </w:tcPr>
          <w:p>
            <w:pPr>
              <w:jc w:val="center"/>
              <w:ind w:left="132"/>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20" w:type="dxa"/>
            <w:vAlign w:val="bottom"/>
          </w:tcPr>
          <w:p>
            <w:pPr>
              <w:spacing w:after="0"/>
              <w:rPr>
                <w:sz w:val="16"/>
                <w:szCs w:val="16"/>
                <w:color w:val="auto"/>
              </w:rPr>
            </w:pPr>
          </w:p>
        </w:tc>
      </w:tr>
      <w:tr>
        <w:trPr>
          <w:trHeight w:val="203"/>
        </w:trPr>
        <w:tc>
          <w:tcPr>
            <w:tcW w:w="1960" w:type="dxa"/>
            <w:vAlign w:val="bottom"/>
          </w:tcPr>
          <w:p>
            <w:pPr>
              <w:spacing w:after="0"/>
              <w:rPr>
                <w:sz w:val="17"/>
                <w:szCs w:val="17"/>
                <w:color w:val="auto"/>
              </w:rPr>
            </w:pP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rPr>
              <w:t>Average Useful</w:t>
            </w:r>
          </w:p>
        </w:tc>
        <w:tc>
          <w:tcPr>
            <w:tcW w:w="160" w:type="dxa"/>
            <w:vAlign w:val="bottom"/>
          </w:tcPr>
          <w:p>
            <w:pPr>
              <w:spacing w:after="0"/>
              <w:rPr>
                <w:sz w:val="17"/>
                <w:szCs w:val="17"/>
                <w:color w:val="auto"/>
              </w:rPr>
            </w:pPr>
          </w:p>
        </w:tc>
        <w:tc>
          <w:tcPr>
            <w:tcW w:w="92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86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Carry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Carry</w:t>
            </w:r>
          </w:p>
        </w:tc>
      </w:tr>
      <w:tr>
        <w:trPr>
          <w:trHeight w:val="215"/>
        </w:trPr>
        <w:tc>
          <w:tcPr>
            <w:tcW w:w="1960" w:type="dxa"/>
            <w:vAlign w:val="bottom"/>
          </w:tcPr>
          <w:p>
            <w:pPr>
              <w:spacing w:after="0"/>
              <w:rPr>
                <w:sz w:val="18"/>
                <w:szCs w:val="18"/>
                <w:color w:val="auto"/>
              </w:rPr>
            </w:pPr>
          </w:p>
        </w:tc>
        <w:tc>
          <w:tcPr>
            <w:tcW w:w="1560" w:type="dxa"/>
            <w:vAlign w:val="bottom"/>
          </w:tcPr>
          <w:p>
            <w:pPr>
              <w:jc w:val="center"/>
              <w:ind w:left="132"/>
              <w:spacing w:after="0"/>
              <w:rPr>
                <w:sz w:val="20"/>
                <w:szCs w:val="20"/>
                <w:color w:val="auto"/>
              </w:rPr>
            </w:pPr>
            <w:r>
              <w:rPr>
                <w:rFonts w:ascii="Times New Roman" w:cs="Times New Roman" w:eastAsia="Times New Roman" w:hAnsi="Times New Roman"/>
                <w:sz w:val="16"/>
                <w:szCs w:val="16"/>
                <w:b w:val="1"/>
                <w:bCs w:val="1"/>
                <w:color w:val="auto"/>
                <w:w w:val="94"/>
              </w:rPr>
              <w:t>Life</w:t>
            </w:r>
          </w:p>
        </w:tc>
        <w:tc>
          <w:tcPr>
            <w:tcW w:w="160" w:type="dxa"/>
            <w:vAlign w:val="bottom"/>
          </w:tcPr>
          <w:p>
            <w:pPr>
              <w:spacing w:after="0"/>
              <w:rPr>
                <w:sz w:val="18"/>
                <w:szCs w:val="18"/>
                <w:color w:val="auto"/>
              </w:rPr>
            </w:pPr>
          </w:p>
        </w:tc>
        <w:tc>
          <w:tcPr>
            <w:tcW w:w="9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86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19"/>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 1</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FF0FC"/>
          </w:tcPr>
          <w:p>
            <w:pPr>
              <w:spacing w:after="0"/>
              <w:rPr>
                <w:sz w:val="19"/>
                <w:szCs w:val="19"/>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Patent 2</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r>
      <w:tr>
        <w:trPr>
          <w:trHeight w:val="216"/>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 3</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FF0FC"/>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Patent 4</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r>
      <w:tr>
        <w:trPr>
          <w:trHeight w:val="216"/>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 5</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Patent 6</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r>
      <w:tr>
        <w:trPr>
          <w:trHeight w:val="216"/>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Regenity License</w:t>
            </w:r>
          </w:p>
        </w:tc>
        <w:tc>
          <w:tcPr>
            <w:tcW w:w="1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shd w:val="clear" w:color="auto" w:fill="CFF0FC"/>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Indefinite</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r>
      <w:tr>
        <w:trPr>
          <w:trHeight w:val="229"/>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20" w:type="dxa"/>
            <w:vAlign w:val="bottom"/>
            <w:shd w:val="clear" w:color="auto" w:fill="CFF0FC"/>
          </w:tcPr>
          <w:p>
            <w:pPr>
              <w:spacing w:after="0"/>
              <w:rPr>
                <w:sz w:val="19"/>
                <w:szCs w:val="19"/>
                <w:color w:val="auto"/>
              </w:rPr>
            </w:pPr>
          </w:p>
        </w:tc>
      </w:tr>
      <w:tr>
        <w:trPr>
          <w:trHeight w:val="20"/>
        </w:trPr>
        <w:tc>
          <w:tcPr>
            <w:tcW w:w="196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-25400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-25400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-25400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For the three-months and six-months ended June 30, 2025 and 2024, the Company did not identify any events or changes in circumstances that indicated that the carrying value of its intangibles may not be recoverable. As such, there was no impairment of intangible assets recognized for the three and six-months ended June 30, 2025 and 2024. Amortization expense of intangibles included in the Consolidated Statements of Operations was $152,000 and $17,000 for the three-months ended June 30, 2025 and 2024, respectively, and $288,000 and $34,000 for the six-months ended June 30, 2025 and 2024, respectively. Due to Regenity receiving 510(k) clearance for Cohealyx in December 2024, the Company recorded a license (the “Regenity License”) of $5.0 million. For further details refer to Note 11 to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2" w:name="page23"/>
    <w:bookmarkEnd w:id="22"/>
    <w:p>
      <w:pPr>
        <w:ind w:left="760"/>
        <w:spacing w:after="0"/>
        <w:rPr>
          <w:sz w:val="20"/>
          <w:szCs w:val="20"/>
          <w:color w:val="auto"/>
        </w:rPr>
      </w:pPr>
      <w:r>
        <w:rPr>
          <w:rFonts w:ascii="Times New Roman" w:cs="Times New Roman" w:eastAsia="Times New Roman" w:hAnsi="Times New Roman"/>
          <w:sz w:val="18"/>
          <w:szCs w:val="18"/>
          <w:color w:val="auto"/>
        </w:rPr>
        <w:t>The Company expects the future amortization of amortizable intangible assets held at June 30, 2025 to be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2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4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Estimated Amortization Expense</w:t>
            </w:r>
          </w:p>
        </w:tc>
        <w:tc>
          <w:tcPr>
            <w:tcW w:w="0" w:type="dxa"/>
            <w:vAlign w:val="bottom"/>
          </w:tcPr>
          <w:p>
            <w:pPr>
              <w:spacing w:after="0"/>
              <w:rPr>
                <w:sz w:val="1"/>
                <w:szCs w:val="1"/>
                <w:color w:val="auto"/>
              </w:rPr>
            </w:pPr>
          </w:p>
        </w:tc>
      </w:tr>
      <w:tr>
        <w:trPr>
          <w:trHeight w:val="210"/>
        </w:trPr>
        <w:tc>
          <w:tcPr>
            <w:tcW w:w="4020" w:type="dxa"/>
            <w:vAlign w:val="bottom"/>
            <w:vMerge w:val="continue"/>
          </w:tcPr>
          <w:p>
            <w:pPr>
              <w:spacing w:after="0"/>
              <w:rPr>
                <w:sz w:val="18"/>
                <w:szCs w:val="18"/>
                <w:color w:val="auto"/>
              </w:rPr>
            </w:pPr>
          </w:p>
        </w:tc>
        <w:tc>
          <w:tcPr>
            <w:tcW w:w="2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5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5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5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5,254</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Plant and Equipment</w:t>
            </w:r>
          </w:p>
        </w:tc>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20" w:type="dxa"/>
            <w:vAlign w:val="bottom"/>
            <w:vMerge w:val="continue"/>
          </w:tcPr>
          <w:p>
            <w:pPr>
              <w:spacing w:after="0"/>
              <w:rPr>
                <w:sz w:val="24"/>
                <w:szCs w:val="24"/>
                <w:color w:val="auto"/>
              </w:rPr>
            </w:pPr>
          </w:p>
        </w:tc>
        <w:tc>
          <w:tcPr>
            <w:tcW w:w="2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The composition of plant and equipment, net is as follows (in thousands):</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20" w:type="dxa"/>
            <w:vAlign w:val="bottom"/>
          </w:tcPr>
          <w:p>
            <w:pPr>
              <w:spacing w:after="0"/>
              <w:rPr>
                <w:sz w:val="24"/>
                <w:szCs w:val="24"/>
                <w:color w:val="auto"/>
              </w:rPr>
            </w:pP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254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3 - 5 years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40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 (“CIP”)</w:t>
            </w:r>
          </w:p>
        </w:tc>
        <w:tc>
          <w:tcPr>
            <w:tcW w:w="25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40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and other equipment</w:t>
            </w: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3 - 5 years</w:t>
            </w:r>
          </w:p>
        </w:tc>
        <w:tc>
          <w:tcPr>
            <w:tcW w:w="40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Lesser of life or lease term</w:t>
            </w:r>
          </w:p>
        </w:tc>
        <w:tc>
          <w:tcPr>
            <w:tcW w:w="40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RECELL molds</w:t>
            </w:r>
          </w:p>
        </w:tc>
        <w:tc>
          <w:tcPr>
            <w:tcW w:w="2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40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RECELL GO RPD CIP</w:t>
            </w:r>
          </w:p>
        </w:tc>
        <w:tc>
          <w:tcPr>
            <w:tcW w:w="2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RECELL GO RPD</w:t>
            </w:r>
          </w:p>
        </w:tc>
        <w:tc>
          <w:tcPr>
            <w:tcW w:w="25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 - RPD</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 uses</w:t>
            </w:r>
          </w:p>
        </w:tc>
        <w:tc>
          <w:tcPr>
            <w:tcW w:w="40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 and depreciation</w:t>
            </w:r>
          </w:p>
        </w:tc>
        <w:tc>
          <w:tcPr>
            <w:tcW w:w="25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(4,257)</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(3,447)</w:t>
            </w:r>
          </w:p>
        </w:tc>
        <w:tc>
          <w:tcPr>
            <w:tcW w:w="0" w:type="dxa"/>
            <w:vAlign w:val="bottom"/>
          </w:tcPr>
          <w:p>
            <w:pPr>
              <w:spacing w:after="0"/>
              <w:rPr>
                <w:sz w:val="1"/>
                <w:szCs w:val="1"/>
                <w:color w:val="auto"/>
              </w:rPr>
            </w:pPr>
          </w:p>
        </w:tc>
      </w:tr>
      <w:tr>
        <w:trPr>
          <w:trHeight w:val="209"/>
        </w:trPr>
        <w:tc>
          <w:tcPr>
            <w:tcW w:w="4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plant and equipment, net</w:t>
            </w:r>
          </w:p>
        </w:tc>
        <w:tc>
          <w:tcPr>
            <w:tcW w:w="254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8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-170815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Construction in progress consists primarily of leasehold improvements, and RECELL GO RPD CIP consists of materials for the manufacture of the RPDs. RPDs have a useful life of 200 uses and are being amortized based on customer usage as determined by orders placed for the sales of the RPKs. RECELL GO RPD represents assets available to be leased by customers and are not depreciated until leased.</w:t>
      </w:r>
    </w:p>
    <w:p>
      <w:pPr>
        <w:spacing w:after="0" w:line="243"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Depreciation expense related to plant and equipment was $400,000 and $187,000 for the three-months ended June 30, 2025 and 2024, respectively, and $785,000 and $373,000 for the six-months ended June 30, 2025 and 2024, respectively. No impairment was recorded for the three and six-months ended June 30, 2025 and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Arrangements</w:t>
      </w:r>
    </w:p>
    <w:p>
      <w:pPr>
        <w:spacing w:after="0" w:line="27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As discussed in Note 5 to the Consolidated Financial Statements, the contracts for the RECELL GO device include an operating lease for the customer’s right to use the RPD. The lease arrangement does not contain fixed consideration. Variable lease payments are not included in the calculation of consideration at lease inception. The variable consideration related to the lease is allocated based on the SSP and is recognized when control of the RPKs is transferred to the customer.</w:t>
      </w:r>
    </w:p>
    <w:p>
      <w:pPr>
        <w:spacing w:after="0" w:line="180"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Lease revenue as presented in the Consolidated Statement of Operations for the three and six-months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382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80" w:type="dxa"/>
            <w:vAlign w:val="bottom"/>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Six-Months Ended</w:t>
            </w: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r>
      <w:tr>
        <w:trPr>
          <w:trHeight w:val="20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revenue</w:t>
            </w:r>
          </w:p>
        </w:tc>
        <w:tc>
          <w:tcPr>
            <w:tcW w:w="1600" w:type="dxa"/>
            <w:vAlign w:val="bottom"/>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40" w:type="dxa"/>
            <w:vAlign w:val="bottom"/>
            <w:gridSpan w:val="2"/>
            <w:shd w:val="clear" w:color="auto" w:fill="CFF0FC"/>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r>
      <w:tr>
        <w:trPr>
          <w:trHeight w:val="648"/>
        </w:trPr>
        <w:tc>
          <w:tcPr>
            <w:tcW w:w="3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gridSpan w:val="2"/>
          </w:tcPr>
          <w:p>
            <w:pPr>
              <w:jc w:val="right"/>
              <w:ind w:right="139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3" w:name="page24"/>
    <w:bookmarkEnd w:id="23"/>
    <w:p>
      <w:pPr>
        <w:ind w:left="760"/>
        <w:spacing w:after="0"/>
        <w:rPr>
          <w:sz w:val="20"/>
          <w:szCs w:val="20"/>
          <w:color w:val="auto"/>
        </w:rPr>
      </w:pPr>
      <w:r>
        <w:rPr>
          <w:rFonts w:ascii="Times New Roman" w:cs="Times New Roman" w:eastAsia="Times New Roman" w:hAnsi="Times New Roman"/>
          <w:sz w:val="18"/>
          <w:szCs w:val="18"/>
          <w:color w:val="auto"/>
        </w:rPr>
        <w:t>Assets held for lease and included in Plant and equipment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940" w:type="dxa"/>
            <w:vAlign w:val="bottom"/>
          </w:tcPr>
          <w:p>
            <w:pPr>
              <w:spacing w:after="0"/>
              <w:rPr>
                <w:sz w:val="18"/>
                <w:szCs w:val="18"/>
                <w:color w:val="auto"/>
              </w:rPr>
            </w:pPr>
          </w:p>
        </w:tc>
        <w:tc>
          <w:tcPr>
            <w:tcW w:w="2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18"/>
                <w:szCs w:val="18"/>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RPD assets</w:t>
            </w:r>
          </w:p>
        </w:tc>
        <w:tc>
          <w:tcPr>
            <w:tcW w:w="2320" w:type="dxa"/>
            <w:vAlign w:val="bottom"/>
            <w:shd w:val="clear" w:color="auto" w:fill="CFF0FC"/>
          </w:tcPr>
          <w:p>
            <w:pPr>
              <w:jc w:val="right"/>
              <w:ind w:right="2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3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460" w:type="dxa"/>
            <w:vAlign w:val="bottom"/>
          </w:tcPr>
          <w:p>
            <w:pPr>
              <w:spacing w:after="0"/>
              <w:rPr>
                <w:sz w:val="18"/>
                <w:szCs w:val="18"/>
                <w:color w:val="auto"/>
              </w:rPr>
            </w:pPr>
          </w:p>
        </w:tc>
        <w:tc>
          <w:tcPr>
            <w:tcW w:w="2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r>
      <w:tr>
        <w:trPr>
          <w:trHeight w:val="249"/>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rental RPD assets</w:t>
            </w:r>
          </w:p>
        </w:tc>
        <w:tc>
          <w:tcPr>
            <w:tcW w:w="2320" w:type="dxa"/>
            <w:vAlign w:val="bottom"/>
            <w:tcBorders>
              <w:top w:val="single" w:sz="8" w:color="auto"/>
              <w:bottom w:val="single" w:sz="8" w:color="auto"/>
            </w:tcBorders>
            <w:shd w:val="clear" w:color="auto" w:fill="CFF0FC"/>
          </w:tcPr>
          <w:p>
            <w:pPr>
              <w:jc w:val="right"/>
              <w:ind w:right="2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Reporting Segment and Geographic Information</w:t>
      </w:r>
    </w:p>
    <w:p>
      <w:pPr>
        <w:spacing w:after="0" w:line="22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Company views its operations and manages its business in one reporting segment. Long-lived assets are primarily located in the United States as of June 30, 2025 and December 31, 2024.</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Revenue by region for the three and six-months ended June 30, 2025 and 2024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80" w:type="dxa"/>
            <w:vAlign w:val="bottom"/>
            <w:gridSpan w:val="4"/>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Six-Months Ended</w:t>
            </w:r>
          </w:p>
        </w:tc>
      </w:tr>
      <w:tr>
        <w:trPr>
          <w:trHeight w:val="210"/>
        </w:trPr>
        <w:tc>
          <w:tcPr>
            <w:tcW w:w="33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r>
      <w:tr>
        <w:trPr>
          <w:trHeight w:val="20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by region:</w:t>
            </w: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17,896</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25,114</w:t>
            </w:r>
          </w:p>
        </w:tc>
        <w:tc>
          <w:tcPr>
            <w:tcW w:w="100" w:type="dxa"/>
            <w:vAlign w:val="bottom"/>
          </w:tcPr>
          <w:p>
            <w:pPr>
              <w:spacing w:after="0"/>
              <w:rPr>
                <w:sz w:val="18"/>
                <w:szCs w:val="18"/>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European Union</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r>
      <w:tr>
        <w:trPr>
          <w:trHeight w:val="22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36,932</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26,299</w:t>
            </w:r>
          </w:p>
        </w:tc>
        <w:tc>
          <w:tcPr>
            <w:tcW w:w="100" w:type="dxa"/>
            <w:vAlign w:val="bottom"/>
            <w:shd w:val="clear" w:color="auto" w:fill="CFF0FC"/>
          </w:tcPr>
          <w:p>
            <w:pPr>
              <w:spacing w:after="0"/>
              <w:rPr>
                <w:sz w:val="19"/>
                <w:szCs w:val="19"/>
                <w:color w:val="auto"/>
              </w:rPr>
            </w:pPr>
          </w:p>
        </w:tc>
      </w:tr>
      <w:tr>
        <w:trPr>
          <w:trHeight w:val="20"/>
        </w:trPr>
        <w:tc>
          <w:tcPr>
            <w:tcW w:w="33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-25400</wp:posOffset>
            </wp:positionV>
            <wp:extent cx="768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-8255</wp:posOffset>
            </wp:positionV>
            <wp:extent cx="768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Revenue by customer type for the three and six-months ended June 30, 2025 and 2024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80" w:type="dxa"/>
            <w:vAlign w:val="bottom"/>
            <w:gridSpan w:val="4"/>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Six-Months Ended</w:t>
            </w:r>
          </w:p>
        </w:tc>
      </w:tr>
      <w:tr>
        <w:trPr>
          <w:trHeight w:val="210"/>
        </w:trPr>
        <w:tc>
          <w:tcPr>
            <w:tcW w:w="33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r>
      <w:tr>
        <w:trPr>
          <w:trHeight w:val="21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by customer type:</w:t>
            </w: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Commercial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18,354</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100" w:type="dxa"/>
            <w:vAlign w:val="bottom"/>
          </w:tcPr>
          <w:p>
            <w:pPr>
              <w:spacing w:after="0"/>
              <w:rPr>
                <w:sz w:val="18"/>
                <w:szCs w:val="18"/>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commercial revenue recognized</w:t>
            </w: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BARDA revenue for right of first access</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r>
      <w:tr>
        <w:trPr>
          <w:trHeight w:val="22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36,932</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26,299</w:t>
            </w:r>
          </w:p>
        </w:tc>
        <w:tc>
          <w:tcPr>
            <w:tcW w:w="100" w:type="dxa"/>
            <w:vAlign w:val="bottom"/>
            <w:shd w:val="clear" w:color="auto" w:fill="CFF0FC"/>
          </w:tcPr>
          <w:p>
            <w:pPr>
              <w:spacing w:after="0"/>
              <w:rPr>
                <w:sz w:val="19"/>
                <w:szCs w:val="19"/>
                <w:color w:val="auto"/>
              </w:rPr>
            </w:pPr>
          </w:p>
        </w:tc>
      </w:tr>
      <w:tr>
        <w:trPr>
          <w:trHeight w:val="20"/>
        </w:trPr>
        <w:tc>
          <w:tcPr>
            <w:tcW w:w="33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-25400</wp:posOffset>
            </wp:positionV>
            <wp:extent cx="768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-8255</wp:posOffset>
            </wp:positionV>
            <wp:extent cx="768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-25400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Commercial revenue by product for the three and six-months ended June 30, 2025 and 2024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80" w:type="dxa"/>
            <w:vAlign w:val="bottom"/>
            <w:gridSpan w:val="4"/>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Six-Months Ended</w:t>
            </w:r>
          </w:p>
        </w:tc>
        <w:tc>
          <w:tcPr>
            <w:tcW w:w="0" w:type="dxa"/>
            <w:vAlign w:val="bottom"/>
          </w:tcPr>
          <w:p>
            <w:pPr>
              <w:spacing w:after="0"/>
              <w:rPr>
                <w:sz w:val="1"/>
                <w:szCs w:val="1"/>
                <w:color w:val="auto"/>
              </w:rPr>
            </w:pPr>
          </w:p>
        </w:tc>
      </w:tr>
      <w:tr>
        <w:trPr>
          <w:trHeight w:val="210"/>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Commercial revenue by product:</w:t>
            </w:r>
          </w:p>
        </w:tc>
        <w:tc>
          <w:tcPr>
            <w:tcW w:w="3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RECELL</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4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34,494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wound care products</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30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 commercial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18,354</w:t>
            </w:r>
          </w:p>
        </w:tc>
        <w:tc>
          <w:tcPr>
            <w:tcW w:w="1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36,804</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24</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-1079500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-1079500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-1079500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4" w:name="page25"/>
    <w:bookmarkEnd w:id="24"/>
    <w:p>
      <w:pPr>
        <w:ind w:left="760"/>
        <w:spacing w:after="0"/>
        <w:rPr>
          <w:sz w:val="20"/>
          <w:szCs w:val="20"/>
          <w:color w:val="auto"/>
        </w:rPr>
      </w:pPr>
      <w:r>
        <w:rPr>
          <w:rFonts w:ascii="Times New Roman" w:cs="Times New Roman" w:eastAsia="Times New Roman" w:hAnsi="Times New Roman"/>
          <w:sz w:val="18"/>
          <w:szCs w:val="18"/>
          <w:color w:val="auto"/>
        </w:rPr>
        <w:t>Consolidated net loss by segment for the three and six-months ended June 30, 2025 and 2024 were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5"/>
          </w:tcPr>
          <w:p>
            <w:pPr>
              <w:jc w:val="right"/>
              <w:ind w:right="1340"/>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5"/>
          </w:tcPr>
          <w:p>
            <w:pPr>
              <w:jc w:val="right"/>
              <w:ind w:right="1360"/>
              <w:spacing w:after="0"/>
              <w:rPr>
                <w:sz w:val="20"/>
                <w:szCs w:val="20"/>
                <w:color w:val="auto"/>
              </w:rPr>
            </w:pPr>
            <w:r>
              <w:rPr>
                <w:rFonts w:ascii="Times New Roman" w:cs="Times New Roman" w:eastAsia="Times New Roman" w:hAnsi="Times New Roman"/>
                <w:sz w:val="16"/>
                <w:szCs w:val="16"/>
                <w:b w:val="1"/>
                <w:bCs w:val="1"/>
                <w:color w:val="auto"/>
              </w:rPr>
              <w:t>Six-Months Ended</w:t>
            </w:r>
          </w:p>
        </w:tc>
      </w:tr>
      <w:tr>
        <w:trPr>
          <w:trHeight w:val="202"/>
        </w:trPr>
        <w:tc>
          <w:tcPr>
            <w:tcW w:w="2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7"/>
                <w:szCs w:val="17"/>
                <w:color w:val="auto"/>
              </w:rPr>
            </w:pPr>
          </w:p>
        </w:tc>
      </w:tr>
      <w:tr>
        <w:trPr>
          <w:trHeight w:val="209"/>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18,418</w:t>
            </w:r>
          </w:p>
        </w:tc>
        <w:tc>
          <w:tcPr>
            <w:tcW w:w="1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26,299</w:t>
            </w:r>
          </w:p>
        </w:tc>
        <w:tc>
          <w:tcPr>
            <w:tcW w:w="120" w:type="dxa"/>
            <w:vAlign w:val="bottom"/>
            <w:shd w:val="clear" w:color="auto" w:fill="CFF0FC"/>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inventory</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(3,277)</w:t>
            </w:r>
          </w:p>
        </w:tc>
        <w:tc>
          <w:tcPr>
            <w:tcW w:w="26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(5,775)</w:t>
            </w:r>
          </w:p>
        </w:tc>
        <w:tc>
          <w:tcPr>
            <w:tcW w:w="2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(3,078)</w:t>
            </w:r>
          </w:p>
        </w:tc>
      </w:tr>
      <w:tr>
        <w:trPr>
          <w:trHeight w:val="21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cost of sales</w:t>
            </w: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(528)</w:t>
            </w: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(546)</w:t>
            </w:r>
          </w:p>
        </w:tc>
      </w:tr>
      <w:tr>
        <w:trPr>
          <w:trHeight w:val="209"/>
        </w:trPr>
        <w:tc>
          <w:tcPr>
            <w:tcW w:w="2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14,949</w:t>
            </w: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30,629</w:t>
            </w:r>
          </w:p>
        </w:tc>
        <w:tc>
          <w:tcPr>
            <w:tcW w:w="1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22,675</w:t>
            </w:r>
          </w:p>
        </w:tc>
        <w:tc>
          <w:tcPr>
            <w:tcW w:w="120" w:type="dxa"/>
            <w:vAlign w:val="bottom"/>
            <w:tcBorders>
              <w:top w:val="single" w:sz="8" w:color="CFF0FC"/>
            </w:tcBorders>
          </w:tcPr>
          <w:p>
            <w:pPr>
              <w:spacing w:after="0"/>
              <w:rPr>
                <w:sz w:val="18"/>
                <w:szCs w:val="18"/>
                <w:color w:val="auto"/>
              </w:rPr>
            </w:pPr>
          </w:p>
        </w:tc>
      </w:tr>
      <w:tr>
        <w:trPr>
          <w:trHeight w:val="210"/>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(14,314)</w:t>
            </w:r>
          </w:p>
        </w:tc>
        <w:tc>
          <w:tcPr>
            <w:tcW w:w="26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(29,147)</w:t>
            </w:r>
          </w:p>
        </w:tc>
        <w:tc>
          <w:tcPr>
            <w:tcW w:w="2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(28,942)</w:t>
            </w:r>
          </w:p>
        </w:tc>
      </w:tr>
      <w:tr>
        <w:trPr>
          <w:trHeight w:val="21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(6,666)</w:t>
            </w:r>
          </w:p>
        </w:tc>
        <w:tc>
          <w:tcPr>
            <w:tcW w:w="2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(13,057)</w:t>
            </w: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(16,481)</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(5,117)</w:t>
            </w:r>
          </w:p>
        </w:tc>
        <w:tc>
          <w:tcPr>
            <w:tcW w:w="26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(11,400)</w:t>
            </w:r>
          </w:p>
        </w:tc>
        <w:tc>
          <w:tcPr>
            <w:tcW w:w="2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(10,081)</w:t>
            </w:r>
          </w:p>
        </w:tc>
      </w:tr>
      <w:tr>
        <w:trPr>
          <w:trHeight w:val="20"/>
        </w:trPr>
        <w:tc>
          <w:tcPr>
            <w:tcW w:w="2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(26,097)</w:t>
            </w:r>
          </w:p>
        </w:tc>
        <w:tc>
          <w:tcPr>
            <w:tcW w:w="2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(28,708)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(53,604)</w:t>
            </w: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(55,504)</w:t>
            </w:r>
          </w:p>
        </w:tc>
      </w:tr>
      <w:tr>
        <w:trPr>
          <w:trHeight w:val="20"/>
        </w:trPr>
        <w:tc>
          <w:tcPr>
            <w:tcW w:w="26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(11,148)</w:t>
            </w:r>
          </w:p>
        </w:tc>
        <w:tc>
          <w:tcPr>
            <w:tcW w:w="26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(22,975)</w:t>
            </w:r>
          </w:p>
        </w:tc>
        <w:tc>
          <w:tcPr>
            <w:tcW w:w="2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(32,829)</w:t>
            </w:r>
          </w:p>
        </w:tc>
      </w:tr>
      <w:tr>
        <w:trPr>
          <w:trHeight w:val="216"/>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(1,252)</w:t>
            </w:r>
          </w:p>
        </w:tc>
        <w:tc>
          <w:tcPr>
            <w:tcW w:w="2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(2,485)</w:t>
            </w: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(2,703)</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tcPr>
          <w:p>
            <w:pPr>
              <w:spacing w:after="0"/>
              <w:rPr>
                <w:sz w:val="18"/>
                <w:szCs w:val="18"/>
                <w:color w:val="auto"/>
              </w:rPr>
            </w:pPr>
          </w:p>
        </w:tc>
      </w:tr>
      <w:tr>
        <w:trPr>
          <w:trHeight w:val="210"/>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(9,916)</w:t>
            </w:r>
          </w:p>
        </w:tc>
        <w:tc>
          <w:tcPr>
            <w:tcW w:w="2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(15,360)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(23,767)</w:t>
            </w: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(33,988)</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2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(9,920)</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(15,393)</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(23,779)</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(34,051)</w:t>
            </w:r>
          </w:p>
        </w:tc>
      </w:tr>
      <w:tr>
        <w:trPr>
          <w:trHeight w:val="20"/>
        </w:trPr>
        <w:tc>
          <w:tcPr>
            <w:tcW w:w="26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-1722120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-1722120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-1722120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-1722120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-873760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-873760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-873760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-25400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8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Company is subject to certain contingencies arising in the ordinary course of business. The Company records accruals for these contingencies to the extent that a loss is both probable and reasonably estimable. If some amount within a range of loss appears more likely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June 30, 2025 and December 31, 2024, the Company did not have any outstanding or threatened litigation that would have a material impact on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with Stedical</w:t>
      </w:r>
    </w:p>
    <w:p>
      <w:pPr>
        <w:spacing w:after="0" w:line="229"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On January 26, 2024, the Company entered into the Distribution Agreement with Stedical. Under the terms of the Distribution Agreement, the Company held the exclusive rights to market, sell, and distribute PermeaDerm products, including any future enhancements or modifications, within the United States. The initial term is for five years, with the option to renew for an additional five years, contingent upon meeting certain minimum requirements.</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March 17, 2025, the Company and Stedical entered into an Amendment Two (the “Amendment”) of the Distribution Agreement. Under the terms of the Amendment, the Company’s share of revenue from PermeaDerm sales increased from 50% to 60% and Stedical becomes eligible for certain milestone payments conditioned upon AVITA Medical’s achievement of specified sales targets. For 2025, the Company is required to reach $6.0 million in gross sales of PermeaDerm. For every year thereafter, the Company must achieve a minimum 20% increase in revenue from sales of PermeaDerm. In the event the Company fails to achieve the specified growth rate for two subsequent years, the Company will be required to make a cash payment to Stedical equal to the difference between what Stedical would have received if that growth target had been met for that second year and the amount of payments that were made to Stedical during that second year. In addition, under the terms of the Amendment, Stedical’s share from the sale of PermeaDerm is reduced by the Company’s actual cost to manufacture PermeaDerm. The Amendment revises the initial term of the Distribution Agreement to ten years from the date of the Amendment.</w:t>
      </w:r>
    </w:p>
    <w:p>
      <w:pPr>
        <w:spacing w:after="0" w:line="188"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Simultaneously to entering into the Amendment, on March 17, 2025, the Company entered into the Manufacturing Agreement with Stedical to manufacture PermeaDerm in the United States for the purposes of (i) sale in the United States under the terms of the Distribution Agreement and (ii) sale to Stedical for sale or distribution outside of the United States. The initial term of the Manufacturing Agreement is for ten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Distribution Agreement with Regenity</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July 31, 2024, the Company entered into the Regenity Agreement to market, sell, and distribute Cohealyx, a unique collagen-based dermal matrix under the Company's private label in the U.S., with the potential to commercialize the product in countries in the European Union, as well as in Japan and Australia. The initial term of the Regenity Agreement is five years, with an automatic extension of an additional five years, contingent upon meeting certain criteria. The Regenity Agreement also requires the Company to meet certain revenue targets, which may be reduced by the amount of product purchased during a given year, in order to maintain its exclusive distribution rights. In the event the Company fails to meet those revenue targets, the Company will be required to make a cash payment to Regenity equal to the difference between what Regenity would have received if the revenue target was met and the amount of payments that were made to Regenity during the year.</w:t>
      </w:r>
    </w:p>
    <w:p>
      <w:pPr>
        <w:spacing w:after="0" w:line="189"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Regenity Agreement, the Company made a $2.0 million payment upon receipt of 510(k) clearance by Regenity in December 2024. The Company has a further obligation to make up to an additional $3.0 million payment on or before January 4, 2026 to guarantee development and manufacturing capacity (and related resources), contingent on positive results of certain clinical studies related to Cohealyx. As such, upon Regenity receiving 501(k) clearance in December 2024, the Company recorded $5.0 million in Intangible assets, net on the Consolidated Balance Sheets. As of June 30, 2025 and December 31, 2024, the Company recorded $3.0 million in Contingent liability and $3.0 million in Contingent liability, long-term, respectively, on the Consolidated Balance Sheets.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Common and Preferred Stock</w:t>
      </w:r>
    </w:p>
    <w:p>
      <w:pPr>
        <w:spacing w:after="0" w:line="229"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Company’s CHESS Depositary Interests (“CDIs”) are quoted on the ASX under the ticker code, “AVH.” The Company’s shares of Common stock are quoted on Nasdaq under the ticker code, “RCEL.” One share of Common stock on Nasdaq is equivalent to five CDIs on the ASX.</w:t>
      </w:r>
    </w:p>
    <w:p>
      <w:pPr>
        <w:spacing w:after="0" w:line="18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June 30, 2025 and December 31, 2024, 26,613,678 and 26,354,042 shares of Common stock, respectively, were issued and outstanding and no shares of Preferred stock were issued and outstanding during any period.</w:t>
      </w:r>
    </w:p>
    <w:p>
      <w:pPr>
        <w:spacing w:after="0" w:line="180"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Common stock held in the rabbi trust is classified in a manner similar to treasury stock and presented separately on the Consolidated Balance Sheets as Common stock held by the NQDC Plan. As of June 30, 2025 and December 31, 2024, a total of 125,276 and 244,218 shares awards have been deferred, respectively. Vested shares are converted to Common stock and are reclassified to permanent equity.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Payment Plans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On June 4, 2025, at the Company’s 2025 Annual Meeting of Stockholders (the “2025 Annual Meeting”), the Company’s stockholders approved an amendment to the 2020 Omnibus Incentive Plan, Amended and Restated (the “Amended and Restated Plan”) to increase the share reserve by an additional 2,500,000 shares of Common stock for a total of 6,750,000 shares of Common stock issuable under the Amended and Restated Plan. At the 2025 Annual Meeting, the Company’s stockholders also approved the issuance of 4,295 service only share options and 10,022 tenure-based RSUs to each of the Company’s six non-executive members of the Board of Directors, as well as the issuance of 520,000 service only share options to the CEO in accordance with ASX rules. These awards are subject to vesting conditions as denoted in the individual agreements.</w:t>
      </w:r>
    </w:p>
    <w:p>
      <w:pPr>
        <w:spacing w:after="0" w:line="187" w:lineRule="exact"/>
        <w:rPr>
          <w:sz w:val="20"/>
          <w:szCs w:val="20"/>
          <w:color w:val="auto"/>
        </w:rPr>
      </w:pPr>
    </w:p>
    <w:p>
      <w:pPr>
        <w:jc w:val="both"/>
        <w:ind w:right="120" w:firstLine="749"/>
        <w:spacing w:after="0" w:line="261" w:lineRule="auto"/>
        <w:rPr>
          <w:sz w:val="20"/>
          <w:szCs w:val="20"/>
          <w:color w:val="auto"/>
        </w:rPr>
      </w:pPr>
      <w:r>
        <w:rPr>
          <w:rFonts w:ascii="Times New Roman" w:cs="Times New Roman" w:eastAsia="Times New Roman" w:hAnsi="Times New Roman"/>
          <w:sz w:val="18"/>
          <w:szCs w:val="18"/>
          <w:color w:val="auto"/>
        </w:rPr>
        <w:t>In June 2023, the stockholders approved the Company’s Employee Stock Purchase Plan (the “ESPP”), which became effective on July 1, 2023. On June 30, 2023, the Company filed a Registration Statement on Form S-8 to register 1,000,000 shares of Common stock under the ESPP, as a result of the Company’s stockholders approving the ESPP at the 2023 Annual Meeting. The ESPP features two six-month offering periods per year, running from June 1 to November 30 and December 1 to May 31.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Payment Expenses</w:t>
      </w:r>
    </w:p>
    <w:p>
      <w:pPr>
        <w:spacing w:after="0" w:line="229"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Stock-based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ASU 2016-09</w:t>
      </w:r>
      <w:r>
        <w:rPr>
          <w:rFonts w:ascii="Times New Roman" w:cs="Times New Roman" w:eastAsia="Times New Roman" w:hAnsi="Times New Roman"/>
          <w:sz w:val="18"/>
          <w:szCs w:val="18"/>
          <w:i w:val="1"/>
          <w:iCs w:val="1"/>
          <w:color w:val="auto"/>
        </w:rPr>
        <w:t>, Simplifying the Accounting for Share-Based Payment.</w:t>
      </w:r>
      <w:r>
        <w:rPr>
          <w:rFonts w:ascii="Times New Roman" w:cs="Times New Roman" w:eastAsia="Times New Roman" w:hAnsi="Times New Roman"/>
          <w:sz w:val="18"/>
          <w:szCs w:val="18"/>
          <w:color w:val="auto"/>
        </w:rPr>
        <w:t xml:space="preserve"> No income tax benefit was recognized in the Consolidated Statements of Operations for stock-based payment arrangements for the three-months ended June 30, 2025 and 2024.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6" w:name="page27"/>
    <w:bookmarkEnd w:id="26"/>
    <w:p>
      <w:pPr>
        <w:ind w:right="800" w:firstLine="749"/>
        <w:spacing w:after="0" w:line="282" w:lineRule="auto"/>
        <w:rPr>
          <w:sz w:val="20"/>
          <w:szCs w:val="20"/>
          <w:color w:val="auto"/>
        </w:rPr>
      </w:pPr>
      <w:r>
        <w:rPr>
          <w:rFonts w:ascii="Times New Roman" w:cs="Times New Roman" w:eastAsia="Times New Roman" w:hAnsi="Times New Roman"/>
          <w:sz w:val="18"/>
          <w:szCs w:val="18"/>
          <w:color w:val="auto"/>
        </w:rPr>
        <w:t>The Company has included stock-based compensation expense for all equity awards and the ESPP as part of operating expenses in the accompanying Consolidated Statements of Operations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37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Six-Months Ended</w:t>
            </w:r>
          </w:p>
        </w:tc>
      </w:tr>
      <w:tr>
        <w:trPr>
          <w:trHeight w:val="209"/>
        </w:trPr>
        <w:tc>
          <w:tcPr>
            <w:tcW w:w="338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r>
      <w:tr>
        <w:trPr>
          <w:trHeight w:val="21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580" w:type="dxa"/>
            <w:vAlign w:val="bottom"/>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70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Pr>
          <w:p>
            <w:pPr>
              <w:spacing w:after="0"/>
              <w:rPr>
                <w:sz w:val="18"/>
                <w:szCs w:val="18"/>
                <w:color w:val="auto"/>
              </w:rPr>
            </w:pPr>
          </w:p>
        </w:tc>
      </w:tr>
      <w:tr>
        <w:trPr>
          <w:trHeight w:val="216"/>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700" w:type="dxa"/>
            <w:vAlign w:val="bottom"/>
            <w:gridSpan w:val="2"/>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-170815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share option activity as of June 30, 2025, and changes during the period ended,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Service Only Share Options</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Performance-Based</w:t>
            </w:r>
          </w:p>
        </w:tc>
        <w:tc>
          <w:tcPr>
            <w:tcW w:w="20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 Share Options</w:t>
            </w:r>
          </w:p>
        </w:tc>
        <w:tc>
          <w:tcPr>
            <w:tcW w:w="0" w:type="dxa"/>
            <w:vAlign w:val="bottom"/>
          </w:tcPr>
          <w:p>
            <w:pPr>
              <w:spacing w:after="0"/>
              <w:rPr>
                <w:sz w:val="1"/>
                <w:szCs w:val="1"/>
                <w:color w:val="auto"/>
              </w:rPr>
            </w:pPr>
          </w:p>
        </w:tc>
      </w:tr>
      <w:tr>
        <w:trPr>
          <w:trHeight w:val="130"/>
        </w:trPr>
        <w:tc>
          <w:tcPr>
            <w:tcW w:w="494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Options</w:t>
            </w:r>
          </w:p>
        </w:tc>
        <w:tc>
          <w:tcPr>
            <w:tcW w:w="120" w:type="dxa"/>
            <w:vAlign w:val="bottom"/>
            <w:vMerge w:val="restart"/>
          </w:tcPr>
          <w:p>
            <w:pPr>
              <w:spacing w:after="0"/>
              <w:rPr>
                <w:sz w:val="11"/>
                <w:szCs w:val="11"/>
                <w:color w:val="auto"/>
              </w:rPr>
            </w:pPr>
          </w:p>
        </w:tc>
        <w:tc>
          <w:tcPr>
            <w:tcW w:w="2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940" w:type="dxa"/>
            <w:vAlign w:val="bottom"/>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Borders>
              <w:bottom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shares at December 31, 2024</w:t>
            </w:r>
          </w:p>
        </w:tc>
        <w:tc>
          <w:tcPr>
            <w:tcW w:w="2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3,349,037</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191,171</w:t>
            </w:r>
          </w:p>
        </w:tc>
        <w:tc>
          <w:tcPr>
            <w:tcW w:w="2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3,540,208</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1,920,770</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1,920,770</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(54,667)</w:t>
            </w: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(13,458)</w:t>
            </w:r>
          </w:p>
        </w:tc>
        <w:tc>
          <w:tcPr>
            <w:tcW w:w="2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(68,125)</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2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(117,571)</w:t>
            </w: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(5,824)</w:t>
            </w:r>
          </w:p>
        </w:tc>
        <w:tc>
          <w:tcPr>
            <w:tcW w:w="2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(123,395)</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2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(118,894)</w:t>
            </w: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(588)</w:t>
            </w:r>
          </w:p>
        </w:tc>
        <w:tc>
          <w:tcPr>
            <w:tcW w:w="2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(119,482)</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shares at June 30, 2025</w:t>
            </w: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4,978,675</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171,301</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5,149,976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June 30, 2025</w:t>
            </w:r>
          </w:p>
        </w:tc>
        <w:tc>
          <w:tcPr>
            <w:tcW w:w="23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1,590,825</w:t>
            </w:r>
          </w:p>
        </w:tc>
        <w:tc>
          <w:tcPr>
            <w:tcW w:w="19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155,899</w:t>
            </w:r>
          </w:p>
        </w:tc>
        <w:tc>
          <w:tcPr>
            <w:tcW w:w="20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1,746,724</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 June 30, 2025</w:t>
            </w: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4,978,675</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171,301</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5,149,976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-456565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-456565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the status of the Company’s unvested RSUs as of June 30, 2025, and changes that occurred during the period,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Unvested Shares</w:t>
            </w:r>
          </w:p>
        </w:tc>
        <w:tc>
          <w:tcPr>
            <w:tcW w:w="2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Tenure-Based RSUs</w:t>
            </w:r>
          </w:p>
        </w:tc>
        <w:tc>
          <w:tcPr>
            <w:tcW w:w="120" w:type="dxa"/>
            <w:vAlign w:val="bottom"/>
          </w:tcPr>
          <w:p>
            <w:pPr>
              <w:spacing w:after="0"/>
              <w:rPr>
                <w:sz w:val="20"/>
                <w:szCs w:val="20"/>
                <w:color w:val="auto"/>
              </w:rPr>
            </w:pPr>
          </w:p>
        </w:tc>
        <w:tc>
          <w:tcPr>
            <w:tcW w:w="1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Condition RSUs</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 RSUs</w:t>
            </w:r>
          </w:p>
        </w:tc>
        <w:tc>
          <w:tcPr>
            <w:tcW w:w="100" w:type="dxa"/>
            <w:vAlign w:val="bottom"/>
          </w:tcPr>
          <w:p>
            <w:pPr>
              <w:spacing w:after="0"/>
              <w:rPr>
                <w:sz w:val="20"/>
                <w:szCs w:val="20"/>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at December 31, 2024</w:t>
            </w:r>
          </w:p>
        </w:tc>
        <w:tc>
          <w:tcPr>
            <w:tcW w:w="2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109,315</w:t>
            </w:r>
          </w:p>
        </w:tc>
        <w:tc>
          <w:tcPr>
            <w:tcW w:w="2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7,881</w:t>
            </w:r>
          </w:p>
        </w:tc>
        <w:tc>
          <w:tcPr>
            <w:tcW w:w="2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117,196</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60,132</w:t>
            </w: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60,132</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2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(74,099)</w:t>
            </w:r>
          </w:p>
        </w:tc>
        <w:tc>
          <w:tcPr>
            <w:tcW w:w="2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(2,625)</w:t>
            </w:r>
          </w:p>
        </w:tc>
        <w:tc>
          <w:tcPr>
            <w:tcW w:w="2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(76,724)</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(1,100)</w:t>
            </w: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(1,100)</w:t>
            </w:r>
          </w:p>
        </w:tc>
      </w:tr>
      <w:tr>
        <w:trPr>
          <w:trHeight w:val="249"/>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at June 30, 2025</w:t>
            </w:r>
          </w:p>
        </w:tc>
        <w:tc>
          <w:tcPr>
            <w:tcW w:w="2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94,248</w:t>
            </w:r>
          </w:p>
        </w:tc>
        <w:tc>
          <w:tcPr>
            <w:tcW w:w="120" w:type="dxa"/>
            <w:vAlign w:val="bottom"/>
            <w:tcBorders>
              <w:bottom w:val="single" w:sz="8" w:color="CFF0FC"/>
            </w:tcBorders>
            <w:shd w:val="clear" w:color="auto" w:fill="CFF0FC"/>
          </w:tcPr>
          <w:p>
            <w:pPr>
              <w:spacing w:after="0"/>
              <w:rPr>
                <w:sz w:val="21"/>
                <w:szCs w:val="21"/>
                <w:color w:val="auto"/>
              </w:rPr>
            </w:pP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00" w:type="dxa"/>
            <w:vAlign w:val="bottom"/>
            <w:tcBorders>
              <w:bottom w:val="single" w:sz="8" w:color="CFF0FC"/>
            </w:tcBorders>
            <w:shd w:val="clear" w:color="auto" w:fill="CFF0FC"/>
          </w:tcPr>
          <w:p>
            <w:pPr>
              <w:spacing w:after="0"/>
              <w:rPr>
                <w:sz w:val="21"/>
                <w:szCs w:val="21"/>
                <w:color w:val="auto"/>
              </w:rPr>
            </w:pP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-25400</wp:posOffset>
            </wp:positionV>
            <wp:extent cx="774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774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56"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Tax expense for the three-months ended June 30, 2025 and 2024 was $4,000 and $33,000, respectively. Tax expense for the six-months ended June 30, 2025 and 2024 was $12,000 and $63,000, respectively. These amounts are related to state minimum taxes.</w:t>
      </w:r>
    </w:p>
    <w:p>
      <w:pPr>
        <w:spacing w:after="0" w:line="162"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The OBBBA makes significant U.S. tax law changes and modifications, including accelerated tax deductions for qualified property and domestic research expenditures, and business interest expense limitations. The Company is assessing the impact of the OBBBA to its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8"/>
          </w:tcPr>
          <w:p>
            <w:pPr>
              <w:ind w:left="760"/>
              <w:spacing w:after="0"/>
              <w:rPr>
                <w:sz w:val="20"/>
                <w:szCs w:val="20"/>
                <w:color w:val="auto"/>
              </w:rPr>
            </w:pPr>
            <w:r>
              <w:rPr>
                <w:rFonts w:ascii="Times New Roman" w:cs="Times New Roman" w:eastAsia="Times New Roman" w:hAnsi="Times New Roman"/>
                <w:sz w:val="18"/>
                <w:szCs w:val="18"/>
                <w:color w:val="auto"/>
              </w:rPr>
              <w:t>The following is a reconciliation of the basic and diluted loss per share computations: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Six-Months Ended</w:t>
            </w:r>
          </w:p>
        </w:tc>
        <w:tc>
          <w:tcPr>
            <w:tcW w:w="0" w:type="dxa"/>
            <w:vAlign w:val="bottom"/>
          </w:tcPr>
          <w:p>
            <w:pPr>
              <w:spacing w:after="0"/>
              <w:rPr>
                <w:sz w:val="1"/>
                <w:szCs w:val="1"/>
                <w:color w:val="auto"/>
              </w:rPr>
            </w:pPr>
          </w:p>
        </w:tc>
      </w:tr>
      <w:tr>
        <w:trPr>
          <w:trHeight w:val="209"/>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(9,920)</w:t>
            </w: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(15,393)</w:t>
            </w: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(23,779)</w:t>
            </w: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(34,051)</w:t>
            </w:r>
          </w:p>
        </w:tc>
        <w:tc>
          <w:tcPr>
            <w:tcW w:w="0" w:type="dxa"/>
            <w:vAlign w:val="bottom"/>
          </w:tcPr>
          <w:p>
            <w:pPr>
              <w:spacing w:after="0"/>
              <w:rPr>
                <w:sz w:val="1"/>
                <w:szCs w:val="1"/>
                <w:color w:val="auto"/>
              </w:rPr>
            </w:pPr>
          </w:p>
        </w:tc>
      </w:tr>
      <w:tr>
        <w:trPr>
          <w:trHeight w:val="198"/>
        </w:trPr>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shares—outstanding, basic and</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(0.38)</w:t>
            </w: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(0.60)</w:t>
            </w: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3940" w:type="dxa"/>
            <w:vAlign w:val="bottom"/>
            <w:gridSpan w:val="3"/>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100" w:type="dxa"/>
            <w:vAlign w:val="bottom"/>
          </w:tcPr>
          <w:p>
            <w:pPr>
              <w:spacing w:after="0"/>
              <w:rPr>
                <w:sz w:val="20"/>
                <w:szCs w:val="20"/>
                <w:color w:val="auto"/>
              </w:rPr>
            </w:pPr>
          </w:p>
        </w:tc>
        <w:tc>
          <w:tcPr>
            <w:tcW w:w="4000" w:type="dxa"/>
            <w:vAlign w:val="bottom"/>
            <w:gridSpan w:val="4"/>
          </w:tcPr>
          <w:p>
            <w:pPr>
              <w:ind w:left="1220"/>
              <w:spacing w:after="0"/>
              <w:rPr>
                <w:sz w:val="20"/>
                <w:szCs w:val="20"/>
                <w:color w:val="auto"/>
              </w:rPr>
            </w:pPr>
            <w:r>
              <w:rPr>
                <w:rFonts w:ascii="Times New Roman" w:cs="Times New Roman" w:eastAsia="Times New Roman" w:hAnsi="Times New Roman"/>
                <w:sz w:val="18"/>
                <w:szCs w:val="18"/>
                <w:b w:val="1"/>
                <w:bCs w:val="1"/>
                <w:color w:val="auto"/>
              </w:rPr>
              <w:t>Six-Months Ended</w:t>
            </w:r>
          </w:p>
        </w:tc>
      </w:tr>
      <w:tr>
        <w:trPr>
          <w:trHeight w:val="209"/>
        </w:trPr>
        <w:tc>
          <w:tcPr>
            <w:tcW w:w="3200" w:type="dxa"/>
            <w:vAlign w:val="bottom"/>
          </w:tcPr>
          <w:p>
            <w:pPr>
              <w:spacing w:after="0"/>
              <w:rPr>
                <w:sz w:val="18"/>
                <w:szCs w:val="18"/>
                <w:color w:val="auto"/>
              </w:rPr>
            </w:pPr>
          </w:p>
        </w:tc>
        <w:tc>
          <w:tcPr>
            <w:tcW w:w="19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Borders>
              <w:top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c>
          <w:tcPr>
            <w:tcW w:w="18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Borders>
              <w:top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r>
      <w:tr>
        <w:trPr>
          <w:trHeight w:val="191"/>
        </w:trPr>
        <w:tc>
          <w:tcPr>
            <w:tcW w:w="32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Anti-dilutive shares excluded from diluted</w:t>
            </w:r>
          </w:p>
        </w:tc>
        <w:tc>
          <w:tcPr>
            <w:tcW w:w="1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5,149,976</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3,843,029</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5,149,976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3,843,029</w:t>
            </w: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99,504</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214,310</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99,504</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214,310</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58,959</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100,895</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58,959</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100,895</w:t>
            </w: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554,841</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409,661</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554,841</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409,661</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 xml:space="preserve">The Company’s basic net loss per share is calculated by dividing the net loss by the weighted-average number of shares of common stock outstanding for the relevant period. In accordance with ASC 710-10, </w:t>
      </w:r>
      <w:r>
        <w:rPr>
          <w:rFonts w:ascii="Times New Roman" w:cs="Times New Roman" w:eastAsia="Times New Roman" w:hAnsi="Times New Roman"/>
          <w:sz w:val="18"/>
          <w:szCs w:val="18"/>
          <w:i w:val="1"/>
          <w:iCs w:val="1"/>
          <w:color w:val="auto"/>
        </w:rPr>
        <w:t>Compensation - General</w:t>
      </w:r>
      <w:r>
        <w:rPr>
          <w:rFonts w:ascii="Times New Roman" w:cs="Times New Roman" w:eastAsia="Times New Roman" w:hAnsi="Times New Roman"/>
          <w:sz w:val="18"/>
          <w:szCs w:val="18"/>
          <w:color w:val="auto"/>
        </w:rPr>
        <w:t>, 125,276 shares of Common stock held by the rabbi trust are excluded from the denominator in the basic and diluted net loss per common share calculations.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 and six-months ended June 30, 2025 and 2024, diluted net loss per common share is the same as the basic net loss per share for those periods.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5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Subsequent to June 30, 2025, on August 7, 2025, the Company entered into a fifth amendment to the Credit Agreement (the “Fifth Amendment”), which amended the trailing 12-month revenue covenant to $73.0 million for the quarter ending September 30, 2025, to $77.0 million for the quarter ending December 31, 2025, to $90.0 million for the quarter ending March 31, 2026, and to $103.0 million for the quarter ending June 30, 2026. The $115.0 million revenue covenant for all subsequent quarters through the date of debt maturity remains in effect. In consideration for the amended covenants in the Fifth Amendment, the Company issued to the Lender 400,000 shares of its common stock.</w:t>
      </w:r>
    </w:p>
    <w:p>
      <w:pPr>
        <w:spacing w:after="0" w:line="183"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filing of this Quarterly Report on Form 10-Q and determined that except as disclosed below, no events have occurred that would require adjustment to, or disclosures in, the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AVITA Medical, Inc.’s (“we”, “our”, “us”) financial condition and results of operations should be read in conjunction with our unaudited Consolidated Financial Statements and related notes appearing elsewhere in this Quarterly Report on Form 10-Q.</w:t>
      </w:r>
    </w:p>
    <w:p>
      <w:pPr>
        <w:spacing w:after="0" w:line="158"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Our actual results and the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they may not be predictive of results, conditions, or developments in future periods.</w:t>
      </w:r>
    </w:p>
    <w:p>
      <w:pPr>
        <w:spacing w:after="0" w:line="182" w:lineRule="exact"/>
        <w:rPr>
          <w:sz w:val="20"/>
          <w:szCs w:val="20"/>
          <w:color w:val="auto"/>
        </w:rPr>
      </w:pPr>
    </w:p>
    <w:p>
      <w:pPr>
        <w:ind w:right="30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information and any forward-looking statements should be considered in light of factors discussed elsewhere in this Quarterly Report on Form 10-Q, including those risks referenced under Part II, Item 1A, “Risk Factors.”</w:t>
      </w:r>
    </w:p>
    <w:p>
      <w:pPr>
        <w:spacing w:after="0" w:line="158"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and regulations of the Securities and Exchange Commission (the “SEC”) and the Australian Securities and Investments Commission (the “ASIC”), to publicly update or revise any such statements to reflect any change in our expectations or in events, conditions or circumstances under which any such statements may be based, or that may affect the likelihood that actual results will differ from those set forth in the forward-looking statements.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Please see “Note Regarding Forward-Looking Statements” on page 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749"/>
        <w:spacing w:after="0" w:line="230" w:lineRule="auto"/>
        <w:rPr>
          <w:sz w:val="20"/>
          <w:szCs w:val="20"/>
          <w:color w:val="auto"/>
        </w:rPr>
      </w:pPr>
      <w:r>
        <w:rPr>
          <w:rFonts w:ascii="Times New Roman" w:cs="Times New Roman" w:eastAsia="Times New Roman" w:hAnsi="Times New Roman"/>
          <w:sz w:val="18"/>
          <w:szCs w:val="18"/>
          <w:color w:val="auto"/>
        </w:rPr>
        <w:t>We are a leading therapeutic acute wound care company delivering transformative solutions. Our technologies are designed to optimize wound healing, effectively accelerating the time to patient recovery. Our solutions improve the healing outcomes for patients with traumatic injuries and surgical repairs, addressing critical healing needs that arise from unpredictable and life-changing events. At the forefront of our portfolio is our patented and proprietary RECELL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System (“RECELL System” or “RECELL”), approved by the U.S. Food &amp; Drug Administration (the “FDA”) for the treatment of thermal burn wounds and full-thickness skin defects. RECELL harnesses the healing properties of a patient’s own skin to create an autologous skin cell suspension, Spray-On Skin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Cells, offering an innovative solution for improved clinical outcomes at the point of care. In the United States, we also hold the rights to market, sell, manufacture, and distribute PermeaDerm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biosynthetic wound matrix, under the terms of exclusive multi-year distribution and contract manufacturing agreements with Stedical Scientific, Inc. (“Stedical”). We also entered into an exclusive multi-year development and distribution agreement with Collagen Matrix, Inc. dba Regenity Biosciences (“Regenity”). Regenity will manufacture and supply Cohealyx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 AVITA Medical-branded, FDA-cleared, collagen-based dermal matrix. Under the agreement with Regenity, we will hold the exclusive rights to market, sell, and distribute Cohealyx in the U.S., with potential expansion into the European Union, Australia, and Japan.</w:t>
      </w:r>
    </w:p>
    <w:p>
      <w:pPr>
        <w:spacing w:after="0" w:line="200" w:lineRule="exact"/>
        <w:rPr>
          <w:sz w:val="20"/>
          <w:szCs w:val="20"/>
          <w:color w:val="auto"/>
        </w:rPr>
      </w:pPr>
    </w:p>
    <w:p>
      <w:pPr>
        <w:ind w:firstLine="749"/>
        <w:spacing w:after="0" w:line="230" w:lineRule="auto"/>
        <w:rPr>
          <w:sz w:val="20"/>
          <w:szCs w:val="20"/>
          <w:color w:val="auto"/>
        </w:rPr>
      </w:pPr>
      <w:r>
        <w:rPr>
          <w:rFonts w:ascii="Times New Roman" w:cs="Times New Roman" w:eastAsia="Times New Roman" w:hAnsi="Times New Roman"/>
          <w:sz w:val="18"/>
          <w:szCs w:val="18"/>
          <w:color w:val="auto"/>
        </w:rPr>
        <w:t>The single-use RECELL Autologous Cell Harvesting Device (“RECELL Ease-of-Use” or “RECELL EOU”) is approved by the FDA for the treatment of thermal burn wounds and full-thickness skin defects. Our next-generation device, RECELL 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Autologous Cell Harvesting Device (“RECELL GO”), is FDA-approved to treat thermal burn wounds and full-thickness skin defects. RECELL GO introduces enhanced features that improve consistency and standardization across clinical settings. It consists of two components: the RECELL GO Processing Device (the “RPD”) and the RECELL GO Preparation Kit (the “RPK”). The RPD is a multi-use, AC-powered device that controls the RPK. The RPK contains a single-use cartridge and the RECELL Enzyme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RPD regulates the pressure applied to disaggregate the cells and precisely controls the incubation time of the RECELL Enzyme to optimize cell yield and promote cell viability. RECELL GO mini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Autologous Cell Harvesting Device (“RECELL GO mini”), which was approved by the FDA in December 2024, is a line extension of RECELL GO, designed specifically to treat smaller wounds up to 480 cm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It utilizes the same RPD but features a RECELL GO mini Preparation Kit, which includes a single-use RECELL GO mini cartridge optimized for smaller skin samples. These modifications are intended to align with the needs of clinicians treating smaller wounds, and to support broader adoption of the RECELL GO platform in trauma centers.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29" w:name="page30"/>
    <w:bookmarkEnd w:id="29"/>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To further our mission of improving clinical outcomes and establishing new standards of acute wound care, we have outlined the following strategic objectives:</w:t>
      </w:r>
    </w:p>
    <w:p>
      <w:pPr>
        <w:spacing w:after="0" w:line="94" w:lineRule="exact"/>
        <w:rPr>
          <w:sz w:val="20"/>
          <w:szCs w:val="20"/>
          <w:color w:val="auto"/>
        </w:rPr>
      </w:pPr>
    </w:p>
    <w:p>
      <w:pPr>
        <w:ind w:left="1020" w:right="3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market penetration in U.S. burn centers, positioning the RECELL portfolio as the standard of care in burn management through communication of clinical benefits, including reduction in length of stay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adoption of the RECELL portfolio for the treatment of traumatic and surgical wounds throughout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adoption of RECELL GO mini in trauma and burn centers treating smaller wounds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adoption of Cohealyx after full commercial launch on April 1,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 post-market study of Cohealyx in 2025 to develop clinical data to further support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 post-market study of PermeaDerm in 2025 to develop clinical data to further support commercialization</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CE mark for RECELL GO, allowing us to commercialize in the European Union, the U.K., and Australia under our distribution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commercial revenue growth, generate positive cash flow, and achieve operating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additional business development opportunities complementary to our target markets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 and Current Trends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reimbursement rates and coverage policy by third party payors may place additional financial pressure on</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hospitals and the broader healthcare system. </w:t>
      </w:r>
      <w:r>
        <w:rPr>
          <w:rFonts w:ascii="Times New Roman" w:cs="Times New Roman" w:eastAsia="Times New Roman" w:hAnsi="Times New Roman"/>
          <w:sz w:val="18"/>
          <w:szCs w:val="18"/>
          <w:color w:val="212121"/>
        </w:rPr>
        <w:t>These changes could reduce demand for our products, particularly if healthcare providers face lower margins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or additional administrative burdens. While we believe this issue contributed to a decline in demand for the RECELL System during the first half of the year, recent advocacy efforts are progressing towards a complete resolution which is expected to drive revenue recovery in the second half of 2025.</w:t>
      </w:r>
    </w:p>
    <w:p>
      <w:pPr>
        <w:spacing w:after="0" w:line="186"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macroeconomic environment may have unexpected adverse effects on businesses and healthcare institutions globally that may negatively impact our consolidated operating results. There remains significant uncertainty in the current macroeconomic environment due to factors including supply chain shortages, increased cost of healthcare, changes to inflation rates, a competitive labor market, tariffs, and other related global economic conditions and geopolitical conditions. If these conditions continue or worsen, they could adversely impact our future operating results.</w:t>
      </w:r>
    </w:p>
    <w:p>
      <w:pPr>
        <w:spacing w:after="0" w:line="180" w:lineRule="exact"/>
        <w:rPr>
          <w:sz w:val="20"/>
          <w:szCs w:val="20"/>
          <w:color w:val="auto"/>
        </w:rPr>
      </w:pPr>
    </w:p>
    <w:p>
      <w:pPr>
        <w:ind w:right="560" w:firstLine="749"/>
        <w:spacing w:after="0" w:line="266" w:lineRule="auto"/>
        <w:rPr>
          <w:sz w:val="20"/>
          <w:szCs w:val="20"/>
          <w:color w:val="auto"/>
        </w:rPr>
      </w:pPr>
      <w:r>
        <w:rPr>
          <w:rFonts w:ascii="Times New Roman" w:cs="Times New Roman" w:eastAsia="Times New Roman" w:hAnsi="Times New Roman"/>
          <w:sz w:val="18"/>
          <w:szCs w:val="18"/>
          <w:color w:val="auto"/>
        </w:rPr>
        <w:t>Geopolitical conditions may also impact our operations. Although we do not have operations in Russia, Ukraine or the Middle East, the continuation of the military conflicts in these regions and/or an escalation of the conflicts beyond their current scope may further weaken the global economy that could result in additional inflationary pressures or supply chain constraints.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9"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On April 1, 2025, we initiated a full commercial launch of Cohealyx, a collagen-based dermal matrix branded by AVITA Medical and co-developed with Regenity. Cohealyx is designed to support cellular migration and revascularization, advancing readiness for wound bed closure. In pre-clinical and initial clinical utilization, Cohealyx is integrated into the wound bed as early as seven days.</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Cohealyx expands our therapeutic wound care portfolio, complementing our flagship product, the RECELL System, which is FDA-approved for the treatment of thermal burns and traumatic and surgical wounds, and our PermeaDerm product, a temporary biosynthetic dressing used to support healing before and after grafting. These products support the two-stage standard of care for full-thickness wounds. Cohealyx is used as a dermal matrix to manage the wound bed. RECELL Spray-On Skin Cells and wound protection with PermeaDerm provide solutions for definitive closure. This integrated approach may improve clinical outcomes and expands our market opportunity.</w:t>
      </w:r>
    </w:p>
    <w:p>
      <w:pPr>
        <w:spacing w:after="0" w:line="183"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The post-market study, TONE, and the health care economics study, both related to our vitiligo initiative were published during the first quarter of 2025. However, the reimbursement environment for vitiligo remains challenging and uncertain. As a consequence, we are pausing further investment in vitiligo.</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three-months ended June 30, 2025 compared to the three-months ended June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table below summarizes the results of our operations for each of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80" w:type="dxa"/>
            <w:vAlign w:val="bottom"/>
            <w:gridSpan w:val="5"/>
          </w:tcPr>
          <w:p>
            <w:pPr>
              <w:jc w:val="right"/>
              <w:ind w:right="1580"/>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14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vMerge w:val="restart"/>
          </w:tcPr>
          <w:p>
            <w:pPr>
              <w:spacing w:after="0"/>
              <w:rPr>
                <w:sz w:val="18"/>
                <w:szCs w:val="18"/>
                <w:color w:val="auto"/>
              </w:rPr>
            </w:pPr>
          </w:p>
        </w:tc>
        <w:tc>
          <w:tcPr>
            <w:tcW w:w="1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Sales revenue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revenue</w:t>
            </w: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(3,469)</w:t>
            </w:r>
          </w:p>
        </w:tc>
        <w:tc>
          <w:tcPr>
            <w:tcW w:w="30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(2,111)</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(1,358)</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14,949</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2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(14,314)</w:t>
            </w:r>
          </w:p>
        </w:tc>
        <w:tc>
          <w:tcPr>
            <w:tcW w:w="3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(16,302)</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(6,666)</w:t>
            </w:r>
          </w:p>
        </w:tc>
        <w:tc>
          <w:tcPr>
            <w:tcW w:w="30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(7,519)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(5,117)</w:t>
            </w:r>
          </w:p>
        </w:tc>
        <w:tc>
          <w:tcPr>
            <w:tcW w:w="3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(4,887)</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(230)</w:t>
            </w: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(26,097)</w:t>
            </w:r>
          </w:p>
        </w:tc>
        <w:tc>
          <w:tcPr>
            <w:tcW w:w="30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(28,708)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2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(11,148)</w:t>
            </w:r>
          </w:p>
        </w:tc>
        <w:tc>
          <w:tcPr>
            <w:tcW w:w="3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(15,624)</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(1,252)</w:t>
            </w:r>
          </w:p>
        </w:tc>
        <w:tc>
          <w:tcPr>
            <w:tcW w:w="30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(9,916)</w:t>
            </w:r>
          </w:p>
        </w:tc>
        <w:tc>
          <w:tcPr>
            <w:tcW w:w="30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(15,360)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2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(15,393)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2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-1713865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-1713865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-1156970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-1156970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-591185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-591185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-307975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-307975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Total revenues increased by 21%, or $3.2 million, to $18.4 million, compared to $15.2 million in the same period in the prior year. The growth in commercial revenues was largely driven by deeper penetration within customer accounts, new accounts for the treatment of traumatic and surgical wounds and, to a lesser extent, new product launches.</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Gross profit margin was 81.2% compared to 86.1% in the corresponding period in the prior year. Note that the gross margin for RECELL products only was 84.3% for the quarter, which we believe will remain in this range for future quarters. The decrease in the overall gross margin percentage from the prior year was primarily caused by volume discounts, a higher inventory reserve, and product mix. The Company shares the average sales price for Cohealyx at 50% and for PermeaDerm at 60%. Although these arrangements are highly beneficial, they inevitably result in an overall decrease in gross margin percentage. Therefore, the product mix is expected to continue to impact the overall gross margin percentage while increasing the gross profit, and, given that expenses associated with this revenue do not increase significantly, operating profit on a quarterly basis.</w:t>
      </w:r>
    </w:p>
    <w:p>
      <w:pPr>
        <w:spacing w:after="0" w:line="201"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Total operating expenses decreased by 9%, or $2.6 million, to $26.1 million, compared with $28.7 million in the corresponding period in the prior year.</w:t>
      </w:r>
    </w:p>
    <w:p>
      <w:pPr>
        <w:spacing w:after="0" w:line="162" w:lineRule="exact"/>
        <w:rPr>
          <w:sz w:val="20"/>
          <w:szCs w:val="20"/>
          <w:color w:val="auto"/>
        </w:rPr>
      </w:pPr>
    </w:p>
    <w:p>
      <w:pPr>
        <w:jc w:val="both"/>
        <w:ind w:right="40" w:firstLine="749"/>
        <w:spacing w:after="0" w:line="258" w:lineRule="auto"/>
        <w:rPr>
          <w:sz w:val="20"/>
          <w:szCs w:val="20"/>
          <w:color w:val="auto"/>
        </w:rPr>
      </w:pPr>
      <w:r>
        <w:rPr>
          <w:rFonts w:ascii="Times New Roman" w:cs="Times New Roman" w:eastAsia="Times New Roman" w:hAnsi="Times New Roman"/>
          <w:sz w:val="18"/>
          <w:szCs w:val="18"/>
          <w:color w:val="auto"/>
        </w:rPr>
        <w:t>Sales and marketing expenses decreased by 12%, or $2.0 million, to $14.3 million, compared to $16.3 million in the corresponding period in the prior year. Lower costs in the current year are due to decreases in stock based compensation expense of $0.8 million, salaries and benefits of approximately $0.7 million, decreases in recruiting expenses of $0.3 million, and reduced spend of $0.3 million related to seminars and meetings attendance, offset by an increase in other selling expenses of $0.1 million. The decreases in stock-based compensation and salaries and benefits are due to the reduction of our sales force as part of cost savings initiatives.</w:t>
      </w:r>
    </w:p>
    <w:p>
      <w:pPr>
        <w:spacing w:after="0" w:line="18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11%, or $0.9 million, to $6.7 million, compared to $7.5 million in the same period in the prior year. Lower costs in the current year are due to decreases in salaries and benefits of approximately of $0.8 million and stock-based compensation expense of $0.6 million, offset by increases in recruiting expense of $0.2 million and other administrative expenses of $0.3 million. The decrease in salaries and benefits and stock-based compensation is primarily attributable to higher severance and other related benefits in the prior year.</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5%, or $0.2 million, to $5.1 million, compared to $4.9 million in the same period in the prior year. Higher costs in the current year are due to increases in salaries and benefits of approximately $0.3 million, stock-based compensation expense of $0.1 million, offset by a decrease of $0.2 million in other development expenses. The increases in salaries and benefits and stock-based compensation expenses are due to increased headcount.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1" w:name="page32"/>
    <w:bookmarkEnd w:id="31"/>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Other income, net increased by $0.9 million to $2.5 million from $1.6 million in the prior period. In the current period, other income, net consists of a non-cash gains of $1.2 million related to the change in fair value of warrants and $0.9 million related to the change in fair value of loan facility and $0.4 million in income related to our investments. The prior period income consisted of a non-cash gain of $2.1 million related to the change in fair value of warrant liability, and $0.7 million in income related to our investments, offset by a non-cash charge of $1.2 million due to the change in fair value of the loan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six-months ended June 30, 2025 compared to the six-months ended June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table below summarizes the results of our operations for each of the periods presented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80" w:type="dxa"/>
            <w:vAlign w:val="bottom"/>
            <w:gridSpan w:val="5"/>
          </w:tcPr>
          <w:p>
            <w:pPr>
              <w:jc w:val="right"/>
              <w:ind w:right="1680"/>
              <w:spacing w:after="0"/>
              <w:rPr>
                <w:sz w:val="20"/>
                <w:szCs w:val="20"/>
                <w:color w:val="auto"/>
              </w:rPr>
            </w:pPr>
            <w:r>
              <w:rPr>
                <w:rFonts w:ascii="Times New Roman" w:cs="Times New Roman" w:eastAsia="Times New Roman" w:hAnsi="Times New Roman"/>
                <w:sz w:val="16"/>
                <w:szCs w:val="16"/>
                <w:b w:val="1"/>
                <w:bCs w:val="1"/>
                <w:color w:val="auto"/>
              </w:rPr>
              <w:t>Six-Months Ended</w:t>
            </w:r>
          </w:p>
        </w:tc>
        <w:tc>
          <w:tcPr>
            <w:tcW w:w="14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vMerge w:val="restart"/>
          </w:tcPr>
          <w:p>
            <w:pPr>
              <w:spacing w:after="0"/>
              <w:rPr>
                <w:sz w:val="18"/>
                <w:szCs w:val="18"/>
                <w:color w:val="auto"/>
              </w:rPr>
            </w:pPr>
          </w:p>
        </w:tc>
        <w:tc>
          <w:tcPr>
            <w:tcW w:w="1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Sales revenue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26,287</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10,264</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revenue</w:t>
            </w: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26,299</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(6,303)</w:t>
            </w:r>
          </w:p>
        </w:tc>
        <w:tc>
          <w:tcPr>
            <w:tcW w:w="30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(3,624)</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(2,679)</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30,629</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22,675</w:t>
            </w:r>
          </w:p>
        </w:tc>
        <w:tc>
          <w:tcPr>
            <w:tcW w:w="2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2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(29,147)</w:t>
            </w:r>
          </w:p>
        </w:tc>
        <w:tc>
          <w:tcPr>
            <w:tcW w:w="3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(28,942)</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(205)</w:t>
            </w: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(13,057)</w:t>
            </w:r>
          </w:p>
        </w:tc>
        <w:tc>
          <w:tcPr>
            <w:tcW w:w="30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(16,481)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2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(11,400)</w:t>
            </w:r>
          </w:p>
        </w:tc>
        <w:tc>
          <w:tcPr>
            <w:tcW w:w="3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(10,081)</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(1,319)</w:t>
            </w: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(53,604)</w:t>
            </w:r>
          </w:p>
        </w:tc>
        <w:tc>
          <w:tcPr>
            <w:tcW w:w="30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(55,504)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(22,975)</w:t>
            </w:r>
          </w:p>
        </w:tc>
        <w:tc>
          <w:tcPr>
            <w:tcW w:w="3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(32,829)</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(2,485)</w:t>
            </w:r>
          </w:p>
        </w:tc>
        <w:tc>
          <w:tcPr>
            <w:tcW w:w="30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(23,767)</w:t>
            </w:r>
          </w:p>
        </w:tc>
        <w:tc>
          <w:tcPr>
            <w:tcW w:w="30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(33,988)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2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(23,779)</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(34,051)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2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-1713865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-1713865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-1156970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-1156970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-591185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-591185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-307975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-307975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Total revenues increased by 40%, or $10.6 million, to $36.9 million, compared to $26.3 million in the same period in the prior year. The growth in commercial revenues was largely driven by deeper penetration within customer accounts, new accounts for the treatment of traumatic and surgical wounds and, to a lesser extent, new product launches.</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Gross profit margin was 82.9% compared to 86.2% in the corresponding period in the prior year. Note that the gross margin for RECELL products only was 85.5% for the six months ended June 30, 2025, which we believe will remain in this range for future quarters. The decrease in the overall gross margin percentage from the prior year was primarily caused by volume discounts, a higher inventory reserve, and product mix.</w:t>
      </w:r>
    </w:p>
    <w:p>
      <w:pPr>
        <w:spacing w:after="0" w:line="189"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Total operating expenses decreased by 3%, or $1.9 million, to $53.6 million, compared with $55.5 million in the corresponding period in the prior year.</w:t>
      </w:r>
    </w:p>
    <w:p>
      <w:pPr>
        <w:spacing w:after="0" w:line="162"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1%, or $0.2 million, to $29.1 million, compared to $28.9 million in the corresponding period in the prior year.</w:t>
      </w:r>
    </w:p>
    <w:p>
      <w:pPr>
        <w:spacing w:after="0" w:line="16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by 21%, or $3.4 million, to $13.1 million, compared to $16.5 million in the same period in the prior year. Lower costs in the current year are due to decreases in salaries and benefits of approximately of $1.6 million, stock-based compensation expense of $0.6 million, deferred compensation expense of $0.6 million, professional fees of $0.4 million, and $0.2 million in other corporate expenses. The decrease in salaries and benefits and stock-based compensation expense is primarily attributable to decreased headcount and lower severance payments. The decrease in deferred compensation expense is driven by lower stock price used to calculate the deferred compensation liability for the deferred restricted stock awards. The decrease in professional fees is due to lower consulting costs and lower legal fees.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2" w:name="page33"/>
    <w:bookmarkEnd w:id="32"/>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13%, or $1.3 million, to $11.4 million, compared to $10.1 million in the same period in the prior year. Higher costs in the current year are due to increases in salaries and benefits of approximately $1.7 million and stock-based compensation expense of $0.4 million, offset by a decrease in professional fees of $0.2 million and a decrease of $0.6 million in other development expenses. The increase in salaries and benefits and stock-based compensation expenses is due to increased headcount. The decrease in professional fees is due to the completion of the vitiligo TONE study partially offset by clinical trial costs associated with PermeaDerm and Cohealyx post-market studies.</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Other income, net increased by $0.2 million to $1.7 million from $1.5 million in the prior period. In the current period, other income, net consists of non-cash gains of $1.5 million related to the change in fair value of warrants and $0.2 million related to the change in fair value of loan facility, plus $0.8 million in income related to our investments offset by $0.8 million in debt issuance costs. The prior period income consisted of a non-cash gain of $1.2 million related to the change in fair value of warrant liability, $1.7 million in income related to our investments, and $0.2 million in other gains, net, offset by a non-cash charge of $1.6 million due to the change in fair value of the loan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had approximately $12.2 million in cash and cash equivalents and $3.5 million in marketable securities as of June 30, 2025. We have funded our research and development activities, and more recently our substantial investment in sales and marketing activities, through the sale of our products, the issuance of equity securities, and debt financing. If capital is not available to us when amounts are needed, we could be required to delay, scale back or abandon commercial and development programs and other operations, which could adversely impact our business, financial condition, and operating results.</w:t>
      </w:r>
    </w:p>
    <w:p>
      <w:pPr>
        <w:spacing w:after="0" w:line="11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Based on our liquidity position as of June 30, 2025 and our current forecast of operating results and cash flows, management has determined that, absent any mitigating action, it is probable we will not be able to maintain compliance of the minimum cash balance covenant pursuant with the terms of our Credit Agreement within the next twelve months following the date of issuance of the Consolidated Financial Statements in this Quarterly Report on Form 10-Q. Should such situation arise, the Lender could exercise its right to accelerate repayment of the outstanding debt. These events and conditions raise substantial doubt about our ability to continue as a going concern. As a result of this conclusion, and due to our current debt servicing obligations, the long-term portion of the credit facility has been classified as a current liability in the Consolidated Balance Sheets as of June 30, 2025. On August 7, 2025, the Company obtained a waiver related to these debt service obligations.</w:t>
      </w:r>
    </w:p>
    <w:p>
      <w:pPr>
        <w:spacing w:after="0" w:line="108"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are actively evaluating strategies to obtain the required additional funding for future operations. These strategies include, but are not limited to, obtaining additional equity financing, issuing debt or entering into other financing agreements. We intend to raise capital through the issuance of equity securities. In April 2023, we filed a Registration Statement on Form S-3 with the SEC in relation to the registration of common stock, preferred stock, debt securities, warrants or any combination thereof for up to an aggregate of $200.0 million, of which 3,799,164 shares of our common stock may be issued and sold pursuant to an at-the-market offering program for sales of our common stock under a sales agreement with Cowen and Company, LLC. However, there can be no assurance that such funding will be available to us when needed, either on favorable terms or at all.</w:t>
      </w:r>
    </w:p>
    <w:p>
      <w:pPr>
        <w:spacing w:after="0" w:line="12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October 18, 2023 (the “Closing Date”), the Company entered into a Credit Agreement (the “Credit Agreement”), by and between the Company, as borrower, and an affiliate of OrbiMed Advisors, LLC, as the lender and administrative agent (the “Lender”). The Credit Agreement provides for a five-year senior secured credit facility in an aggregate principal amount of up to $90.0 million (the “Loan Facility”), of which $40.0 million was borrowed on the Closing Date, less certain fees and expenses payable to or on behalf of the Lender. On November 7, 2024, the Lender and the Company mutually agreed to a third amendment (the “Third Amendment”) to the Credit Agreement. Under the terms of the Third Amendment and subject to the payment by the Company of a consent fee to the Lender, the Company and the Lender mutually agreed to (1) terminate two additional tranches of available debt in the aggregate amount of $50.0 million and (2) remove the trailing 12-month revenue covenant for the fourth quarter of 2024, which was set at $67.5 million. All revenue covenants for subsequent quarters remained in effect. The indebtedness under the Credit Agreement is secured by substantially all of our assets and will accrue interest at a rate equal to the greater of (a) forward-looking one-month term SOFR rate and (b) four percent (4%) per annum, plus eight percent (8%). In the event that the Company does not meet certain 12-month trailing revenue targets at the end of future fiscal quarters, the outstanding balance of the loan must be repaid in equal quarterly installments of 5% of the funded amount through the maturity date. In addition, if we don’t maintain a minimum cash and cash equivalents balance at the end of each reporting period, we may have to repay amounts outstanding in full as a result of an event of default. The Credit Agreement contains representations, warranties, and covenants that are customary for this type of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3" w:name="page34"/>
    <w:bookmarkEnd w:id="33"/>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On February 13, 2025, we entered into a fourth amendment to the Credit Agreement (the “Fourth Amendment”), which amended the trailing 12-month revenue covenant to $73.0 million for the quarter ending March 31, 2025, to $78.0 million for the quarter ending June 30, 2025, to $84.0 million for the quarter ending September 30, 2025, to $92.0 million for the quarter ending December 31, 2025 and to $103.0 million for the quarter ending March 31, 2026. While the $115.0 million revenue covenant for all subsequent quarters through the date of debt maturity remained in effect, we were not in compliance with the trailing 12-month net revenue covenants for the first and second quarters of 2025. On March 31, 2025, we received a waiver related to the trailing 12-month net revenue covenant for the first quarter of 2025, which was set at $73.0 million. On June 30, 2025, we received a waiver related to the trailing 12-month net revenue covenant for the second quarter of 2025, which was set at $78.0 million.</w:t>
      </w:r>
    </w:p>
    <w:p>
      <w:pPr>
        <w:spacing w:after="0" w:line="18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On February 13, 2025, in consideration of the Fourth Amendment, we issued to the Lender warrants to purchase up to 145,180 shares of our common stock, at an exercise price of $0.01 per share, with a term of 10 years from the issuance date.</w:t>
      </w:r>
    </w:p>
    <w:p>
      <w:pPr>
        <w:spacing w:after="0" w:line="1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August 7, 2025, we entered into a fifth amendment to the Credit Agreement (the “Fifth Amendment”), which amended the trailing 12-month revenue covenant to $74.0 million for the quarter ending September 30, 2025, to $77.0 million for the quarter ending December 31, 2025, to $90.0 million for the quarter ending March 31, 2026, and to $103.0 million for the quarter ending June 30, 2026. The $115.0 million revenue covenant for all subsequent quarters through the date of debt maturity remains in effect. In consideration for the amended covenants in the Fifth Amendment, we issued to the Lender 400,000 shares of our common stock.</w:t>
      </w:r>
    </w:p>
    <w:p>
      <w:pPr>
        <w:spacing w:after="0" w:line="3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5"/>
          </w:tcPr>
          <w:p>
            <w:pPr>
              <w:jc w:val="right"/>
              <w:ind w:right="1340"/>
              <w:spacing w:after="0"/>
              <w:rPr>
                <w:sz w:val="20"/>
                <w:szCs w:val="20"/>
                <w:color w:val="auto"/>
              </w:rPr>
            </w:pPr>
            <w:r>
              <w:rPr>
                <w:rFonts w:ascii="Times New Roman" w:cs="Times New Roman" w:eastAsia="Times New Roman" w:hAnsi="Times New Roman"/>
                <w:sz w:val="16"/>
                <w:szCs w:val="16"/>
                <w:b w:val="1"/>
                <w:bCs w:val="1"/>
                <w:color w:val="auto"/>
              </w:rPr>
              <w:t>Six-Months Ended</w:t>
            </w: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0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7"/>
                <w:szCs w:val="17"/>
                <w:color w:val="auto"/>
              </w:rPr>
            </w:pPr>
          </w:p>
        </w:tc>
      </w:tr>
      <w:tr>
        <w:trPr>
          <w:trHeight w:val="19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(20,538)</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(33,644)</w:t>
            </w:r>
          </w:p>
        </w:tc>
      </w:tr>
      <w:tr>
        <w:trPr>
          <w:trHeight w:val="20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17,782</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27,498</w:t>
            </w:r>
          </w:p>
        </w:tc>
        <w:tc>
          <w:tcPr>
            <w:tcW w:w="100" w:type="dxa"/>
            <w:vAlign w:val="bottom"/>
          </w:tcPr>
          <w:p>
            <w:pPr>
              <w:spacing w:after="0"/>
              <w:rPr>
                <w:sz w:val="17"/>
                <w:szCs w:val="17"/>
                <w:color w:val="auto"/>
              </w:rPr>
            </w:pPr>
          </w:p>
        </w:tc>
      </w:tr>
      <w:tr>
        <w:trPr>
          <w:trHeight w:val="20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shd w:val="clear" w:color="auto" w:fill="CFF0FC"/>
          </w:tcPr>
          <w:p>
            <w:pPr>
              <w:spacing w:after="0"/>
              <w:rPr>
                <w:sz w:val="17"/>
                <w:szCs w:val="17"/>
                <w:color w:val="auto"/>
              </w:rPr>
            </w:pPr>
          </w:p>
        </w:tc>
      </w:tr>
      <w:tr>
        <w:trPr>
          <w:trHeight w:val="203"/>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(1,834)</w:t>
            </w:r>
          </w:p>
        </w:tc>
        <w:tc>
          <w:tcPr>
            <w:tcW w:w="22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(4,666)</w:t>
            </w:r>
          </w:p>
        </w:tc>
      </w:tr>
      <w:tr>
        <w:trPr>
          <w:trHeight w:val="20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the period</w:t>
            </w:r>
          </w:p>
        </w:tc>
        <w:tc>
          <w:tcPr>
            <w:tcW w:w="2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14,050</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22,118</w:t>
            </w:r>
          </w:p>
        </w:tc>
        <w:tc>
          <w:tcPr>
            <w:tcW w:w="100" w:type="dxa"/>
            <w:vAlign w:val="bottom"/>
            <w:shd w:val="clear" w:color="auto" w:fill="CFF0FC"/>
          </w:tcPr>
          <w:p>
            <w:pPr>
              <w:spacing w:after="0"/>
              <w:rPr>
                <w:sz w:val="17"/>
                <w:szCs w:val="17"/>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the period</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17,452</w:t>
            </w:r>
          </w:p>
        </w:tc>
        <w:tc>
          <w:tcPr>
            <w:tcW w:w="100" w:type="dxa"/>
            <w:vAlign w:val="bottom"/>
          </w:tcPr>
          <w:p>
            <w:pPr>
              <w:spacing w:after="0"/>
              <w:rPr>
                <w:sz w:val="18"/>
                <w:szCs w:val="18"/>
                <w:color w:val="auto"/>
              </w:rPr>
            </w:pPr>
          </w:p>
        </w:tc>
      </w:tr>
    </w:tbl>
    <w:p>
      <w:pPr>
        <w:spacing w:after="0" w:line="217" w:lineRule="exact"/>
        <w:rPr>
          <w:sz w:val="20"/>
          <w:szCs w:val="20"/>
          <w:color w:val="auto"/>
        </w:rPr>
      </w:pPr>
    </w:p>
    <w:p>
      <w:pPr>
        <w:jc w:val="both"/>
        <w:ind w:right="40" w:firstLine="74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$20.5 million and $33.6 million during the six-months ended June 30, 2025 and 2024, respectively. The decrease in net cash used in operations was primarily due to gross profit resulting from increased revenues and cost saving initiatives.</w:t>
      </w:r>
    </w:p>
    <w:p>
      <w:pPr>
        <w:spacing w:after="0" w:line="1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$17.8 million and $27.5 million during the six-months ended June 30, 2025 and 2024, respectively. The decrease in cash provided by investing activities is primarily attributable to lower cash inflows from maturities of marketable securities and lower cash outflows from purchases of marketable securities in the current year, as well as a decrease in cash outflow for capital expenditures compared to the prior year. The decrease in capital expenditures in the current year is primarily related to higher leasehold improvement costs for manufacturing output enhancements effected at the Ventura production facility in the prior year.</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cash provided by financing activities was $0.9 million and $1.5 million during the six-months ended June 30, 2025 and 2024,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cash provided by financing activities is related to proceeds from the exercises of stock options, as well as lower ESPP purchases.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Management and Material Cash Requirements</w:t>
      </w:r>
    </w:p>
    <w:p>
      <w:pPr>
        <w:spacing w:after="0" w:line="225"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We aim to manage capital so that the Company continues as a going concern while also maintaining optimal returns to stockholders, as well as other benefits for our stakeholders. We also aim to maintain a capital structure that ensures the lowest cost of capital available to us. We regularly review our capital structure and seek to take advantage of available opportunities to improve outcomes for us and our stockholders.</w:t>
      </w:r>
    </w:p>
    <w:p>
      <w:pPr>
        <w:spacing w:after="0" w:line="176" w:lineRule="exact"/>
        <w:rPr>
          <w:sz w:val="20"/>
          <w:szCs w:val="20"/>
          <w:color w:val="auto"/>
        </w:rPr>
      </w:pPr>
    </w:p>
    <w:p>
      <w:pPr>
        <w:ind w:right="160" w:firstLine="749"/>
        <w:spacing w:after="0" w:line="281" w:lineRule="auto"/>
        <w:rPr>
          <w:sz w:val="20"/>
          <w:szCs w:val="20"/>
          <w:color w:val="auto"/>
        </w:rPr>
      </w:pPr>
      <w:r>
        <w:rPr>
          <w:rFonts w:ascii="Times New Roman" w:cs="Times New Roman" w:eastAsia="Times New Roman" w:hAnsi="Times New Roman"/>
          <w:sz w:val="17"/>
          <w:szCs w:val="17"/>
          <w:color w:val="auto"/>
        </w:rPr>
        <w:t>For the six-months ended June 30, 2025, there were no dividends paid and we have no plans to commence the payment of dividends. Under the terms of the Regenity Agreement, we made a $2.0 million payment during the three-months ended March 31, 2025. We have a further obligation to make up to an additional $3.0 million payment on or before January 4, 2026 to guarantee development and manufacturing capacity (and related resources), contingent on positive results of certain clinical studies, and have recorded $3.0 million in Contingent liability in the Consolidated Balance Sheets.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4" w:name="page35"/>
    <w:bookmarkEnd w:id="34"/>
    <w:p>
      <w:pPr>
        <w:jc w:val="both"/>
        <w:ind w:right="240" w:firstLine="749"/>
        <w:spacing w:after="0" w:line="258" w:lineRule="auto"/>
        <w:rPr>
          <w:sz w:val="20"/>
          <w:szCs w:val="20"/>
          <w:color w:val="auto"/>
        </w:rPr>
      </w:pPr>
      <w:r>
        <w:rPr>
          <w:rFonts w:ascii="Times New Roman" w:cs="Times New Roman" w:eastAsia="Times New Roman" w:hAnsi="Times New Roman"/>
          <w:sz w:val="18"/>
          <w:szCs w:val="18"/>
          <w:color w:val="auto"/>
        </w:rPr>
        <w:t>With the exception of the milestone payment under the Regenity Agreement, we do not have any other purchase commitments or long-term contractual obligations except for lease obligations as of June 30, 2025 (see Note 8 to the Consolidated Financial Statements). In addition, we have no material off-balance sheet arrangements (as defined in the applicable rules and regulations established by the SEC) that have or are reasonably likely to have a current or future effect on our financial condition, revenues or expenses, results of operations, liquidity, capital expenditures or capital resources. While we have no committed plans to issue further shares on the market, we will continue to assess market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 xml:space="preserve">Except as disclosed in Note 2 of our Consolidated Financial Statements, </w:t>
      </w:r>
      <w:r>
        <w:rPr>
          <w:rFonts w:ascii="Times New Roman" w:cs="Times New Roman" w:eastAsia="Times New Roman" w:hAnsi="Times New Roman"/>
          <w:sz w:val="16"/>
          <w:szCs w:val="16"/>
          <w:color w:val="auto"/>
        </w:rPr>
        <w:t>th</w:t>
      </w:r>
      <w:r>
        <w:rPr>
          <w:rFonts w:ascii="Times New Roman" w:cs="Times New Roman" w:eastAsia="Times New Roman" w:hAnsi="Times New Roman"/>
          <w:sz w:val="18"/>
          <w:szCs w:val="18"/>
          <w:color w:val="auto"/>
        </w:rPr>
        <w:t>ere have been no material changes to our critical accounting policies and estimates from the information provided in Item 7, “Management’s Discussion and Analysis of Financial Condition and Results of Operations,” included in the 2024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Our Chief Executive Officer and our Chief Financial Officer evaluated, with the participation of our management, the effectiveness of our disclosure controls and procedures as of the end of the period covered by this Quarterly Report on Form 10-Q. As of June 30, 2025, our Chief Executive Officer and our Chief Financial Officer concluded that our disclosure controls and procedures, as defined in Rules 13a-15(e) and 15d-15(e) of the Securities Exchange Act of 1934, as amended (the “Securities Exchange Act”), were effective.</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disclosure controls and procedures have been formulated to ensure that (i) information that we are required to disclose in reports that we file or submit under the Securities Exchange Act was recorded, processed, summarized, and reported within the time periods specified in the SEC’s rules and forms and (ii) information required to be disclosed by us is accumulated and communicated to our management, including our Chief Executive Officer and our Chief Financial Officer, as appropriate, to allow timely decisions regarding required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(as defined in Rules 13a-15(f) and 15d-15(f) under the Exchange Act) during the period covered by this Quarterly Report on Form 10-Q that have materially affected, or are reasonably likely to materially affect, our internal controls over financial reporting.</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not currently a party to any legal proceedings that we believe will have a material adverse effect on our business or financial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however, be subject to various claims or legal actions arising in the ordinary course of business from time to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under Part I, Item 1A, “Risk Factors,” in the 2024 Annual Report, and as updated from time to time in the Company’s subsequent Quarterly Reports on Form 10-Q.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report. There have been no material changes to the risk factors described in Part I, Item 1A, “Risk Factors,” included in the 2024 Annual Report and in Part II, Item 1A, “Risk Factors,” included in the Quarterly Report on Form 10-Q for the quarter-ended March 31, 2025 filed with the SEC on May 8,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8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exhibits are filed as part of the Quarterly Report on Form 10-Q:</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400"/>
        <w:spacing w:after="0"/>
        <w:tabs>
          <w:tab w:leader="none" w:pos="126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1" w:lineRule="exact"/>
        <w:rPr>
          <w:sz w:val="20"/>
          <w:szCs w:val="20"/>
          <w:color w:val="auto"/>
        </w:rPr>
      </w:pPr>
    </w:p>
    <w:p>
      <w:pPr>
        <w:ind w:left="460"/>
        <w:spacing w:after="0"/>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273">
        <w:r>
          <w:rPr>
            <w:rFonts w:ascii="Times New Roman" w:cs="Times New Roman" w:eastAsia="Times New Roman" w:hAnsi="Times New Roman"/>
            <w:sz w:val="18"/>
            <w:szCs w:val="18"/>
            <w:u w:val="single" w:color="auto"/>
            <w:color w:val="0000FF"/>
          </w:rPr>
          <w:t>Certificate of Incorporation (incorporated by reference to Exhibit 3.1 to the registrant’s Form 8-K12B filed on June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365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5736590" cy="8890"/>
                    </a:xfrm>
                    <a:prstGeom prst="rect">
                      <a:avLst/>
                    </a:prstGeom>
                    <a:noFill/>
                  </pic:spPr>
                </pic:pic>
              </a:graphicData>
            </a:graphic>
          </wp:anchor>
        </w:drawing>
      </w:r>
    </w:p>
    <w:p>
      <w:pPr>
        <w:spacing w:after="0" w:line="111" w:lineRule="exact"/>
        <w:rPr>
          <w:sz w:val="20"/>
          <w:szCs w:val="20"/>
          <w:color w:val="auto"/>
        </w:rPr>
      </w:pPr>
    </w:p>
    <w:p>
      <w:pPr>
        <w:ind w:left="1140" w:hanging="674"/>
        <w:spacing w:after="0" w:line="282"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275">
        <w:r>
          <w:rPr>
            <w:rFonts w:ascii="Times New Roman" w:cs="Times New Roman" w:eastAsia="Times New Roman" w:hAnsi="Times New Roman"/>
            <w:sz w:val="18"/>
            <w:szCs w:val="18"/>
            <w:u w:val="single" w:color="auto"/>
            <w:color w:val="0000FF"/>
          </w:rPr>
          <w:t>Certificate of Amendment of Certificate of Incorporation (incorporated by reference to Exhibit 3.2 of the registrant’s Form 10-KT filed on</w:t>
        </w:r>
      </w:hyperlink>
      <w:r>
        <w:rPr>
          <w:rFonts w:ascii="Times New Roman" w:cs="Times New Roman" w:eastAsia="Times New Roman" w:hAnsi="Times New Roman"/>
          <w:sz w:val="18"/>
          <w:szCs w:val="18"/>
          <w:u w:val="single" w:color="auto"/>
          <w:color w:val="0000FF"/>
        </w:rPr>
        <w:t xml:space="preserve"> </w:t>
      </w:r>
      <w:hyperlink r:id="rId275">
        <w:r>
          <w:rPr>
            <w:rFonts w:ascii="Times New Roman" w:cs="Times New Roman" w:eastAsia="Times New Roman" w:hAnsi="Times New Roman"/>
            <w:sz w:val="18"/>
            <w:szCs w:val="18"/>
            <w:u w:val="single" w:color="auto"/>
            <w:color w:val="0000FF"/>
          </w:rPr>
          <w:t>February 28,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-185420</wp:posOffset>
            </wp:positionV>
            <wp:extent cx="63550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635508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-48260</wp:posOffset>
            </wp:positionV>
            <wp:extent cx="8788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878840" cy="8255"/>
                    </a:xfrm>
                    <a:prstGeom prst="rect">
                      <a:avLst/>
                    </a:prstGeom>
                    <a:noFill/>
                  </pic:spPr>
                </pic:pic>
              </a:graphicData>
            </a:graphic>
          </wp:anchor>
        </w:drawing>
      </w:r>
    </w:p>
    <w:p>
      <w:pPr>
        <w:spacing w:after="0" w:line="47" w:lineRule="exact"/>
        <w:rPr>
          <w:sz w:val="20"/>
          <w:szCs w:val="20"/>
          <w:color w:val="auto"/>
        </w:rPr>
      </w:pPr>
    </w:p>
    <w:p>
      <w:pPr>
        <w:ind w:left="460"/>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278">
        <w:r>
          <w:rPr>
            <w:rFonts w:ascii="Times New Roman" w:cs="Times New Roman" w:eastAsia="Times New Roman" w:hAnsi="Times New Roman"/>
            <w:sz w:val="17"/>
            <w:szCs w:val="17"/>
            <w:u w:val="single" w:color="auto"/>
            <w:color w:val="0000FF"/>
          </w:rPr>
          <w:t>Amended and Restated Bylaws (incorporated by reference to Exhibit 3.1 of the registrant’s Form 8-K filed on May 15,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270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5727065" cy="8255"/>
                    </a:xfrm>
                    <a:prstGeom prst="rect">
                      <a:avLst/>
                    </a:prstGeom>
                    <a:noFill/>
                  </pic:spPr>
                </pic:pic>
              </a:graphicData>
            </a:graphic>
          </wp:anchor>
        </w:drawing>
      </w:r>
    </w:p>
    <w:p>
      <w:pPr>
        <w:spacing w:after="0" w:line="205"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Third Amendment to Lease Agreement between the registrant and Hartco Ventura Inc. dated April 1, 2025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496824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4968240" cy="8255"/>
                    </a:xfrm>
                    <a:prstGeom prst="rect">
                      <a:avLst/>
                    </a:prstGeom>
                    <a:noFill/>
                  </pic:spPr>
                </pic:pic>
              </a:graphicData>
            </a:graphic>
          </wp:anchor>
        </w:drawing>
      </w:r>
    </w:p>
    <w:p>
      <w:pPr>
        <w:spacing w:after="0" w:line="205" w:lineRule="exact"/>
        <w:rPr>
          <w:sz w:val="20"/>
          <w:szCs w:val="20"/>
          <w:color w:val="auto"/>
        </w:rPr>
      </w:pPr>
    </w:p>
    <w:p>
      <w:pPr>
        <w:ind w:left="420"/>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281">
        <w:r>
          <w:rPr>
            <w:rFonts w:ascii="Times New Roman" w:cs="Times New Roman" w:eastAsia="Times New Roman" w:hAnsi="Times New Roman"/>
            <w:sz w:val="17"/>
            <w:szCs w:val="17"/>
            <w:u w:val="single" w:color="auto"/>
            <w:color w:val="0000FF"/>
          </w:rPr>
          <w:t>2020 Omnibus Incentive Plan Amended and Restated (incorporated by reference to Annexure A of the registrant’s DEF14A filed on April</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635190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6351905" cy="8255"/>
                    </a:xfrm>
                    <a:prstGeom prst="rect">
                      <a:avLst/>
                    </a:prstGeom>
                    <a:noFill/>
                  </pic:spPr>
                </pic:pic>
              </a:graphicData>
            </a:graphic>
          </wp:anchor>
        </w:drawing>
      </w:r>
    </w:p>
    <w:p>
      <w:pPr>
        <w:spacing w:after="0" w:line="7" w:lineRule="exact"/>
        <w:rPr>
          <w:sz w:val="20"/>
          <w:szCs w:val="20"/>
          <w:color w:val="auto"/>
        </w:rPr>
      </w:pPr>
    </w:p>
    <w:p>
      <w:pPr>
        <w:ind w:left="1140"/>
        <w:spacing w:after="0"/>
        <w:rPr>
          <w:rFonts w:ascii="Times New Roman" w:cs="Times New Roman" w:eastAsia="Times New Roman" w:hAnsi="Times New Roman"/>
          <w:sz w:val="18"/>
          <w:szCs w:val="18"/>
          <w:u w:val="single" w:color="auto"/>
          <w:color w:val="0000FF"/>
        </w:rPr>
      </w:pPr>
      <w:hyperlink r:id="rId281">
        <w:r>
          <w:rPr>
            <w:rFonts w:ascii="Times New Roman" w:cs="Times New Roman" w:eastAsia="Times New Roman" w:hAnsi="Times New Roman"/>
            <w:sz w:val="18"/>
            <w:szCs w:val="18"/>
            <w:u w:val="single" w:color="auto"/>
            <w:color w:val="0000FF"/>
          </w:rPr>
          <w:t>22, 2025)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-19050</wp:posOffset>
            </wp:positionV>
            <wp:extent cx="52387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523875" cy="8890"/>
                    </a:xfrm>
                    <a:prstGeom prst="rect">
                      <a:avLst/>
                    </a:prstGeom>
                    <a:noFill/>
                  </pic:spPr>
                </pic:pic>
              </a:graphicData>
            </a:graphic>
          </wp:anchor>
        </w:drawing>
      </w:r>
    </w:p>
    <w:p>
      <w:pPr>
        <w:spacing w:after="0" w:line="187"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0000FF"/>
        </w:rPr>
        <w:t>Waiver to the Credit Agreement between the Lender and the Company, dated June 30, 2025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42926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4292600" cy="8255"/>
                    </a:xfrm>
                    <a:prstGeom prst="rect">
                      <a:avLst/>
                    </a:prstGeom>
                    <a:noFill/>
                  </pic:spPr>
                </pic:pic>
              </a:graphicData>
            </a:graphic>
          </wp:anchor>
        </w:drawing>
      </w:r>
    </w:p>
    <w:p>
      <w:pPr>
        <w:spacing w:after="0" w:line="205"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Rule 13a-14(a) Certification of Chief Executive Officer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26301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111"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Rule 13a-14(a) Certification of Chief Financial Officer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25984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spacing w:after="0" w:line="111" w:lineRule="exact"/>
        <w:rPr>
          <w:sz w:val="20"/>
          <w:szCs w:val="20"/>
          <w:color w:val="auto"/>
        </w:rPr>
      </w:pPr>
    </w:p>
    <w:p>
      <w:pPr>
        <w:ind w:left="1140" w:hanging="696"/>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18 U.S.C. Section 1350 Certifications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18719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1871980" cy="8255"/>
                    </a:xfrm>
                    <a:prstGeom prst="rect">
                      <a:avLst/>
                    </a:prstGeom>
                    <a:noFill/>
                  </pic:spPr>
                </pic:pic>
              </a:graphicData>
            </a:graphic>
          </wp:anchor>
        </w:drawing>
      </w:r>
    </w:p>
    <w:p>
      <w:pPr>
        <w:spacing w:after="0" w:line="111"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101.INS</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38"/>
        </w:trPr>
        <w:tc>
          <w:tcPr>
            <w:tcW w:w="7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101.SCH</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Inline XBRL Taxonomy Extension Schema With Embedded Linkbase Documents</w:t>
            </w:r>
          </w:p>
        </w:tc>
      </w:tr>
    </w:tbl>
    <w:p>
      <w:pPr>
        <w:spacing w:after="0" w:line="103" w:lineRule="exact"/>
        <w:rPr>
          <w:sz w:val="20"/>
          <w:szCs w:val="20"/>
          <w:color w:val="auto"/>
        </w:rPr>
      </w:pPr>
    </w:p>
    <w:p>
      <w:pPr>
        <w:ind w:left="1140" w:hanging="696"/>
        <w:spacing w:after="0"/>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compensation plan or arrangement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08"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tabs>
          <w:tab w:leader="none" w:pos="540" w:val="left"/>
          <w:tab w:leader="none" w:pos="5960" w:val="left"/>
        </w:tabs>
        <w:rPr>
          <w:sz w:val="20"/>
          <w:szCs w:val="20"/>
          <w:color w:val="auto"/>
        </w:rPr>
      </w:pPr>
      <w:r>
        <w:rPr>
          <w:rFonts w:ascii="Times New Roman" w:cs="Times New Roman" w:eastAsia="Times New Roman" w:hAnsi="Times New Roman"/>
          <w:sz w:val="18"/>
          <w:szCs w:val="18"/>
          <w:color w:val="auto"/>
        </w:rPr>
        <w:t>Date:</w:t>
        <w:tab/>
        <w:t>August 7, 2025</w:t>
      </w:r>
      <w:r>
        <w:rPr>
          <w:sz w:val="20"/>
          <w:szCs w:val="20"/>
          <w:color w:val="auto"/>
        </w:rPr>
        <w:tab/>
      </w:r>
      <w:r>
        <w:rPr>
          <w:rFonts w:ascii="Times New Roman" w:cs="Times New Roman" w:eastAsia="Times New Roman" w:hAnsi="Times New Roman"/>
          <w:sz w:val="17"/>
          <w:szCs w:val="17"/>
          <w:color w:val="auto"/>
        </w:rPr>
        <w:t>AVITA MEDICAL, INC.</w:t>
      </w:r>
    </w:p>
    <w:p>
      <w:pPr>
        <w:spacing w:after="0" w:line="23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James Corbett</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 /s/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David O'Toole</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08" w:right="5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0A0A0A"/>
        </w:rPr>
        <w:t>THIRD AMENDMENT TO LEASE (Units I,J,K,L,M,N,H)</w:t>
      </w:r>
    </w:p>
    <w:p>
      <w:pPr>
        <w:spacing w:after="0" w:line="266" w:lineRule="exact"/>
        <w:rPr>
          <w:sz w:val="20"/>
          <w:szCs w:val="20"/>
          <w:color w:val="auto"/>
        </w:rPr>
      </w:pPr>
    </w:p>
    <w:p>
      <w:pPr>
        <w:ind w:left="60" w:right="160" w:firstLine="746"/>
        <w:spacing w:after="0" w:line="226" w:lineRule="auto"/>
        <w:rPr>
          <w:sz w:val="20"/>
          <w:szCs w:val="20"/>
          <w:color w:val="auto"/>
        </w:rPr>
      </w:pPr>
      <w:r>
        <w:rPr>
          <w:rFonts w:ascii="Times New Roman" w:cs="Times New Roman" w:eastAsia="Times New Roman" w:hAnsi="Times New Roman"/>
          <w:sz w:val="19"/>
          <w:szCs w:val="19"/>
          <w:color w:val="0A0A0A"/>
        </w:rPr>
        <w:t>THIS THIRD AMENDMENT TO LEASE made and entered into this 11</w:t>
      </w:r>
      <w:r>
        <w:rPr>
          <w:rFonts w:ascii="Times New Roman" w:cs="Times New Roman" w:eastAsia="Times New Roman" w:hAnsi="Times New Roman"/>
          <w:sz w:val="25"/>
          <w:szCs w:val="25"/>
          <w:color w:val="0A0A0A"/>
          <w:vertAlign w:val="superscript"/>
        </w:rPr>
        <w:t>th</w:t>
      </w:r>
      <w:r>
        <w:rPr>
          <w:rFonts w:ascii="Times New Roman" w:cs="Times New Roman" w:eastAsia="Times New Roman" w:hAnsi="Times New Roman"/>
          <w:sz w:val="19"/>
          <w:szCs w:val="19"/>
          <w:color w:val="0A0A0A"/>
        </w:rPr>
        <w:t xml:space="preserve"> day of March, 2025 by and between Hartco-Ventura, Inc. as current Landlord, hereinafter referred to as "Lessor", and Avita Medical Americas, LLC, A Delaware Limited </w:t>
      </w:r>
      <w:r>
        <w:rPr>
          <w:rFonts w:ascii="Times New Roman" w:cs="Times New Roman" w:eastAsia="Times New Roman" w:hAnsi="Times New Roman"/>
          <w:sz w:val="19"/>
          <w:szCs w:val="19"/>
          <w:color w:val="212121"/>
        </w:rPr>
        <w:t>Liability</w:t>
      </w:r>
      <w:r>
        <w:rPr>
          <w:rFonts w:ascii="Times New Roman" w:cs="Times New Roman" w:eastAsia="Times New Roman" w:hAnsi="Times New Roman"/>
          <w:sz w:val="19"/>
          <w:szCs w:val="19"/>
          <w:color w:val="0A0A0A"/>
        </w:rPr>
        <w:t xml:space="preserve"> Company hereinafter referred to as "Lessee".</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0A0A0A"/>
        </w:rPr>
        <w:t>WITNESSETH</w:t>
      </w:r>
    </w:p>
    <w:p>
      <w:pPr>
        <w:spacing w:after="0" w:line="218" w:lineRule="exact"/>
        <w:rPr>
          <w:sz w:val="20"/>
          <w:szCs w:val="20"/>
          <w:color w:val="auto"/>
        </w:rPr>
      </w:pPr>
    </w:p>
    <w:p>
      <w:pPr>
        <w:ind w:left="40" w:right="400" w:firstLine="759"/>
        <w:spacing w:after="0" w:line="228" w:lineRule="auto"/>
        <w:rPr>
          <w:sz w:val="20"/>
          <w:szCs w:val="20"/>
          <w:color w:val="auto"/>
        </w:rPr>
      </w:pPr>
      <w:r>
        <w:rPr>
          <w:rFonts w:ascii="Times New Roman" w:cs="Times New Roman" w:eastAsia="Times New Roman" w:hAnsi="Times New Roman"/>
          <w:sz w:val="19"/>
          <w:szCs w:val="19"/>
          <w:color w:val="0A0A0A"/>
        </w:rPr>
        <w:t>WHEREAS, Lessor leased certain premises in the HARTCO-VENTURA Business Center, at 3007 Bunsen Ave. in the city of Ventura, County of Ventura, State of California, to Lessee, pursuant to the certain lease dated the 25</w:t>
      </w:r>
      <w:r>
        <w:rPr>
          <w:rFonts w:ascii="Times New Roman" w:cs="Times New Roman" w:eastAsia="Times New Roman" w:hAnsi="Times New Roman"/>
          <w:sz w:val="25"/>
          <w:szCs w:val="25"/>
          <w:color w:val="0A0A0A"/>
          <w:vertAlign w:val="superscript"/>
        </w:rPr>
        <w:t>th</w:t>
      </w:r>
      <w:r>
        <w:rPr>
          <w:rFonts w:ascii="Times New Roman" w:cs="Times New Roman" w:eastAsia="Times New Roman" w:hAnsi="Times New Roman"/>
          <w:sz w:val="19"/>
          <w:szCs w:val="19"/>
          <w:color w:val="0A0A0A"/>
        </w:rPr>
        <w:t xml:space="preserve"> day of January, 2018; said Lease and amendment(s) thereto hereinafter collectively referred to as the "Lease", the premises being more particularly described therein; and</w:t>
      </w:r>
    </w:p>
    <w:p>
      <w:pPr>
        <w:spacing w:after="0" w:line="21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color w:val="0A0A0A"/>
        </w:rPr>
        <w:t>WHEREAS, Lessor and Lessee therefore wish to extend said Lease;</w:t>
      </w:r>
      <w:r>
        <w:rPr>
          <w:rFonts w:ascii="Times New Roman" w:cs="Times New Roman" w:eastAsia="Times New Roman" w:hAnsi="Times New Roman"/>
          <w:sz w:val="19"/>
          <w:szCs w:val="19"/>
          <w:color w:val="505050"/>
        </w:rPr>
        <w:t>.</w:t>
      </w:r>
    </w:p>
    <w:p>
      <w:pPr>
        <w:spacing w:after="0" w:line="227" w:lineRule="exact"/>
        <w:rPr>
          <w:sz w:val="20"/>
          <w:szCs w:val="20"/>
          <w:color w:val="auto"/>
        </w:rPr>
      </w:pPr>
    </w:p>
    <w:p>
      <w:pPr>
        <w:ind w:left="40" w:right="680" w:firstLine="755"/>
        <w:spacing w:after="0" w:line="283" w:lineRule="auto"/>
        <w:rPr>
          <w:sz w:val="20"/>
          <w:szCs w:val="20"/>
          <w:color w:val="auto"/>
        </w:rPr>
      </w:pPr>
      <w:r>
        <w:rPr>
          <w:rFonts w:ascii="Times New Roman" w:cs="Times New Roman" w:eastAsia="Times New Roman" w:hAnsi="Times New Roman"/>
          <w:sz w:val="19"/>
          <w:szCs w:val="19"/>
          <w:color w:val="0A0A0A"/>
        </w:rPr>
        <w:t xml:space="preserve">NOW THEREFORE, in consideration of these present and the agreement of each other, Lessor and Lessee agree that the said Lease shall be and the same </w:t>
      </w:r>
      <w:r>
        <w:rPr>
          <w:rFonts w:ascii="Times New Roman" w:cs="Times New Roman" w:eastAsia="Times New Roman" w:hAnsi="Times New Roman"/>
          <w:sz w:val="19"/>
          <w:szCs w:val="19"/>
          <w:color w:val="212121"/>
        </w:rPr>
        <w:t>is</w:t>
      </w:r>
      <w:r>
        <w:rPr>
          <w:rFonts w:ascii="Times New Roman" w:cs="Times New Roman" w:eastAsia="Times New Roman" w:hAnsi="Times New Roman"/>
          <w:sz w:val="19"/>
          <w:szCs w:val="19"/>
          <w:color w:val="0A0A0A"/>
        </w:rPr>
        <w:t xml:space="preserve"> hereby amended as of the 11</w:t>
      </w:r>
      <w:r>
        <w:rPr>
          <w:rFonts w:ascii="Times New Roman" w:cs="Times New Roman" w:eastAsia="Times New Roman" w:hAnsi="Times New Roman"/>
          <w:sz w:val="25"/>
          <w:szCs w:val="25"/>
          <w:color w:val="0A0A0A"/>
          <w:vertAlign w:val="superscript"/>
        </w:rPr>
        <w:t>th</w:t>
      </w:r>
      <w:r>
        <w:rPr>
          <w:rFonts w:ascii="Times New Roman" w:cs="Times New Roman" w:eastAsia="Times New Roman" w:hAnsi="Times New Roman"/>
          <w:sz w:val="19"/>
          <w:szCs w:val="19"/>
          <w:color w:val="0A0A0A"/>
        </w:rPr>
        <w:t xml:space="preserve"> day of March</w:t>
      </w:r>
      <w:r>
        <w:rPr>
          <w:rFonts w:ascii="Times New Roman" w:cs="Times New Roman" w:eastAsia="Times New Roman" w:hAnsi="Times New Roman"/>
          <w:sz w:val="19"/>
          <w:szCs w:val="19"/>
          <w:color w:val="212121"/>
        </w:rPr>
        <w:t>,</w:t>
      </w:r>
      <w:r>
        <w:rPr>
          <w:rFonts w:ascii="Times New Roman" w:cs="Times New Roman" w:eastAsia="Times New Roman" w:hAnsi="Times New Roman"/>
          <w:sz w:val="19"/>
          <w:szCs w:val="19"/>
          <w:color w:val="0A0A0A"/>
        </w:rPr>
        <w:t xml:space="preserve"> 2025.</w:t>
      </w:r>
    </w:p>
    <w:p>
      <w:pPr>
        <w:spacing w:after="0" w:line="169" w:lineRule="exact"/>
        <w:rPr>
          <w:sz w:val="20"/>
          <w:szCs w:val="20"/>
          <w:color w:val="auto"/>
        </w:rPr>
      </w:pPr>
    </w:p>
    <w:p>
      <w:pPr>
        <w:ind w:left="760" w:hanging="503"/>
        <w:spacing w:after="0"/>
        <w:tabs>
          <w:tab w:leader="none" w:pos="760" w:val="left"/>
        </w:tabs>
        <w:numPr>
          <w:ilvl w:val="0"/>
          <w:numId w:val="9"/>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 xml:space="preserve">The term of the Lease shall be extended 36 months with the amended expiration date of </w:t>
      </w:r>
      <w:r>
        <w:rPr>
          <w:rFonts w:ascii="Times New Roman" w:cs="Times New Roman" w:eastAsia="Times New Roman" w:hAnsi="Times New Roman"/>
          <w:sz w:val="19"/>
          <w:szCs w:val="19"/>
          <w:b w:val="1"/>
          <w:bCs w:val="1"/>
          <w:color w:val="0A0A0A"/>
        </w:rPr>
        <w:t>September 30, 2030</w:t>
      </w:r>
      <w:r>
        <w:rPr>
          <w:rFonts w:ascii="Times New Roman" w:cs="Times New Roman" w:eastAsia="Times New Roman" w:hAnsi="Times New Roman"/>
          <w:sz w:val="19"/>
          <w:szCs w:val="19"/>
          <w:color w:val="0A0A0A"/>
        </w:rPr>
        <w:t>.</w:t>
      </w:r>
    </w:p>
    <w:p>
      <w:pPr>
        <w:spacing w:after="0" w:line="115" w:lineRule="exact"/>
        <w:rPr>
          <w:rFonts w:ascii="Times New Roman" w:cs="Times New Roman" w:eastAsia="Times New Roman" w:hAnsi="Times New Roman"/>
          <w:sz w:val="19"/>
          <w:szCs w:val="19"/>
          <w:color w:val="0A0A0A"/>
        </w:rPr>
      </w:pPr>
    </w:p>
    <w:p>
      <w:pPr>
        <w:ind w:left="760" w:right="460" w:hanging="503"/>
        <w:spacing w:after="0" w:line="228" w:lineRule="auto"/>
        <w:tabs>
          <w:tab w:leader="none" w:pos="760" w:val="left"/>
        </w:tabs>
        <w:numPr>
          <w:ilvl w:val="0"/>
          <w:numId w:val="9"/>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 xml:space="preserve">Rent for the Leased Premises (Units I,J,K,L,M,N,H) from </w:t>
      </w:r>
      <w:r>
        <w:rPr>
          <w:rFonts w:ascii="Times New Roman" w:cs="Times New Roman" w:eastAsia="Times New Roman" w:hAnsi="Times New Roman"/>
          <w:sz w:val="19"/>
          <w:szCs w:val="19"/>
          <w:b w:val="1"/>
          <w:bCs w:val="1"/>
          <w:color w:val="0A0A0A"/>
        </w:rPr>
        <w:t>October 1</w:t>
      </w:r>
      <w:r>
        <w:rPr>
          <w:rFonts w:ascii="Times New Roman" w:cs="Times New Roman" w:eastAsia="Times New Roman" w:hAnsi="Times New Roman"/>
          <w:sz w:val="25"/>
          <w:szCs w:val="25"/>
          <w:b w:val="1"/>
          <w:bCs w:val="1"/>
          <w:color w:val="0A0A0A"/>
          <w:vertAlign w:val="superscript"/>
        </w:rPr>
        <w:t>st</w:t>
      </w:r>
      <w:r>
        <w:rPr>
          <w:rFonts w:ascii="Times New Roman" w:cs="Times New Roman" w:eastAsia="Times New Roman" w:hAnsi="Times New Roman"/>
          <w:sz w:val="19"/>
          <w:szCs w:val="19"/>
          <w:b w:val="1"/>
          <w:bCs w:val="1"/>
          <w:color w:val="0A0A0A"/>
        </w:rPr>
        <w:t>, 2024 to September 30, 2025</w:t>
      </w:r>
      <w:r>
        <w:rPr>
          <w:rFonts w:ascii="Times New Roman" w:cs="Times New Roman" w:eastAsia="Times New Roman" w:hAnsi="Times New Roman"/>
          <w:sz w:val="19"/>
          <w:szCs w:val="19"/>
          <w:color w:val="0A0A0A"/>
        </w:rPr>
        <w:t xml:space="preserve"> shall be payable in monthly installments of </w:t>
      </w:r>
      <w:r>
        <w:rPr>
          <w:rFonts w:ascii="Times New Roman" w:cs="Times New Roman" w:eastAsia="Times New Roman" w:hAnsi="Times New Roman"/>
          <w:sz w:val="19"/>
          <w:szCs w:val="19"/>
          <w:u w:val="single" w:color="auto"/>
          <w:color w:val="0A0A0A"/>
        </w:rPr>
        <w:t>Thirty Five Thousand Three Hundred Fifty Six Dollars and 80 Cents ($35,356.80).</w:t>
      </w:r>
    </w:p>
    <w:p>
      <w:pPr>
        <w:spacing w:after="0" w:line="86" w:lineRule="exact"/>
        <w:rPr>
          <w:rFonts w:ascii="Times New Roman" w:cs="Times New Roman" w:eastAsia="Times New Roman" w:hAnsi="Times New Roman"/>
          <w:sz w:val="19"/>
          <w:szCs w:val="19"/>
          <w:color w:val="0A0A0A"/>
        </w:rPr>
      </w:pPr>
    </w:p>
    <w:p>
      <w:pPr>
        <w:ind w:left="760" w:right="460" w:hanging="503"/>
        <w:spacing w:after="0" w:line="228" w:lineRule="auto"/>
        <w:tabs>
          <w:tab w:leader="none" w:pos="760" w:val="left"/>
        </w:tabs>
        <w:numPr>
          <w:ilvl w:val="0"/>
          <w:numId w:val="9"/>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 xml:space="preserve">Rent for the Leased Premises (Units I,J,K,L,M,N,H) from </w:t>
      </w:r>
      <w:r>
        <w:rPr>
          <w:rFonts w:ascii="Times New Roman" w:cs="Times New Roman" w:eastAsia="Times New Roman" w:hAnsi="Times New Roman"/>
          <w:sz w:val="19"/>
          <w:szCs w:val="19"/>
          <w:b w:val="1"/>
          <w:bCs w:val="1"/>
          <w:color w:val="0A0A0A"/>
        </w:rPr>
        <w:t>October 1</w:t>
      </w:r>
      <w:r>
        <w:rPr>
          <w:rFonts w:ascii="Times New Roman" w:cs="Times New Roman" w:eastAsia="Times New Roman" w:hAnsi="Times New Roman"/>
          <w:sz w:val="25"/>
          <w:szCs w:val="25"/>
          <w:b w:val="1"/>
          <w:bCs w:val="1"/>
          <w:color w:val="0A0A0A"/>
          <w:vertAlign w:val="superscript"/>
        </w:rPr>
        <w:t>st</w:t>
      </w:r>
      <w:r>
        <w:rPr>
          <w:rFonts w:ascii="Times New Roman" w:cs="Times New Roman" w:eastAsia="Times New Roman" w:hAnsi="Times New Roman"/>
          <w:sz w:val="19"/>
          <w:szCs w:val="19"/>
          <w:b w:val="1"/>
          <w:bCs w:val="1"/>
          <w:color w:val="0A0A0A"/>
        </w:rPr>
        <w:t>, 2025 to September 30, 2026</w:t>
      </w:r>
      <w:r>
        <w:rPr>
          <w:rFonts w:ascii="Times New Roman" w:cs="Times New Roman" w:eastAsia="Times New Roman" w:hAnsi="Times New Roman"/>
          <w:sz w:val="19"/>
          <w:szCs w:val="19"/>
          <w:color w:val="0A0A0A"/>
        </w:rPr>
        <w:t xml:space="preserve"> shall be payable in monthly installments of </w:t>
      </w:r>
      <w:r>
        <w:rPr>
          <w:rFonts w:ascii="Times New Roman" w:cs="Times New Roman" w:eastAsia="Times New Roman" w:hAnsi="Times New Roman"/>
          <w:sz w:val="19"/>
          <w:szCs w:val="19"/>
          <w:u w:val="single" w:color="auto"/>
          <w:color w:val="0A0A0A"/>
        </w:rPr>
        <w:t>Thirty Six Thousand Four Hundred Seventy Dollars and 40 Cents ($36,470.40).</w:t>
      </w:r>
    </w:p>
    <w:p>
      <w:pPr>
        <w:spacing w:after="0" w:line="86" w:lineRule="exact"/>
        <w:rPr>
          <w:rFonts w:ascii="Times New Roman" w:cs="Times New Roman" w:eastAsia="Times New Roman" w:hAnsi="Times New Roman"/>
          <w:sz w:val="19"/>
          <w:szCs w:val="19"/>
          <w:color w:val="0A0A0A"/>
        </w:rPr>
      </w:pPr>
    </w:p>
    <w:p>
      <w:pPr>
        <w:ind w:left="760" w:right="460" w:hanging="503"/>
        <w:spacing w:after="0" w:line="228" w:lineRule="auto"/>
        <w:tabs>
          <w:tab w:leader="none" w:pos="760" w:val="left"/>
        </w:tabs>
        <w:numPr>
          <w:ilvl w:val="0"/>
          <w:numId w:val="9"/>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 xml:space="preserve">Rent for the Leased Premises (Units I,J,K,L,M,N,H) from </w:t>
      </w:r>
      <w:r>
        <w:rPr>
          <w:rFonts w:ascii="Times New Roman" w:cs="Times New Roman" w:eastAsia="Times New Roman" w:hAnsi="Times New Roman"/>
          <w:sz w:val="19"/>
          <w:szCs w:val="19"/>
          <w:b w:val="1"/>
          <w:bCs w:val="1"/>
          <w:color w:val="0A0A0A"/>
        </w:rPr>
        <w:t>October 1</w:t>
      </w:r>
      <w:r>
        <w:rPr>
          <w:rFonts w:ascii="Times New Roman" w:cs="Times New Roman" w:eastAsia="Times New Roman" w:hAnsi="Times New Roman"/>
          <w:sz w:val="25"/>
          <w:szCs w:val="25"/>
          <w:b w:val="1"/>
          <w:bCs w:val="1"/>
          <w:color w:val="0A0A0A"/>
          <w:vertAlign w:val="superscript"/>
        </w:rPr>
        <w:t>st</w:t>
      </w:r>
      <w:r>
        <w:rPr>
          <w:rFonts w:ascii="Times New Roman" w:cs="Times New Roman" w:eastAsia="Times New Roman" w:hAnsi="Times New Roman"/>
          <w:sz w:val="19"/>
          <w:szCs w:val="19"/>
          <w:b w:val="1"/>
          <w:bCs w:val="1"/>
          <w:color w:val="0A0A0A"/>
        </w:rPr>
        <w:t>, 2026 to September 30, 2027</w:t>
      </w:r>
      <w:r>
        <w:rPr>
          <w:rFonts w:ascii="Times New Roman" w:cs="Times New Roman" w:eastAsia="Times New Roman" w:hAnsi="Times New Roman"/>
          <w:sz w:val="19"/>
          <w:szCs w:val="19"/>
          <w:color w:val="0A0A0A"/>
        </w:rPr>
        <w:t xml:space="preserve"> shall be payable in monthly installments of </w:t>
      </w:r>
      <w:r>
        <w:rPr>
          <w:rFonts w:ascii="Times New Roman" w:cs="Times New Roman" w:eastAsia="Times New Roman" w:hAnsi="Times New Roman"/>
          <w:sz w:val="19"/>
          <w:szCs w:val="19"/>
          <w:u w:val="single" w:color="auto"/>
          <w:color w:val="0A0A0A"/>
        </w:rPr>
        <w:t>Thirty Seven Thousand Five Hundred Eighty Four Dollars and 00 Cents ($37,584.00).</w:t>
      </w:r>
    </w:p>
    <w:p>
      <w:pPr>
        <w:spacing w:after="0" w:line="86" w:lineRule="exact"/>
        <w:rPr>
          <w:rFonts w:ascii="Times New Roman" w:cs="Times New Roman" w:eastAsia="Times New Roman" w:hAnsi="Times New Roman"/>
          <w:sz w:val="19"/>
          <w:szCs w:val="19"/>
          <w:color w:val="0A0A0A"/>
        </w:rPr>
      </w:pPr>
    </w:p>
    <w:p>
      <w:pPr>
        <w:ind w:left="760" w:right="460" w:hanging="503"/>
        <w:spacing w:after="0" w:line="228" w:lineRule="auto"/>
        <w:tabs>
          <w:tab w:leader="none" w:pos="760" w:val="left"/>
        </w:tabs>
        <w:numPr>
          <w:ilvl w:val="0"/>
          <w:numId w:val="9"/>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 xml:space="preserve">Rent for the Leased Premises (Units I,J,K,L,M,N,H) from </w:t>
      </w:r>
      <w:r>
        <w:rPr>
          <w:rFonts w:ascii="Times New Roman" w:cs="Times New Roman" w:eastAsia="Times New Roman" w:hAnsi="Times New Roman"/>
          <w:sz w:val="19"/>
          <w:szCs w:val="19"/>
          <w:b w:val="1"/>
          <w:bCs w:val="1"/>
          <w:color w:val="0A0A0A"/>
        </w:rPr>
        <w:t>October 1</w:t>
      </w:r>
      <w:r>
        <w:rPr>
          <w:rFonts w:ascii="Times New Roman" w:cs="Times New Roman" w:eastAsia="Times New Roman" w:hAnsi="Times New Roman"/>
          <w:sz w:val="25"/>
          <w:szCs w:val="25"/>
          <w:b w:val="1"/>
          <w:bCs w:val="1"/>
          <w:color w:val="0A0A0A"/>
          <w:vertAlign w:val="superscript"/>
        </w:rPr>
        <w:t>st</w:t>
      </w:r>
      <w:r>
        <w:rPr>
          <w:rFonts w:ascii="Times New Roman" w:cs="Times New Roman" w:eastAsia="Times New Roman" w:hAnsi="Times New Roman"/>
          <w:sz w:val="19"/>
          <w:szCs w:val="19"/>
          <w:b w:val="1"/>
          <w:bCs w:val="1"/>
          <w:color w:val="0A0A0A"/>
        </w:rPr>
        <w:t>, 2027 to September 30, 2028</w:t>
      </w:r>
      <w:r>
        <w:rPr>
          <w:rFonts w:ascii="Times New Roman" w:cs="Times New Roman" w:eastAsia="Times New Roman" w:hAnsi="Times New Roman"/>
          <w:sz w:val="19"/>
          <w:szCs w:val="19"/>
          <w:color w:val="0A0A0A"/>
        </w:rPr>
        <w:t xml:space="preserve"> shall be payable in monthly installments of </w:t>
      </w:r>
      <w:r>
        <w:rPr>
          <w:rFonts w:ascii="Times New Roman" w:cs="Times New Roman" w:eastAsia="Times New Roman" w:hAnsi="Times New Roman"/>
          <w:sz w:val="19"/>
          <w:szCs w:val="19"/>
          <w:u w:val="single" w:color="auto"/>
          <w:color w:val="0A0A0A"/>
        </w:rPr>
        <w:t>Thirty Eight Thousand Six Hundred Ninety Seven Dollars and 60 Cents ($38,697.60).</w:t>
      </w:r>
    </w:p>
    <w:p>
      <w:pPr>
        <w:spacing w:after="0" w:line="5" w:lineRule="exact"/>
        <w:rPr>
          <w:rFonts w:ascii="Times New Roman" w:cs="Times New Roman" w:eastAsia="Times New Roman" w:hAnsi="Times New Roman"/>
          <w:sz w:val="19"/>
          <w:szCs w:val="19"/>
          <w:color w:val="0A0A0A"/>
        </w:rPr>
      </w:pPr>
    </w:p>
    <w:p>
      <w:pPr>
        <w:ind w:left="760" w:right="440" w:hanging="503"/>
        <w:spacing w:after="0" w:line="228" w:lineRule="auto"/>
        <w:tabs>
          <w:tab w:leader="none" w:pos="760" w:val="left"/>
        </w:tabs>
        <w:numPr>
          <w:ilvl w:val="0"/>
          <w:numId w:val="9"/>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 xml:space="preserve">Rent for the Leased Premises (Units J,J,K,L,M,N,H) from </w:t>
      </w:r>
      <w:r>
        <w:rPr>
          <w:rFonts w:ascii="Times New Roman" w:cs="Times New Roman" w:eastAsia="Times New Roman" w:hAnsi="Times New Roman"/>
          <w:sz w:val="19"/>
          <w:szCs w:val="19"/>
          <w:b w:val="1"/>
          <w:bCs w:val="1"/>
          <w:color w:val="0A0A0A"/>
        </w:rPr>
        <w:t>October 1</w:t>
      </w:r>
      <w:r>
        <w:rPr>
          <w:rFonts w:ascii="Times New Roman" w:cs="Times New Roman" w:eastAsia="Times New Roman" w:hAnsi="Times New Roman"/>
          <w:sz w:val="25"/>
          <w:szCs w:val="25"/>
          <w:b w:val="1"/>
          <w:bCs w:val="1"/>
          <w:color w:val="0A0A0A"/>
          <w:vertAlign w:val="superscript"/>
        </w:rPr>
        <w:t>st</w:t>
      </w:r>
      <w:r>
        <w:rPr>
          <w:rFonts w:ascii="Times New Roman" w:cs="Times New Roman" w:eastAsia="Times New Roman" w:hAnsi="Times New Roman"/>
          <w:sz w:val="19"/>
          <w:szCs w:val="19"/>
          <w:b w:val="1"/>
          <w:bCs w:val="1"/>
          <w:color w:val="0A0A0A"/>
        </w:rPr>
        <w:t>, 2028 to September 30, 2029</w:t>
      </w:r>
      <w:r>
        <w:rPr>
          <w:rFonts w:ascii="Times New Roman" w:cs="Times New Roman" w:eastAsia="Times New Roman" w:hAnsi="Times New Roman"/>
          <w:sz w:val="19"/>
          <w:szCs w:val="19"/>
          <w:color w:val="0A0A0A"/>
        </w:rPr>
        <w:t xml:space="preserve"> shall be payable in monthly installments of </w:t>
      </w:r>
      <w:r>
        <w:rPr>
          <w:rFonts w:ascii="Times New Roman" w:cs="Times New Roman" w:eastAsia="Times New Roman" w:hAnsi="Times New Roman"/>
          <w:sz w:val="19"/>
          <w:szCs w:val="19"/>
          <w:u w:val="single" w:color="auto"/>
          <w:color w:val="0A0A0A"/>
        </w:rPr>
        <w:t>Forty Thousand Eighty nine Dollars and 60 Cents ($40,089.60).</w:t>
      </w:r>
    </w:p>
    <w:p>
      <w:pPr>
        <w:spacing w:after="0" w:line="1" w:lineRule="exact"/>
        <w:rPr>
          <w:rFonts w:ascii="Times New Roman" w:cs="Times New Roman" w:eastAsia="Times New Roman" w:hAnsi="Times New Roman"/>
          <w:sz w:val="19"/>
          <w:szCs w:val="19"/>
          <w:color w:val="0A0A0A"/>
        </w:rPr>
      </w:pPr>
    </w:p>
    <w:p>
      <w:pPr>
        <w:ind w:left="760" w:right="460" w:hanging="503"/>
        <w:spacing w:after="0" w:line="224" w:lineRule="auto"/>
        <w:tabs>
          <w:tab w:leader="none" w:pos="760" w:val="left"/>
        </w:tabs>
        <w:numPr>
          <w:ilvl w:val="0"/>
          <w:numId w:val="9"/>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 xml:space="preserve">Rent for the Leased Premises (Units I,J,K,L,M,N,H) from </w:t>
      </w:r>
      <w:r>
        <w:rPr>
          <w:rFonts w:ascii="Times New Roman" w:cs="Times New Roman" w:eastAsia="Times New Roman" w:hAnsi="Times New Roman"/>
          <w:sz w:val="19"/>
          <w:szCs w:val="19"/>
          <w:b w:val="1"/>
          <w:bCs w:val="1"/>
          <w:color w:val="0A0A0A"/>
        </w:rPr>
        <w:t>October 1</w:t>
      </w:r>
      <w:r>
        <w:rPr>
          <w:rFonts w:ascii="Times New Roman" w:cs="Times New Roman" w:eastAsia="Times New Roman" w:hAnsi="Times New Roman"/>
          <w:sz w:val="25"/>
          <w:szCs w:val="25"/>
          <w:b w:val="1"/>
          <w:bCs w:val="1"/>
          <w:color w:val="0A0A0A"/>
          <w:vertAlign w:val="superscript"/>
        </w:rPr>
        <w:t>st</w:t>
      </w:r>
      <w:r>
        <w:rPr>
          <w:rFonts w:ascii="Times New Roman" w:cs="Times New Roman" w:eastAsia="Times New Roman" w:hAnsi="Times New Roman"/>
          <w:sz w:val="19"/>
          <w:szCs w:val="19"/>
          <w:b w:val="1"/>
          <w:bCs w:val="1"/>
          <w:color w:val="0A0A0A"/>
        </w:rPr>
        <w:t>, 2029 to September 30, 2030</w:t>
      </w:r>
      <w:r>
        <w:rPr>
          <w:rFonts w:ascii="Times New Roman" w:cs="Times New Roman" w:eastAsia="Times New Roman" w:hAnsi="Times New Roman"/>
          <w:sz w:val="19"/>
          <w:szCs w:val="19"/>
          <w:color w:val="0A0A0A"/>
        </w:rPr>
        <w:t xml:space="preserve"> shall be payable in monthly installments of </w:t>
      </w:r>
      <w:r>
        <w:rPr>
          <w:rFonts w:ascii="Times New Roman" w:cs="Times New Roman" w:eastAsia="Times New Roman" w:hAnsi="Times New Roman"/>
          <w:sz w:val="19"/>
          <w:szCs w:val="19"/>
          <w:u w:val="single" w:color="auto"/>
          <w:color w:val="0A0A0A"/>
        </w:rPr>
        <w:t>Forty one Thousand Four Hundred Eighty one Dollars and 60 Cents ($41,481.60).</w:t>
      </w:r>
    </w:p>
    <w:p>
      <w:pPr>
        <w:ind w:left="760" w:right="380" w:hanging="503"/>
        <w:spacing w:after="0" w:line="247" w:lineRule="auto"/>
        <w:tabs>
          <w:tab w:leader="none" w:pos="760" w:val="left"/>
        </w:tabs>
        <w:numPr>
          <w:ilvl w:val="0"/>
          <w:numId w:val="9"/>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The Lessee shall have the right, but not the obligation, to make certain changes at lessee's sole expense to the interior improvements, (including removing office walls) provided that prior to vacating the premises Lessee restores the premises to their original condition, unless lessor indicates his intention to accept the changes and improvements as made.</w:t>
      </w:r>
    </w:p>
    <w:p>
      <w:pPr>
        <w:ind w:left="740" w:right="740" w:hanging="483"/>
        <w:spacing w:after="0" w:line="244" w:lineRule="auto"/>
        <w:tabs>
          <w:tab w:leader="none" w:pos="740" w:val="left"/>
        </w:tabs>
        <w:numPr>
          <w:ilvl w:val="0"/>
          <w:numId w:val="9"/>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Upon Termination of the lease term, the Lessee is obligated to continue to pay rent while the Lessor is going thru permits and restoration of the units to its original form.</w:t>
      </w:r>
    </w:p>
    <w:p>
      <w:pPr>
        <w:spacing w:after="0" w:line="1" w:lineRule="exact"/>
        <w:rPr>
          <w:rFonts w:ascii="Times New Roman" w:cs="Times New Roman" w:eastAsia="Times New Roman" w:hAnsi="Times New Roman"/>
          <w:sz w:val="19"/>
          <w:szCs w:val="19"/>
          <w:color w:val="0A0A0A"/>
        </w:rPr>
      </w:pPr>
    </w:p>
    <w:p>
      <w:pPr>
        <w:ind w:left="760" w:right="360" w:hanging="503"/>
        <w:spacing w:after="0" w:line="242" w:lineRule="auto"/>
        <w:tabs>
          <w:tab w:leader="none" w:pos="760" w:val="left"/>
        </w:tabs>
        <w:numPr>
          <w:ilvl w:val="0"/>
          <w:numId w:val="9"/>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 xml:space="preserve">The Lessee to pay an additional Eleven Months (11 X $35,356.80 </w:t>
      </w:r>
      <w:r>
        <w:rPr>
          <w:rFonts w:ascii="Times New Roman" w:cs="Times New Roman" w:eastAsia="Times New Roman" w:hAnsi="Times New Roman"/>
          <w:sz w:val="19"/>
          <w:szCs w:val="19"/>
          <w:color w:val="212121"/>
        </w:rPr>
        <w:t>= $388,924.80)</w:t>
      </w:r>
      <w:r>
        <w:rPr>
          <w:rFonts w:ascii="Times New Roman" w:cs="Times New Roman" w:eastAsia="Times New Roman" w:hAnsi="Times New Roman"/>
          <w:sz w:val="19"/>
          <w:szCs w:val="19"/>
          <w:color w:val="0A0A0A"/>
        </w:rPr>
        <w:t xml:space="preserve"> as additional deposit (currently $29,520.00) and downpayment towards the restoration and permit fees (Total deposit after payment $418,444</w:t>
      </w:r>
      <w:r>
        <w:rPr>
          <w:rFonts w:ascii="Times New Roman" w:cs="Times New Roman" w:eastAsia="Times New Roman" w:hAnsi="Times New Roman"/>
          <w:sz w:val="19"/>
          <w:szCs w:val="19"/>
          <w:color w:val="424242"/>
        </w:rPr>
        <w:t>.</w:t>
      </w:r>
      <w:r>
        <w:rPr>
          <w:rFonts w:ascii="Times New Roman" w:cs="Times New Roman" w:eastAsia="Times New Roman" w:hAnsi="Times New Roman"/>
          <w:sz w:val="19"/>
          <w:szCs w:val="19"/>
          <w:color w:val="0A0A0A"/>
        </w:rPr>
        <w:t>80). Actual cost to be determined at the termination of the lease when the balance will be calculated.</w:t>
      </w:r>
    </w:p>
    <w:p>
      <w:pPr>
        <w:ind w:left="760" w:hanging="503"/>
        <w:spacing w:after="0"/>
        <w:tabs>
          <w:tab w:leader="none" w:pos="760" w:val="left"/>
        </w:tabs>
        <w:numPr>
          <w:ilvl w:val="0"/>
          <w:numId w:val="9"/>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Any property tax reassessment to the building due to the construction to be charged back to the Lessee.</w:t>
      </w:r>
    </w:p>
    <w:p>
      <w:pPr>
        <w:spacing w:after="0" w:line="24" w:lineRule="exact"/>
        <w:rPr>
          <w:rFonts w:ascii="Times New Roman" w:cs="Times New Roman" w:eastAsia="Times New Roman" w:hAnsi="Times New Roman"/>
          <w:sz w:val="19"/>
          <w:szCs w:val="19"/>
          <w:color w:val="0A0A0A"/>
        </w:rPr>
      </w:pPr>
    </w:p>
    <w:p>
      <w:pPr>
        <w:ind w:left="760" w:hanging="503"/>
        <w:spacing w:after="0"/>
        <w:tabs>
          <w:tab w:leader="none" w:pos="760" w:val="left"/>
        </w:tabs>
        <w:numPr>
          <w:ilvl w:val="0"/>
          <w:numId w:val="9"/>
        </w:numPr>
        <w:rPr>
          <w:rFonts w:ascii="Times New Roman" w:cs="Times New Roman" w:eastAsia="Times New Roman" w:hAnsi="Times New Roman"/>
          <w:sz w:val="19"/>
          <w:szCs w:val="19"/>
          <w:color w:val="0A0A0A"/>
        </w:rPr>
      </w:pPr>
      <w:r>
        <w:rPr>
          <w:rFonts w:ascii="Times New Roman" w:cs="Times New Roman" w:eastAsia="Times New Roman" w:hAnsi="Times New Roman"/>
          <w:sz w:val="19"/>
          <w:szCs w:val="19"/>
          <w:color w:val="0A0A0A"/>
        </w:rPr>
        <w:t>All other terms and conditions of said Lease shall remain in full force and effect.</w:t>
      </w:r>
    </w:p>
    <w:p>
      <w:pPr>
        <w:spacing w:after="0" w:line="226" w:lineRule="exact"/>
        <w:rPr>
          <w:sz w:val="20"/>
          <w:szCs w:val="20"/>
          <w:color w:val="auto"/>
        </w:rPr>
      </w:pPr>
    </w:p>
    <w:p>
      <w:pPr>
        <w:ind w:right="100" w:firstLine="740"/>
        <w:spacing w:after="0" w:line="265" w:lineRule="auto"/>
        <w:rPr>
          <w:sz w:val="20"/>
          <w:szCs w:val="20"/>
          <w:color w:val="auto"/>
        </w:rPr>
      </w:pPr>
      <w:r>
        <w:rPr>
          <w:rFonts w:ascii="Times New Roman" w:cs="Times New Roman" w:eastAsia="Times New Roman" w:hAnsi="Times New Roman"/>
          <w:sz w:val="19"/>
          <w:szCs w:val="19"/>
          <w:color w:val="0A0A0A"/>
        </w:rPr>
        <w:t>IN WITNESS WHEREOF, the Parties hereto have executed this instrument by proper persons thereunto duly authorized to do the day and year first hereinabove written.</w:t>
      </w: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LESSOR</w:t>
            </w:r>
          </w:p>
        </w:tc>
        <w:tc>
          <w:tcPr>
            <w:tcW w:w="4700" w:type="dxa"/>
            <w:vAlign w:val="bottom"/>
            <w:gridSpan w:val="5"/>
          </w:tcPr>
          <w:p>
            <w:pPr>
              <w:ind w:left="1720"/>
              <w:spacing w:after="0"/>
              <w:rPr>
                <w:sz w:val="20"/>
                <w:szCs w:val="20"/>
                <w:color w:val="auto"/>
              </w:rPr>
            </w:pPr>
            <w:r>
              <w:rPr>
                <w:rFonts w:ascii="Times New Roman" w:cs="Times New Roman" w:eastAsia="Times New Roman" w:hAnsi="Times New Roman"/>
                <w:sz w:val="18"/>
                <w:szCs w:val="18"/>
                <w:b w:val="1"/>
                <w:bCs w:val="1"/>
                <w:color w:val="auto"/>
              </w:rPr>
              <w:t>LESSEE</w:t>
            </w:r>
          </w:p>
        </w:tc>
      </w:tr>
      <w:tr>
        <w:trPr>
          <w:trHeight w:val="432"/>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HARTCO-VENTURA INC.</w:t>
            </w:r>
          </w:p>
        </w:tc>
        <w:tc>
          <w:tcPr>
            <w:tcW w:w="4700" w:type="dxa"/>
            <w:vAlign w:val="bottom"/>
            <w:gridSpan w:val="5"/>
          </w:tcPr>
          <w:p>
            <w:pPr>
              <w:ind w:left="1720"/>
              <w:spacing w:after="0"/>
              <w:rPr>
                <w:sz w:val="20"/>
                <w:szCs w:val="20"/>
                <w:color w:val="auto"/>
              </w:rPr>
            </w:pPr>
            <w:r>
              <w:rPr>
                <w:rFonts w:ascii="Times New Roman" w:cs="Times New Roman" w:eastAsia="Times New Roman" w:hAnsi="Times New Roman"/>
                <w:sz w:val="18"/>
                <w:szCs w:val="18"/>
                <w:b w:val="1"/>
                <w:bCs w:val="1"/>
                <w:color w:val="auto"/>
                <w:w w:val="99"/>
              </w:rPr>
              <w:t>AVITA MEDICAL AMERICAS, LLC</w:t>
            </w:r>
          </w:p>
        </w:tc>
      </w:tr>
      <w:tr>
        <w:trPr>
          <w:trHeight w:val="391"/>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John Saleh</w:t>
            </w:r>
          </w:p>
        </w:tc>
        <w:tc>
          <w:tcPr>
            <w:tcW w:w="4700" w:type="dxa"/>
            <w:vAlign w:val="bottom"/>
            <w:gridSpan w:val="5"/>
          </w:tcPr>
          <w:p>
            <w:pPr>
              <w:ind w:left="1720"/>
              <w:spacing w:after="0"/>
              <w:rPr>
                <w:sz w:val="20"/>
                <w:szCs w:val="20"/>
                <w:color w:val="auto"/>
              </w:rPr>
            </w:pPr>
            <w:r>
              <w:rPr>
                <w:rFonts w:ascii="Times New Roman" w:cs="Times New Roman" w:eastAsia="Times New Roman" w:hAnsi="Times New Roman"/>
                <w:sz w:val="18"/>
                <w:szCs w:val="18"/>
                <w:color w:val="auto"/>
              </w:rPr>
              <w:t>By: /s/ James Corbett</w:t>
            </w:r>
          </w:p>
        </w:tc>
      </w:tr>
      <w:tr>
        <w:trPr>
          <w:trHeight w:val="20"/>
        </w:trPr>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20" w:type="dxa"/>
            <w:vAlign w:val="bottom"/>
            <w:tcBorders>
              <w:left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6"/>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John Saleh</w:t>
            </w:r>
          </w:p>
        </w:tc>
        <w:tc>
          <w:tcPr>
            <w:tcW w:w="4700" w:type="dxa"/>
            <w:vAlign w:val="bottom"/>
            <w:gridSpan w:val="5"/>
          </w:tcPr>
          <w:p>
            <w:pPr>
              <w:ind w:left="1720"/>
              <w:spacing w:after="0"/>
              <w:rPr>
                <w:sz w:val="20"/>
                <w:szCs w:val="20"/>
                <w:color w:val="auto"/>
              </w:rPr>
            </w:pPr>
            <w:r>
              <w:rPr>
                <w:rFonts w:ascii="Times New Roman" w:cs="Times New Roman" w:eastAsia="Times New Roman" w:hAnsi="Times New Roman"/>
                <w:sz w:val="18"/>
                <w:szCs w:val="18"/>
                <w:color w:val="auto"/>
              </w:rPr>
              <w:t>James Corbett</w:t>
            </w:r>
          </w:p>
        </w:tc>
      </w:tr>
      <w:tr>
        <w:trPr>
          <w:trHeight w:val="392"/>
        </w:trPr>
        <w:tc>
          <w:tcPr>
            <w:tcW w:w="3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03-11-2025</w:t>
            </w:r>
          </w:p>
        </w:tc>
        <w:tc>
          <w:tcPr>
            <w:tcW w:w="4700" w:type="dxa"/>
            <w:vAlign w:val="bottom"/>
            <w:gridSpan w:val="5"/>
          </w:tcPr>
          <w:p>
            <w:pPr>
              <w:ind w:left="1720"/>
              <w:spacing w:after="0"/>
              <w:rPr>
                <w:sz w:val="20"/>
                <w:szCs w:val="20"/>
                <w:color w:val="auto"/>
              </w:rPr>
            </w:pPr>
            <w:r>
              <w:rPr>
                <w:rFonts w:ascii="Times New Roman" w:cs="Times New Roman" w:eastAsia="Times New Roman" w:hAnsi="Times New Roman"/>
                <w:sz w:val="18"/>
                <w:szCs w:val="18"/>
                <w:color w:val="auto"/>
              </w:rPr>
              <w:t>Date: 04-01-2025</w:t>
            </w: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1084580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76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WAIVER</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WAIVER</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is made and entered into as of June 30,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by and among </w:t>
      </w:r>
      <w:r>
        <w:rPr>
          <w:rFonts w:ascii="Times New Roman" w:cs="Times New Roman" w:eastAsia="Times New Roman" w:hAnsi="Times New Roman"/>
          <w:sz w:val="22"/>
          <w:szCs w:val="22"/>
          <w:b w:val="1"/>
          <w:bCs w:val="1"/>
          <w:color w:val="auto"/>
        </w:rPr>
        <w:t>AVITA MEDICAL, INC.</w:t>
      </w:r>
      <w:r>
        <w:rPr>
          <w:rFonts w:ascii="Times New Roman" w:cs="Times New Roman" w:eastAsia="Times New Roman" w:hAnsi="Times New Roman"/>
          <w:sz w:val="22"/>
          <w:szCs w:val="22"/>
          <w:color w:val="auto"/>
        </w:rPr>
        <w:t xml:space="preserve"> ,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ORCO IV LLC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ORBIMED ROYALTY &amp;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CREDIT OPPORTUNITIES IV OFFSHORE, LP</w:t>
      </w:r>
      <w:r>
        <w:rPr>
          <w:rFonts w:ascii="Times New Roman" w:cs="Times New Roman" w:eastAsia="Times New Roman" w:hAnsi="Times New Roman"/>
          <w:sz w:val="22"/>
          <w:szCs w:val="22"/>
          <w:color w:val="auto"/>
        </w:rPr>
        <w:t>, as Lenders, and</w:t>
      </w:r>
      <w:r>
        <w:rPr>
          <w:rFonts w:ascii="Times New Roman" w:cs="Times New Roman" w:eastAsia="Times New Roman" w:hAnsi="Times New Roman"/>
          <w:sz w:val="22"/>
          <w:szCs w:val="22"/>
          <w:b w:val="1"/>
          <w:bCs w:val="1"/>
          <w:color w:val="auto"/>
        </w:rPr>
        <w:t xml:space="preserve"> ORCO IV LLC</w:t>
      </w:r>
      <w:r>
        <w:rPr>
          <w:rFonts w:ascii="Times New Roman" w:cs="Times New Roman" w:eastAsia="Times New Roman" w:hAnsi="Times New Roman"/>
          <w:sz w:val="22"/>
          <w:szCs w:val="22"/>
          <w:color w:val="auto"/>
        </w:rPr>
        <w:t>, as administrative agent for the Lenders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(together with its Affiliates, successors, transferees and assignees,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 the Lenders and the Administrative Agent entered into a Credit Agreement, dated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October 18, 2023, as amended by that certain Waiver and First Amendment to Credit Agreement, dated as of November 30, 2023, as amended by that certain Second Amendment to Credit Agreement, dated as of May 28, 2024, as amended by that certain Third Amendment to Credit Agreement, dated as of November 7, 2024, as amended by that certain Fourth Amendment to Credit Agreement, dated as of February 13, 2025, and as modified by that certain Waiver, effective as of March 31, 2025 (as so amended and modified,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pursuant to which the Lenders have extended credit to the Borrower on the terms set forth therein;</w:t>
      </w:r>
    </w:p>
    <w:p>
      <w:pPr>
        <w:spacing w:after="0" w:line="176" w:lineRule="exact"/>
        <w:rPr>
          <w:sz w:val="20"/>
          <w:szCs w:val="20"/>
          <w:color w:val="auto"/>
        </w:rPr>
      </w:pPr>
    </w:p>
    <w:p>
      <w:pPr>
        <w:jc w:val="both"/>
        <w:ind w:firstLine="1083"/>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 pursuant to Section 3.2 of the Credit Agreement, the Borrower is required to make Amortization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Payments in the event the Borrower fails to satisfy the Product Revenue Base test set forth therein as of the applicable Test Dates;</w:t>
      </w:r>
    </w:p>
    <w:p>
      <w:pPr>
        <w:spacing w:after="0" w:line="18" w:lineRule="exact"/>
        <w:rPr>
          <w:sz w:val="20"/>
          <w:szCs w:val="20"/>
          <w:color w:val="auto"/>
        </w:rPr>
      </w:pPr>
    </w:p>
    <w:p>
      <w:pPr>
        <w:jc w:val="both"/>
        <w:ind w:firstLine="1497"/>
        <w:spacing w:after="0" w:line="26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Borrower has requested that the Lenders waive, solely with respect to the Test Date of June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30, 2025, the Product Revenue Base test set forth in Section 3.2 of the Credit Agreement for such Test Date (the “</w:t>
      </w:r>
      <w:r>
        <w:rPr>
          <w:rFonts w:ascii="Times New Roman" w:cs="Times New Roman" w:eastAsia="Times New Roman" w:hAnsi="Times New Roman"/>
          <w:sz w:val="21"/>
          <w:szCs w:val="21"/>
          <w:u w:val="single" w:color="auto"/>
          <w:color w:val="auto"/>
        </w:rPr>
        <w:t>Q2 2025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Amortization Test</w:t>
      </w:r>
      <w:r>
        <w:rPr>
          <w:rFonts w:ascii="Times New Roman" w:cs="Times New Roman" w:eastAsia="Times New Roman" w:hAnsi="Times New Roman"/>
          <w:sz w:val="21"/>
          <w:szCs w:val="21"/>
          <w:color w:val="auto"/>
        </w:rPr>
        <w:t>”), and the Lenders agree to provide such waiver on the terms and subject to the conditions set forth herein; and</w:t>
      </w:r>
    </w:p>
    <w:p>
      <w:pPr>
        <w:spacing w:after="0" w:line="4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undersigned Lenders comprise all Lenders under the Credit Agreement.</w:t>
      </w:r>
    </w:p>
    <w:p>
      <w:pPr>
        <w:spacing w:after="0" w:line="98"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agreements herein contained, and for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the parties hereto agree as follows:</w:t>
      </w:r>
    </w:p>
    <w:p>
      <w:pPr>
        <w:spacing w:after="0" w:line="150" w:lineRule="exact"/>
        <w:rPr>
          <w:sz w:val="20"/>
          <w:szCs w:val="20"/>
          <w:color w:val="auto"/>
        </w:rPr>
      </w:pPr>
    </w:p>
    <w:p>
      <w:pPr>
        <w:jc w:val="both"/>
        <w:ind w:firstLine="1505"/>
        <w:spacing w:after="0" w:line="246" w:lineRule="auto"/>
        <w:tabs>
          <w:tab w:leader="none" w:pos="20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 Loan Document</w:t>
      </w:r>
      <w:r>
        <w:rPr>
          <w:rFonts w:ascii="Times New Roman" w:cs="Times New Roman" w:eastAsia="Times New Roman" w:hAnsi="Times New Roman"/>
          <w:sz w:val="22"/>
          <w:szCs w:val="22"/>
          <w:color w:val="auto"/>
        </w:rPr>
        <w:t>. Capitalized terms used herein without definition shall have the meanings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assigned to such terms in the Credit Agreement. This Waiver shall constitute a Loan Document for all purposes of the Credit Agreement and the other Loan Documents.</w:t>
      </w:r>
    </w:p>
    <w:p>
      <w:pPr>
        <w:spacing w:after="0" w:line="167"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Subject to the effectiveness of this Waiver and the terms and conditions set forth herein, solely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the Test Date of June 30, 2025 under Section 3.2 of the Credit Agreement, the Lenders agree to waive the Q2 2025 Amortization Test and the Amortization Payment that would otherwise be required with respect to such Test Date.</w:t>
      </w:r>
    </w:p>
    <w:p>
      <w:pPr>
        <w:spacing w:after="0" w:line="167"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Conditions to Effectiveness of Waiver</w:t>
      </w:r>
      <w:r>
        <w:rPr>
          <w:rFonts w:ascii="Times New Roman" w:cs="Times New Roman" w:eastAsia="Times New Roman" w:hAnsi="Times New Roman"/>
          <w:sz w:val="22"/>
          <w:szCs w:val="22"/>
          <w:color w:val="auto"/>
        </w:rPr>
        <w:t>. This Waiver is deemed effective on the Effective Date,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receipt by the Lenders, the Administrative Agent and the Borrower of a counterpart signature of the other to this Waiver duly executed and delivered by each of the Lenders, the Administrative Agent and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both"/>
        <w:ind w:left="-1120" w:firstLine="1505"/>
        <w:spacing w:after="0" w:line="241" w:lineRule="auto"/>
        <w:tabs>
          <w:tab w:leader="none" w:pos="91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color w:val="auto"/>
        </w:rPr>
        <w:t>. The Borrower agrees to pay on demand all expenses of the Administrative Agent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Lenders (including, without limitation, the fees and out-of-pocket expenses of Covington &amp; Burling LLP, counsel to the Administrative Agent and the Lenders) incurred in connection with the negotiation, preparation, execution and delivery of this Waiver.</w:t>
      </w:r>
    </w:p>
    <w:p>
      <w:pPr>
        <w:spacing w:after="0" w:line="171" w:lineRule="exact"/>
        <w:rPr>
          <w:rFonts w:ascii="Times New Roman" w:cs="Times New Roman" w:eastAsia="Times New Roman" w:hAnsi="Times New Roman"/>
          <w:sz w:val="22"/>
          <w:szCs w:val="22"/>
          <w:color w:val="auto"/>
        </w:rPr>
      </w:pPr>
    </w:p>
    <w:p>
      <w:pPr>
        <w:ind w:left="-1120" w:firstLine="1505"/>
        <w:spacing w:after="0" w:line="262" w:lineRule="auto"/>
        <w:tabs>
          <w:tab w:leader="none" w:pos="91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color w:val="auto"/>
        </w:rPr>
        <w:t>. The Borrower represents and warrants to the Lenders,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of this Waiver, as follows:</w:t>
      </w:r>
    </w:p>
    <w:p>
      <w:pPr>
        <w:spacing w:after="0" w:line="154" w:lineRule="exact"/>
        <w:rPr>
          <w:sz w:val="20"/>
          <w:szCs w:val="20"/>
          <w:color w:val="auto"/>
        </w:rPr>
      </w:pPr>
    </w:p>
    <w:p>
      <w:pPr>
        <w:jc w:val="both"/>
        <w:ind w:left="-1120" w:firstLine="1505"/>
        <w:spacing w:after="0" w:line="235" w:lineRule="auto"/>
        <w:tabs>
          <w:tab w:leader="none" w:pos="91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Borrower and the Subsidiaries contained in the Credit Agreement or any other Loan Document are true and correct in all material respects as of the date hereof (except (i) with respect to representations and warranties expressly made as of an earlier date, in which case such representations and warranties are true and correct in all material respects as of such earlier date and (ii) if any such representation or warranty contains any materiality qualifier, such representation or warranty is true and correct in all respects).</w:t>
      </w:r>
    </w:p>
    <w:p>
      <w:pPr>
        <w:ind w:left="-1120" w:right="20" w:firstLine="1505"/>
        <w:spacing w:after="0" w:line="237" w:lineRule="auto"/>
        <w:tabs>
          <w:tab w:leader="none" w:pos="91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under the Credit Agreement has occurred and is continuing or would result from the effectiveness of this Waiver.</w:t>
      </w:r>
    </w:p>
    <w:p>
      <w:pPr>
        <w:spacing w:after="0" w:line="174" w:lineRule="exact"/>
        <w:rPr>
          <w:sz w:val="20"/>
          <w:szCs w:val="20"/>
          <w:color w:val="auto"/>
        </w:rPr>
      </w:pPr>
    </w:p>
    <w:p>
      <w:pPr>
        <w:jc w:val="both"/>
        <w:ind w:left="-1120" w:firstLine="1505"/>
        <w:spacing w:after="0" w:line="236" w:lineRule="auto"/>
        <w:tabs>
          <w:tab w:leader="none" w:pos="91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Implied Amendment or Waiver</w:t>
      </w:r>
      <w:r>
        <w:rPr>
          <w:rFonts w:ascii="Times New Roman" w:cs="Times New Roman" w:eastAsia="Times New Roman" w:hAnsi="Times New Roman"/>
          <w:sz w:val="22"/>
          <w:szCs w:val="22"/>
          <w:color w:val="auto"/>
        </w:rPr>
        <w:t>. Except as expressly set forth in this Waiver, this Waiver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implication or otherwise, limit, impair, constitute a waiver of or otherwise affect any rights or remedies of the Administrative Agent and the Lenders under the Credit Agreement or the other Loan Documents, or alter, modify, amend or in any way affect any of the terms, obligations or covenants contained in the Credit Agreement or the other Loan Documents, all of which shall continue in full force and effect. Nothing in this Waiver shall be construed to imply any willingness on the part of the Administrative Agent or any Lender to agree to or grant any similar or future amendment, consent or waiver of any of the terms and conditions of the Credit Agreement or the other Loan Documents.</w:t>
      </w:r>
    </w:p>
    <w:p>
      <w:pPr>
        <w:spacing w:after="0" w:line="175" w:lineRule="exact"/>
        <w:rPr>
          <w:rFonts w:ascii="Times New Roman" w:cs="Times New Roman" w:eastAsia="Times New Roman" w:hAnsi="Times New Roman"/>
          <w:sz w:val="22"/>
          <w:szCs w:val="22"/>
          <w:color w:val="auto"/>
        </w:rPr>
      </w:pPr>
    </w:p>
    <w:p>
      <w:pPr>
        <w:jc w:val="both"/>
        <w:ind w:left="-1120" w:firstLine="1505"/>
        <w:spacing w:after="0" w:line="237" w:lineRule="auto"/>
        <w:tabs>
          <w:tab w:leader="none" w:pos="91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and Release</w:t>
      </w:r>
      <w:r>
        <w:rPr>
          <w:rFonts w:ascii="Times New Roman" w:cs="Times New Roman" w:eastAsia="Times New Roman" w:hAnsi="Times New Roman"/>
          <w:sz w:val="22"/>
          <w:szCs w:val="22"/>
          <w:color w:val="auto"/>
        </w:rPr>
        <w:t>. TO INDUCE THE ADMINISTRATIVE AGENT AND THE LENDERS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TO THE TERMS OF THIS WAIVER, THE BORROWER AND ITS AFFILIATES (COLLECTIVELY, THE “</w:t>
      </w:r>
      <w:r>
        <w:rPr>
          <w:rFonts w:ascii="Times New Roman" w:cs="Times New Roman" w:eastAsia="Times New Roman" w:hAnsi="Times New Roman"/>
          <w:sz w:val="22"/>
          <w:szCs w:val="22"/>
          <w:b w:val="1"/>
          <w:bCs w:val="1"/>
          <w:color w:val="auto"/>
        </w:rPr>
        <w:t>RELEASING PARTIES</w:t>
      </w:r>
      <w:r>
        <w:rPr>
          <w:rFonts w:ascii="Times New Roman" w:cs="Times New Roman" w:eastAsia="Times New Roman" w:hAnsi="Times New Roman"/>
          <w:sz w:val="22"/>
          <w:szCs w:val="22"/>
          <w:color w:val="auto"/>
        </w:rPr>
        <w:t>”) REPRESENT AND WARRANT THAT, AS OF THE DATE HEREOF, THERE ARE NO CLAIMS OR OFFSETS AGAINST, OR RIGHTS OF RECOUPMENT WITH RESPECT TO, OR DISPUTES OF, OR DEFENSES OR COUNTERCLAIMS TO, THEIR OBLIGATIONS UNDER THE LOAN DOCUMENTS, AND IN ACCORDANCE THEREWITH THE RELEASING PARTIES:</w:t>
      </w:r>
    </w:p>
    <w:p>
      <w:pPr>
        <w:spacing w:after="0" w:line="179" w:lineRule="exact"/>
        <w:rPr>
          <w:sz w:val="20"/>
          <w:szCs w:val="20"/>
          <w:color w:val="auto"/>
        </w:rPr>
      </w:pPr>
    </w:p>
    <w:p>
      <w:pPr>
        <w:jc w:val="both"/>
        <w:ind w:left="-280" w:firstLine="665"/>
        <w:spacing w:after="0" w:line="244" w:lineRule="auto"/>
        <w:tabs>
          <w:tab w:leader="none" w:pos="9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ANY AND ALL SUCH CLAIMS, OFFSETS, RIGHTS OF RECOUPMENT, DISPUTES, DEFENSES AND COUNTERCLAIMS, WHETHER KNOWN OR UNKNOWN, ARISING PRIOR TO THE DATE HEREOF.</w:t>
      </w:r>
    </w:p>
    <w:p>
      <w:pPr>
        <w:spacing w:after="0" w:line="173" w:lineRule="exact"/>
        <w:rPr>
          <w:rFonts w:ascii="Times New Roman" w:cs="Times New Roman" w:eastAsia="Times New Roman" w:hAnsi="Times New Roman"/>
          <w:sz w:val="22"/>
          <w:szCs w:val="22"/>
          <w:color w:val="auto"/>
        </w:rPr>
      </w:pPr>
    </w:p>
    <w:p>
      <w:pPr>
        <w:jc w:val="both"/>
        <w:ind w:left="-280" w:firstLine="665"/>
        <w:spacing w:after="0" w:line="238" w:lineRule="auto"/>
        <w:tabs>
          <w:tab w:leader="none" w:pos="91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FOREVER RELEASE, RELIEVE, AND DISCHARGE THE ADMINISTRATIVE AGENT, THE LENDERS, THEIR AFFILIATES AND THEIR RESPECTIVE OFFICERS, DIRECTORS, SHAREHOLDERS, MEMBERS, PARTNERS, PREDECESSORS, SUCCESSORS, ASSIGNS, ATTORNEYS, ACCOUNTANTS, AGENTS, EMPLOYEES, AND REPRESENTATIVES (COLLECTIVELY, THE “</w:t>
      </w:r>
      <w:r>
        <w:rPr>
          <w:rFonts w:ascii="Times New Roman" w:cs="Times New Roman" w:eastAsia="Times New Roman" w:hAnsi="Times New Roman"/>
          <w:sz w:val="22"/>
          <w:szCs w:val="22"/>
          <w:b w:val="1"/>
          <w:bCs w:val="1"/>
          <w:color w:val="auto"/>
        </w:rPr>
        <w:t>RELEASED PARTIES</w:t>
      </w:r>
      <w:r>
        <w:rPr>
          <w:rFonts w:ascii="Times New Roman" w:cs="Times New Roman" w:eastAsia="Times New Roman" w:hAnsi="Times New Roman"/>
          <w:sz w:val="22"/>
          <w:szCs w:val="22"/>
          <w:color w:val="auto"/>
        </w:rPr>
        <w:t>”), AND EACH OF THEM, FROM ANY AND ALL CLAIMS, LIABILITIES, DEMANDS, CAUSES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1008380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4" w:right="339" w:bottom="1440" w:gutter="0" w:footer="0" w:header="0"/>
        </w:sectPr>
      </w:pPr>
    </w:p>
    <w:bookmarkStart w:id="41" w:name="page42"/>
    <w:bookmarkEnd w:id="41"/>
    <w:p>
      <w:pPr>
        <w:jc w:val="both"/>
        <w:spacing w:after="0" w:line="234" w:lineRule="auto"/>
        <w:rPr>
          <w:sz w:val="20"/>
          <w:szCs w:val="20"/>
          <w:color w:val="auto"/>
        </w:rPr>
      </w:pPr>
      <w:r>
        <w:rPr>
          <w:rFonts w:ascii="Times New Roman" w:cs="Times New Roman" w:eastAsia="Times New Roman" w:hAnsi="Times New Roman"/>
          <w:sz w:val="22"/>
          <w:szCs w:val="22"/>
          <w:color w:val="auto"/>
        </w:rPr>
        <w:t>DEBTS, OBLIGATIONS, PROMISES, ACTS, AGREEMENTS, AND DAMAGES, OF WHATEVER KIND OR NATURE, WHETHER KNOWN OR UNKNOWN, SUSPECTED OR UNSUSPECTED, CONTINGENT OR FIXED, LIQUIDATED OR UNLIQUIDATED, MATURED OR UNMATURED, WHETHER AT LAW OR IN EQUITY, WHICH THE RELEASING PARTIES EVER HAD, NOW HAVE, OR MAY, SHALL, OR CAN HEREAFTER HAVE, DIRECTLY OR INDIRECTLY ARISING OUT OF OR IN ANY WAY BASED UPON, CONNECTED WITH, OR RELATED TO MATTERS, THINGS, ACTS, CONDUCT, AND/OR OMISSIONS AT ANY TIME FROM THE BEGINNING OF THE WORLD THROUGH AND INCLUDING THE DATE HEREOF, INCLUDING WITHOUT LIMITATION ANY AND ALL CLAIMS AGAINST THE RELEASED PARTIES ARISING UNDER OR RELATED TO ANY OF THE LOAN DOCUMENTS OR ANY OF THE TRANSACTIONS CONTEMPLATED THEREBY.</w:t>
      </w:r>
    </w:p>
    <w:p>
      <w:pPr>
        <w:spacing w:after="0" w:line="179" w:lineRule="exact"/>
        <w:rPr>
          <w:sz w:val="20"/>
          <w:szCs w:val="20"/>
          <w:color w:val="auto"/>
        </w:rPr>
      </w:pPr>
    </w:p>
    <w:p>
      <w:pPr>
        <w:jc w:val="both"/>
        <w:ind w:firstLine="665"/>
        <w:spacing w:after="0" w:line="246" w:lineRule="auto"/>
        <w:tabs>
          <w:tab w:leader="none" w:pos="1198"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RELEASE CONTAINED HEREIN, ACKNOWLEDGE THAT THEY ARE AWARE THAT THEY MAY HEREAFTER DISCOVER CLAIMS PRESENTLY UNKNOWN OR UNSUSPECTED, OR FACTS IN ADDITION TO OR DIFFERENT FROM THOSE WHICH THEY KNOW OR BELIEVE TO BE TRUE, WITH RESPECT TO THE MATTERS RELEASED HEREIN. NEVERTHELESS, IT IS THE INTENTION OF THE RELEASING PARTIES, THROUGH THIS WAIVER AND WITH ADVICE OF COUNSEL, FULLY, FINALLY, AND FOREVER TO RELEASE ALL SUCH MATTERS, AND ALL CLAIMS RELATED THERETO, WHICH DO NOW EXIST, OR HERETOFORE HAVE EXISTED. IN FURTHERANCE OF SUCH INTENTION, THE RELEASES HEREIN GIVEN SHALL BE AND REMAIN IN EFFECT AS A FULL AND COMPLETE RELEASE OR WITHDRAWAL OF SUCH MATTERS NOTWITHSTANDING THE DISCOVERY OR EXISTENCE OF ANY SUCH ADDITIONAL OR DIFFERENT CLAIMS OR FACTS RELATED THERETO.</w:t>
      </w:r>
    </w:p>
    <w:p>
      <w:pPr>
        <w:spacing w:after="0" w:line="170" w:lineRule="exact"/>
        <w:rPr>
          <w:rFonts w:ascii="Times New Roman" w:cs="Times New Roman" w:eastAsia="Times New Roman" w:hAnsi="Times New Roman"/>
          <w:sz w:val="21"/>
          <w:szCs w:val="21"/>
          <w:color w:val="auto"/>
        </w:rPr>
      </w:pPr>
    </w:p>
    <w:p>
      <w:pPr>
        <w:jc w:val="both"/>
        <w:ind w:firstLine="665"/>
        <w:spacing w:after="0" w:line="239" w:lineRule="auto"/>
        <w:tabs>
          <w:tab w:leader="none" w:pos="119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 AND AGREE NOT TO BRING ANY CLAIM, ACTION, SUIT, OR PROCEEDING AGAINST THE RELEASED PARTIES, DIRECTLY OR INDIRECTLY, REGARDING OR RELATED IN ANY MANNER TO THE MATTERS RELEASED HEREBY, AND FURTHER COVENANT AND AGREE THAT THIS WAIVER IS A BAR TO ANY SUCH CLAIM, ACTION, SUIT, OR PROCEEDING.</w:t>
      </w:r>
    </w:p>
    <w:p>
      <w:pPr>
        <w:spacing w:after="0" w:line="180" w:lineRule="exact"/>
        <w:rPr>
          <w:rFonts w:ascii="Times New Roman" w:cs="Times New Roman" w:eastAsia="Times New Roman" w:hAnsi="Times New Roman"/>
          <w:sz w:val="22"/>
          <w:szCs w:val="22"/>
          <w:color w:val="auto"/>
        </w:rPr>
      </w:pPr>
    </w:p>
    <w:p>
      <w:pPr>
        <w:jc w:val="both"/>
        <w:ind w:firstLine="665"/>
        <w:spacing w:after="0" w:line="244" w:lineRule="auto"/>
        <w:tabs>
          <w:tab w:leader="none" w:pos="119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 AND WARRANT TO THE RELEASED PARTIES THAT THEY HAVE NOT HERETOFORE ASSIGNED OR TRANSFERRED, OR PURPORTED TO ASSIGN OR TRANSFER, TO ANY PERSON OR ENTITY ANY CLAIMS OR OTHER MATTERS HEREIN RELEASED.</w:t>
      </w:r>
    </w:p>
    <w:p>
      <w:pPr>
        <w:spacing w:after="0" w:line="173" w:lineRule="exact"/>
        <w:rPr>
          <w:rFonts w:ascii="Times New Roman" w:cs="Times New Roman" w:eastAsia="Times New Roman" w:hAnsi="Times New Roman"/>
          <w:sz w:val="22"/>
          <w:szCs w:val="22"/>
          <w:color w:val="auto"/>
        </w:rPr>
      </w:pPr>
    </w:p>
    <w:p>
      <w:pPr>
        <w:jc w:val="both"/>
        <w:ind w:firstLine="665"/>
        <w:spacing w:after="0" w:line="236" w:lineRule="auto"/>
        <w:tabs>
          <w:tab w:leader="none" w:pos="119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 THAT THEY HAVE HAD THE BENEFIT OF INDEPENDENT LEGAL ADVICE WITH RESPECT TO THE ADVISABILITY OF ENTERING INTO THIS RELEASE AND HEREBY KNOWINGLY, AND UPON SUCH ADVICE OF COUNSEL, WAIVE ANY AND ALL APPLICABLE RIGHTS AND BENEFITS UNDER, AND PROTECTIONS OF, CALIFORNIA CIVIL CODE SECTION 1542, AND ANY AND ALL STATUTES AND DOCTRINES OF SIMILAR EFFECT. CALIFORNIA CIVIL CODE SECTION 1542 PROVIDES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1011555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1160" w:top="1408" w:right="339" w:bottom="1440" w:gutter="0" w:footer="0" w:header="0"/>
        </w:sectPr>
      </w:pPr>
    </w:p>
    <w:bookmarkStart w:id="42" w:name="page43"/>
    <w:bookmarkEnd w:id="42"/>
    <w:p>
      <w:pPr>
        <w:jc w:val="both"/>
        <w:ind w:left="1480"/>
        <w:spacing w:after="0" w:line="246" w:lineRule="auto"/>
        <w:rPr>
          <w:sz w:val="20"/>
          <w:szCs w:val="20"/>
          <w:color w:val="auto"/>
        </w:rPr>
      </w:pPr>
      <w:r>
        <w:rPr>
          <w:rFonts w:ascii="Times New Roman" w:cs="Times New Roman" w:eastAsia="Times New Roman" w:hAnsi="Times New Roman"/>
          <w:sz w:val="22"/>
          <w:szCs w:val="22"/>
          <w:i w:val="1"/>
          <w:iCs w:val="1"/>
          <w:u w:val="single" w:color="auto"/>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67" w:lineRule="exact"/>
        <w:rPr>
          <w:sz w:val="20"/>
          <w:szCs w:val="20"/>
          <w:color w:val="auto"/>
        </w:rPr>
      </w:pPr>
    </w:p>
    <w:p>
      <w:pPr>
        <w:jc w:val="both"/>
        <w:ind w:left="-20" w:firstLine="1505"/>
        <w:spacing w:after="0" w:line="237" w:lineRule="auto"/>
        <w:tabs>
          <w:tab w:leader="none" w:pos="201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 Governing Law</w:t>
      </w:r>
      <w:r>
        <w:rPr>
          <w:rFonts w:ascii="Times New Roman" w:cs="Times New Roman" w:eastAsia="Times New Roman" w:hAnsi="Times New Roman"/>
          <w:sz w:val="22"/>
          <w:szCs w:val="22"/>
          <w:color w:val="auto"/>
        </w:rPr>
        <w:t>. This Waiver may be executed by the parties hereto in several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counterparts, each of which shall be an original and all of which shall constitute together but one and the same agreement. Delivery of an executed counterpart of a signature page to this Waiver by email (e.g., “pdf” or “tiff”) or telecopy shall be effective as delivery of a manually executed counterpart of this Waiver. THIS WAIVER SHALL BE GOVERNED BY, AND CONSTRUED IN ACCORDANCE WITH, THE LAWS OF THE STATE OF NEW YORK (INCLUDING FOR SUCH PURPOSE SECTIONS 5-1401 AND 5-1402 OF THE GENERAL OBLIGATIONS LAW OF THE STATE OF NEW YORK).</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1029335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4" w:right="339" w:bottom="1440" w:gutter="0" w:footer="0" w:header="0"/>
        </w:sectPr>
      </w:pPr>
    </w:p>
    <w:bookmarkStart w:id="43" w:name="page44"/>
    <w:bookmarkEnd w:id="43"/>
    <w:p>
      <w:pPr>
        <w:ind w:firstLine="1083"/>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Waiver to be executed by their respective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thereunto duly authorized as of the day and year first above written.</w:t>
      </w:r>
    </w:p>
    <w:p>
      <w:pPr>
        <w:spacing w:after="0" w:line="39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AVITA MEDICAL, INC.</w:t>
      </w:r>
    </w:p>
    <w:p>
      <w:pPr>
        <w:spacing w:after="0" w:line="1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0" w:lineRule="exact"/>
        <w:rPr>
          <w:sz w:val="20"/>
          <w:szCs w:val="20"/>
          <w:color w:val="auto"/>
        </w:rPr>
      </w:pP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 James Corbett</w:t>
      </w:r>
    </w:p>
    <w:p>
      <w:pPr>
        <w:ind w:left="3940"/>
        <w:spacing w:after="0"/>
        <w:tabs>
          <w:tab w:leader="none" w:pos="46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[Signature Page to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04" w:right="599" w:bottom="1440" w:gutter="0" w:footer="0" w:header="0"/>
        </w:sectPr>
      </w:pPr>
    </w:p>
    <w:bookmarkStart w:id="44" w:name="page45"/>
    <w:bookmarkEnd w:id="44"/>
    <w:p>
      <w:pPr>
        <w:spacing w:after="0" w:line="18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b w:val="1"/>
          <w:bCs w:val="1"/>
          <w:color w:val="auto"/>
        </w:rPr>
        <w:t>ORCO IV LLC</w:t>
      </w:r>
    </w:p>
    <w:p>
      <w:pPr>
        <w:spacing w:after="0" w:line="1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as Lender</w:t>
      </w:r>
    </w:p>
    <w:p>
      <w:pPr>
        <w:spacing w:after="0" w:line="18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By: OrbiMed Royalty &amp; Credit Opportunities IV, LP,</w:t>
      </w:r>
    </w:p>
    <w:p>
      <w:pPr>
        <w:spacing w:after="0" w:line="1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its Member</w:t>
      </w:r>
    </w:p>
    <w:p>
      <w:pPr>
        <w:spacing w:after="0" w:line="20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1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27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 Matthew Rizzo</w:t>
      </w:r>
    </w:p>
    <w:p>
      <w:pPr>
        <w:ind w:left="2620"/>
        <w:spacing w:after="0"/>
        <w:tabs>
          <w:tab w:leader="none" w:pos="32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6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ORBIMED ROYALTY &amp; CREDIT OPPORTUNITIES IV OFFSHORE, LP, </w:t>
      </w:r>
      <w:r>
        <w:rPr>
          <w:rFonts w:ascii="Times New Roman" w:cs="Times New Roman" w:eastAsia="Times New Roman" w:hAnsi="Times New Roman"/>
          <w:sz w:val="22"/>
          <w:szCs w:val="22"/>
          <w:color w:val="auto"/>
        </w:rPr>
        <w:t>as Lender</w:t>
      </w:r>
    </w:p>
    <w:p>
      <w:pPr>
        <w:spacing w:after="0" w:line="18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1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27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 Matthew Rizzo</w:t>
      </w:r>
    </w:p>
    <w:p>
      <w:pPr>
        <w:ind w:left="2620"/>
        <w:spacing w:after="0"/>
        <w:tabs>
          <w:tab w:leader="none" w:pos="32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[Signature Page to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440" w:top="1440" w:right="699" w:bottom="1440" w:gutter="0" w:footer="0" w:header="0"/>
        </w:sectPr>
      </w:pPr>
    </w:p>
    <w:bookmarkStart w:id="45" w:name="page46"/>
    <w:bookmarkEnd w:id="4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BY: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ORCO IV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the Administrative Agent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OrbiMed Royalty &amp; Credit Opportunities IV, LP,</w:t>
      </w:r>
    </w:p>
    <w:p>
      <w:pPr>
        <w:spacing w:after="0" w:line="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its Sole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Matthew Rizzo</w:t>
      </w: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Member</w:t>
      </w:r>
    </w:p>
    <w:p>
      <w:pPr>
        <w:spacing w:after="0" w:line="200" w:lineRule="exact"/>
        <w:rPr>
          <w:sz w:val="20"/>
          <w:szCs w:val="20"/>
          <w:color w:val="auto"/>
        </w:rPr>
      </w:pPr>
    </w:p>
    <w:p>
      <w:pPr>
        <w:spacing w:after="0" w:line="387" w:lineRule="exact"/>
        <w:rPr>
          <w:sz w:val="20"/>
          <w:szCs w:val="20"/>
          <w:color w:val="auto"/>
        </w:rPr>
      </w:pPr>
    </w:p>
    <w:p>
      <w:pPr>
        <w:jc w:val="right"/>
        <w:ind w:right="3339"/>
        <w:spacing w:after="0"/>
        <w:rPr>
          <w:sz w:val="20"/>
          <w:szCs w:val="20"/>
          <w:color w:val="auto"/>
        </w:rPr>
      </w:pPr>
      <w:r>
        <w:rPr>
          <w:rFonts w:ascii="Times New Roman" w:cs="Times New Roman" w:eastAsia="Times New Roman" w:hAnsi="Times New Roman"/>
          <w:sz w:val="22"/>
          <w:szCs w:val="22"/>
          <w:color w:val="auto"/>
        </w:rPr>
        <w:t>[Signature Page to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478155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bookmarkStart w:id="46" w:name="page47"/>
    <w:bookmarkEnd w:id="46"/>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Corbett, certify that:</w:t>
      </w:r>
    </w:p>
    <w:p>
      <w:pPr>
        <w:spacing w:after="0" w:line="117"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AVITA Medical,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660" w:right="520" w:hanging="514"/>
        <w:spacing w:after="0" w:line="266" w:lineRule="auto"/>
        <w:tabs>
          <w:tab w:leader="none" w:pos="1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60" w:right="100" w:hanging="514"/>
        <w:spacing w:after="0" w:line="266" w:lineRule="auto"/>
        <w:tabs>
          <w:tab w:leader="none" w:pos="1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60" w:right="160" w:hanging="514"/>
        <w:spacing w:after="0" w:line="266" w:lineRule="auto"/>
        <w:tabs>
          <w:tab w:leader="none" w:pos="1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60" w:right="280" w:hanging="514"/>
        <w:spacing w:after="0" w:line="266" w:lineRule="auto"/>
        <w:tabs>
          <w:tab w:leader="none" w:pos="1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60" w:right="160" w:hanging="514"/>
        <w:spacing w:after="0" w:line="282" w:lineRule="auto"/>
        <w:tabs>
          <w:tab w:leader="none" w:pos="1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60" w:right="420" w:hanging="514"/>
        <w:spacing w:after="0" w:line="282" w:lineRule="auto"/>
        <w:tabs>
          <w:tab w:leader="none" w:pos="1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5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Corbett</w:t>
            </w:r>
          </w:p>
        </w:tc>
      </w:tr>
      <w:tr>
        <w:trPr>
          <w:trHeight w:val="191"/>
        </w:trPr>
        <w:tc>
          <w:tcPr>
            <w:tcW w:w="5640" w:type="dxa"/>
            <w:vAlign w:val="bottom"/>
          </w:tcPr>
          <w:p>
            <w:pPr>
              <w:spacing w:after="0"/>
              <w:rPr>
                <w:sz w:val="16"/>
                <w:szCs w:val="16"/>
                <w:color w:val="auto"/>
              </w:rPr>
            </w:pPr>
          </w:p>
        </w:tc>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James Corbett</w:t>
            </w:r>
          </w:p>
        </w:tc>
      </w:tr>
      <w:tr>
        <w:trPr>
          <w:trHeight w:val="216"/>
        </w:trPr>
        <w:tc>
          <w:tcPr>
            <w:tcW w:w="56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222"/>
        </w:trPr>
        <w:tc>
          <w:tcPr>
            <w:tcW w:w="56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7" w:name="page48"/>
    <w:bookmarkEnd w:id="47"/>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O'Toole, certify that:</w:t>
      </w:r>
    </w:p>
    <w:p>
      <w:pPr>
        <w:spacing w:after="0" w:line="117"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AVITA Medical,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660" w:right="560" w:hanging="514"/>
        <w:spacing w:after="0" w:line="266" w:lineRule="auto"/>
        <w:tabs>
          <w:tab w:leader="none" w:pos="1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60" w:right="140" w:hanging="514"/>
        <w:spacing w:after="0" w:line="266" w:lineRule="auto"/>
        <w:tabs>
          <w:tab w:leader="none" w:pos="1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60" w:right="160" w:hanging="514"/>
        <w:spacing w:after="0" w:line="266" w:lineRule="auto"/>
        <w:tabs>
          <w:tab w:leader="none" w:pos="1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60" w:right="280" w:hanging="514"/>
        <w:spacing w:after="0" w:line="266" w:lineRule="auto"/>
        <w:tabs>
          <w:tab w:leader="none" w:pos="1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60" w:right="160" w:hanging="514"/>
        <w:spacing w:after="0" w:line="282" w:lineRule="auto"/>
        <w:tabs>
          <w:tab w:leader="none" w:pos="1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60" w:right="420" w:hanging="514"/>
        <w:spacing w:after="0" w:line="282" w:lineRule="auto"/>
        <w:tabs>
          <w:tab w:leader="none" w:pos="1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5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O'Toole</w:t>
            </w:r>
          </w:p>
        </w:tc>
      </w:tr>
      <w:tr>
        <w:trPr>
          <w:trHeight w:val="191"/>
        </w:trPr>
        <w:tc>
          <w:tcPr>
            <w:tcW w:w="566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David O'Toole</w:t>
            </w:r>
          </w:p>
        </w:tc>
      </w:tr>
      <w:tr>
        <w:trPr>
          <w:trHeight w:val="216"/>
        </w:trPr>
        <w:tc>
          <w:tcPr>
            <w:tcW w:w="56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222"/>
        </w:trPr>
        <w:tc>
          <w:tcPr>
            <w:tcW w:w="5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8" w:name="page49"/>
    <w:bookmarkEnd w:id="48"/>
    <w:p>
      <w:pPr>
        <w:ind w:left="1040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AVITA Medical, Inc. (the “Company”), does hereby certify, to such officer’s knowledge, that: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period ended June 30, 2025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August 7, 2025</w:t>
      </w:r>
      <w:r>
        <w:rPr>
          <w:sz w:val="20"/>
          <w:szCs w:val="20"/>
          <w:color w:val="auto"/>
        </w:rPr>
        <w:tab/>
      </w:r>
      <w:r>
        <w:rPr>
          <w:rFonts w:ascii="Times New Roman" w:cs="Times New Roman" w:eastAsia="Times New Roman" w:hAnsi="Times New Roman"/>
          <w:sz w:val="17"/>
          <w:szCs w:val="17"/>
          <w:color w:val="auto"/>
        </w:rPr>
        <w:t>/s/ 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59"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18"/>
          <w:szCs w:val="18"/>
          <w:color w:val="auto"/>
        </w:rPr>
        <w:t>Name:</w:t>
        <w:tab/>
        <w:t>James Corbett</w:t>
      </w:r>
    </w:p>
    <w:p>
      <w:pPr>
        <w:spacing w:after="0" w:line="27"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August 7, 2025</w:t>
      </w:r>
      <w:r>
        <w:rPr>
          <w:sz w:val="20"/>
          <w:szCs w:val="20"/>
          <w:color w:val="auto"/>
        </w:rPr>
        <w:tab/>
      </w:r>
      <w:r>
        <w:rPr>
          <w:rFonts w:ascii="Times New Roman" w:cs="Times New Roman" w:eastAsia="Times New Roman" w:hAnsi="Times New Roman"/>
          <w:sz w:val="17"/>
          <w:szCs w:val="17"/>
          <w:color w:val="auto"/>
        </w:rPr>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59"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18"/>
          <w:szCs w:val="18"/>
          <w:color w:val="auto"/>
        </w:rPr>
        <w:t>Name:</w:t>
        <w:tab/>
        <w:t>David O'Toole</w:t>
      </w:r>
    </w:p>
    <w:p>
      <w:pPr>
        <w:spacing w:after="0" w:line="27"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3"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32"/>
    </w:lvl>
  </w:abstractNum>
  <w:abstractNum w:abstractNumId="7">
    <w:nsid w:val="3352255A"/>
    <w:multiLevelType w:val="hybridMultilevel"/>
    <w:lvl w:ilvl="0">
      <w:lvlJc w:val="left"/>
      <w:lvlText w:val="†"/>
      <w:numFmt w:val="bullet"/>
      <w:start w:val="1"/>
    </w:lvl>
    <w:lvl w:ilvl="1">
      <w:lvlJc w:val="left"/>
      <w:lvlText w:val="%2"/>
      <w:numFmt w:val="decimal"/>
      <w:start w:val="104"/>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4"/>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6"/>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decimal"/>
      <w:start w:val="8"/>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4"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273" Type="http://schemas.openxmlformats.org/officeDocument/2006/relationships/hyperlink" Target="https://www.sec.gov/Archives/edgar/data/1762303/000119312520183429/d75062dex31.htm" TargetMode="External"/><Relationship Id="rId275" Type="http://schemas.openxmlformats.org/officeDocument/2006/relationships/hyperlink" Target="https://www.sec.gov/Archives/edgar/data/1762303/000156459022007617/rcel-ex32_14.htm" TargetMode="External"/><Relationship Id="rId278" Type="http://schemas.openxmlformats.org/officeDocument/2006/relationships/hyperlink" Target="https://www.sec.gov/Archives/edgar/data/1762303/000095017025072746/rcel-ex3_1.htm" TargetMode="External"/><Relationship Id="rId281" Type="http://schemas.openxmlformats.org/officeDocument/2006/relationships/hyperlink" Target="https://www.sec.gov/ix?doc=/Archives/edgar/data/0001762303/000095017025056785/rcel-20250422.htm#omnibus_incentive_plan"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2025-08-08T05:20:42Z</dcterms:created>
  <dcterms:modified xsi:type="dcterms:W3CDTF">2025-08-08T05:20:42Z</dcterms:modified>
</cp:coreProperties>
</file>