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Quick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Avita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RCEL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66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682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05/18/2027</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25,000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6.34</w:t>
            </w:r>
            <w:r>
              <w:rPr>
                <w:rFonts w:ascii="Arial" w:cs="Arial" w:eastAsia="Arial" w:hAnsi="Arial"/>
                <w:sz w:val="25"/>
                <w:szCs w:val="25"/>
                <w:color w:val="008000"/>
                <w:w w:val="84"/>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11/01/2028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7"/>
              </w:rPr>
              <w:t>5,000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6.35</w:t>
            </w:r>
            <w:r>
              <w:rPr>
                <w:rFonts w:ascii="Arial" w:cs="Arial" w:eastAsia="Arial" w:hAnsi="Arial"/>
                <w:sz w:val="25"/>
                <w:szCs w:val="25"/>
                <w:color w:val="008000"/>
                <w:w w:val="84"/>
                <w:vertAlign w:val="superscript"/>
              </w:rPr>
              <w:t>(5)</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11/30/2028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30,213</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5.99</w:t>
            </w:r>
            <w:r>
              <w:rPr>
                <w:rFonts w:ascii="Arial" w:cs="Arial" w:eastAsia="Arial" w:hAnsi="Arial"/>
                <w:sz w:val="25"/>
                <w:szCs w:val="25"/>
                <w:color w:val="008000"/>
                <w:w w:val="84"/>
                <w:vertAlign w:val="superscript"/>
              </w:rPr>
              <w:t>(7)</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04/01/2029</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40,400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2"/>
              </w:rPr>
              <w:t>21.36</w:t>
            </w:r>
            <w:r>
              <w:rPr>
                <w:rFonts w:ascii="Arial" w:cs="Arial" w:eastAsia="Arial" w:hAnsi="Arial"/>
                <w:sz w:val="25"/>
                <w:szCs w:val="25"/>
                <w:color w:val="008000"/>
                <w:w w:val="82"/>
                <w:vertAlign w:val="superscript"/>
              </w:rPr>
              <w:t>(9)</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94"/>
              </w:rPr>
              <w:t>(10)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05/18/2027</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12,113</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6.34</w:t>
            </w:r>
            <w:r>
              <w:rPr>
                <w:rFonts w:ascii="Arial" w:cs="Arial" w:eastAsia="Arial" w:hAnsi="Arial"/>
                <w:sz w:val="25"/>
                <w:szCs w:val="25"/>
                <w:color w:val="008000"/>
                <w:w w:val="84"/>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-1390015</wp:posOffset>
            </wp:positionV>
            <wp:extent cx="6927850" cy="123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238885"/>
                    </a:xfrm>
                    <a:prstGeom prst="rect">
                      <a:avLst/>
                    </a:prstGeom>
                    <a:noFill/>
                  </pic:spPr>
                </pic:pic>
              </a:graphicData>
            </a:graphic>
          </wp:anchor>
        </w:drawing>
      </w:r>
    </w:p>
    <w:p>
      <w:pPr>
        <w:spacing w:after="0" w:line="15" w:lineRule="exact"/>
        <w:rPr>
          <w:sz w:val="24"/>
          <w:szCs w:val="24"/>
          <w:color w:val="auto"/>
        </w:rPr>
      </w:pPr>
    </w:p>
    <w:p>
      <w:pPr>
        <w:jc w:val="both"/>
        <w:ind w:left="40" w:right="1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were originally exercisable for ordinary shares of Avita Medical, Ltd. ("Predecessor"). Pursuant to the scheme of arrangement, completed on June 30,2020, the Stock Options became exercisable for shares of Common Stock of the Issuer in the ratio of one share of Common Stock for every 100 ordinary shares of Predecessor for which the Stock Options would otherwise be exercisable.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May 18, 2017.</w:t>
      </w:r>
    </w:p>
    <w:p>
      <w:pPr>
        <w:spacing w:after="0" w:line="52" w:lineRule="exact"/>
        <w:rPr>
          <w:rFonts w:ascii="Arial" w:cs="Arial" w:eastAsia="Arial" w:hAnsi="Arial"/>
          <w:sz w:val="15"/>
          <w:szCs w:val="15"/>
          <w:color w:val="008000"/>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A$8.5, which reflects the 100:1 consolidation ratio applied in converting ordinary shares of Predecessor to shares of the Issuer's Common Stock, using the exchange rate as in effect on the date of grant (May 18, 2017).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1, 2019.</w:t>
      </w:r>
    </w:p>
    <w:p>
      <w:pPr>
        <w:spacing w:after="0" w:line="52"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A$8.9, which reflects the 100:1 consolidation ratio applied in converting ordinary shares of Predecessor to shares of the Issuer's Common Stock, using the exchange rate as in effect on the date of grant (November 1,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30, 2019.</w:t>
      </w:r>
    </w:p>
    <w:p>
      <w:pPr>
        <w:spacing w:after="0" w:line="52" w:lineRule="exact"/>
        <w:rPr>
          <w:rFonts w:ascii="Arial" w:cs="Arial" w:eastAsia="Arial" w:hAnsi="Arial"/>
          <w:sz w:val="15"/>
          <w:szCs w:val="15"/>
          <w:color w:val="008000"/>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A$8.2, which reflects the 100:1 consolidation ratio applied in converting ordinary shares of Predecessor to shares of the Issuer's Common Stock, using the exchange rate as in effect on the date of grant (November 30,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April 1, 2020.</w:t>
      </w:r>
    </w:p>
    <w:p>
      <w:pPr>
        <w:spacing w:after="0" w:line="52" w:lineRule="exact"/>
        <w:rPr>
          <w:rFonts w:ascii="Arial" w:cs="Arial" w:eastAsia="Arial" w:hAnsi="Arial"/>
          <w:sz w:val="15"/>
          <w:szCs w:val="15"/>
          <w:color w:val="008000"/>
        </w:rPr>
      </w:pPr>
    </w:p>
    <w:p>
      <w:pPr>
        <w:jc w:val="both"/>
        <w:ind w:left="40" w:right="1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A$30, which reflects the 100:1 consolidation ratio applied in converting ordinary shares of Predecessor to shares of the Issuer's Common Stock, using the exchange rate as in effect on the date of grant (April 1, 2019).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became exercisable based on performance-based vesting criteria.</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07/13/2020</w:t>
            </w:r>
          </w:p>
        </w:tc>
        <w:tc>
          <w:tcPr>
            <w:tcW w:w="0" w:type="dxa"/>
            <w:vAlign w:val="bottom"/>
          </w:tcPr>
          <w:p>
            <w:pPr>
              <w:spacing w:after="0"/>
              <w:rPr>
                <w:sz w:val="1"/>
                <w:szCs w:val="1"/>
                <w:color w:val="auto"/>
              </w:rPr>
            </w:pPr>
          </w:p>
        </w:tc>
      </w:tr>
      <w:tr>
        <w:trPr>
          <w:trHeight w:val="105"/>
        </w:trPr>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 Signature of Reporting</w:t>
      </w:r>
    </w:p>
    <w:p>
      <w:pPr>
        <w:ind w:left="6540"/>
        <w:spacing w:after="0"/>
        <w:rPr>
          <w:sz w:val="20"/>
          <w:szCs w:val="20"/>
          <w:color w:val="auto"/>
        </w:rPr>
      </w:pPr>
      <w:r>
        <w:rPr>
          <w:rFonts w:ascii="Arial" w:cs="Arial" w:eastAsia="Arial" w:hAnsi="Arial"/>
          <w:sz w:val="15"/>
          <w:szCs w:val="15"/>
          <w:color w:val="auto"/>
        </w:rPr>
        <w:t>Person</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651" w:lineRule="exact"/>
        <w:rPr>
          <w:sz w:val="20"/>
          <w:szCs w:val="20"/>
          <w:color w:val="auto"/>
        </w:rPr>
      </w:pPr>
    </w:p>
    <w:p>
      <w:pPr>
        <w:sectPr>
          <w:pgSz w:w="11900" w:h="16838" w:orient="portrait"/>
          <w:cols w:equalWidth="0" w:num="2">
            <w:col w:w="8200" w:space="520"/>
            <w:col w:w="2100"/>
          </w:cols>
          <w:pgMar w:left="520" w:top="131" w:right="559" w:bottom="1440" w:gutter="0" w:footer="0" w:header="0"/>
        </w:sect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1" w:right="55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42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July 8,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Andrew Quick</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Andrew Quick</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17682"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2020-07-10T15:34:12Z</dcterms:created>
  <dcterms:modified xsi:type="dcterms:W3CDTF">2020-07-10T15:34:12Z</dcterms:modified>
</cp:coreProperties>
</file>