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333-294790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 the Prospectus dated April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2026</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1397000" cy="1671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1671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Up to 500,000 Shares of Common Stock Underlying Warrant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Up to 150,000 Shares of Common Stock Underlying Unvested Portion of Warrant</w:t>
      </w:r>
    </w:p>
    <w:p>
      <w:pPr>
        <w:spacing w:after="0" w:line="23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up to 500,000 shares of common stock, $0.0001 par value per share (“common stock”), of AVITA Medical, Inc. (the “Company”) issuable upon exercise of a warrant certificate issued by the Company to Perceptive Credit Holdings V, LP (“Perceptive”) on June 5, 2026 (the “Warrant”) pursuant to the terms of a Credit Agreement and Guaranty (the “Credit Agreement”), dated January 13, 2026, by and among the Company, as borrower, Avita Medical Americas, LLC, a wholly-owned subsidiary of the Company, as guarantor, and Perceptive as a lender and the administrative agent. Additionally, we are offering up to an additional 150,000 shares of common stock issuable under the portion of the Warrant that will vest and become exercisable in respect of such shares if the Company closes on the Additional Commitment Amount (as defined herein). The aggregate total of 650,000 shares of common stock issuable pursuant to the Warrant are referred to herein as the “Shares.”</w:t>
      </w:r>
    </w:p>
    <w:p>
      <w:pPr>
        <w:spacing w:after="0" w:line="192"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will receive up to an aggregate of approximately $2.2 million of proceeds upon exercise of the Warrant, to the extent the Warrant is fully vested and exercised for cash. We are not paying any commissions or fees with respect to issuance of the Shares. We will bear all costs, expenses and fees in connection with the registration of the Shares.</w:t>
      </w:r>
    </w:p>
    <w:p>
      <w:pPr>
        <w:spacing w:after="0" w:line="176"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common stock trades on The Nasdaq Stock Market LLC under the symbol “RCEL.” Our CHESS Depositary Interests (“CDIs”) are listed on the Australian Securities Exchange (“ASX”) under the symbol “AVH” with five CDIs being equivalent to one share of our common stock. On June 4, 2026, the last reported sale price for our common stock on Nasdaq was $4.36 per share and the last reported sale price of our CDIs on the ASX was AU$1.13 per CDI.</w:t>
      </w:r>
    </w:p>
    <w:p>
      <w:pPr>
        <w:spacing w:after="0" w:line="176"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an investment in our securities involve significant risks. Please read carefully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S-8 of this prospectus supplement and in the documents incorporated by reference into this prospectus supplement.</w:t>
      </w:r>
    </w:p>
    <w:p>
      <w:pPr>
        <w:spacing w:after="0" w:line="155" w:lineRule="exact"/>
        <w:rPr>
          <w:sz w:val="24"/>
          <w:szCs w:val="24"/>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9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900" w:type="dxa"/>
            <w:vAlign w:val="bottom"/>
            <w:gridSpan w:val="14"/>
            <w:vMerge w:val="continue"/>
          </w:tcPr>
          <w:p>
            <w:pPr>
              <w:spacing w:after="0"/>
              <w:rPr>
                <w:sz w:val="14"/>
                <w:szCs w:val="14"/>
                <w:color w:val="auto"/>
              </w:rPr>
            </w:pPr>
          </w:p>
        </w:tc>
        <w:tc>
          <w:tcPr>
            <w:tcW w:w="1240" w:type="dxa"/>
            <w:vAlign w:val="bottom"/>
          </w:tcPr>
          <w:p>
            <w:pPr>
              <w:ind w:left="340"/>
              <w:spacing w:after="0" w:line="169"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54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PROSPECTUS SUPPLEMENT SUMMARY</w:t>
            </w:r>
          </w:p>
        </w:tc>
        <w:tc>
          <w:tcPr>
            <w:tcW w:w="4500" w:type="dxa"/>
            <w:vAlign w:val="bottom"/>
          </w:tcPr>
          <w:p>
            <w:pPr>
              <w:spacing w:after="0"/>
              <w:rPr>
                <w:sz w:val="17"/>
                <w:szCs w:val="17"/>
                <w:color w:val="auto"/>
              </w:rPr>
            </w:pP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20" w:type="dxa"/>
            <w:vAlign w:val="bottom"/>
            <w:tcBorders>
              <w:top w:val="single" w:sz="8" w:color="0000FF"/>
            </w:tcBorders>
            <w:gridSpan w:val="5"/>
          </w:tcPr>
          <w:p>
            <w:pPr>
              <w:spacing w:after="0"/>
              <w:rPr>
                <w:sz w:val="17"/>
                <w:szCs w:val="17"/>
                <w:color w:val="auto"/>
              </w:rPr>
            </w:pPr>
          </w:p>
        </w:tc>
        <w:tc>
          <w:tcPr>
            <w:tcW w:w="6600" w:type="dxa"/>
            <w:vAlign w:val="bottom"/>
            <w:gridSpan w:val="6"/>
          </w:tcPr>
          <w:p>
            <w:pPr>
              <w:spacing w:after="0"/>
              <w:rPr>
                <w:sz w:val="17"/>
                <w:szCs w:val="17"/>
                <w:color w:val="auto"/>
              </w:rPr>
            </w:pP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8300" w:type="dxa"/>
            <w:vAlign w:val="bottom"/>
            <w:gridSpan w:val="8"/>
          </w:tcPr>
          <w:p>
            <w:pPr>
              <w:spacing w:after="0"/>
              <w:rPr>
                <w:sz w:val="17"/>
                <w:szCs w:val="17"/>
                <w:color w:val="auto"/>
              </w:rPr>
            </w:pP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9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DILUTION</w:t>
            </w:r>
          </w:p>
        </w:tc>
        <w:tc>
          <w:tcPr>
            <w:tcW w:w="8320" w:type="dxa"/>
            <w:vAlign w:val="bottom"/>
            <w:gridSpan w:val="9"/>
          </w:tcPr>
          <w:p>
            <w:pPr>
              <w:spacing w:after="0"/>
              <w:rPr>
                <w:sz w:val="17"/>
                <w:szCs w:val="17"/>
                <w:color w:val="auto"/>
              </w:rPr>
            </w:pP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TO BE REGISTERED</w:t>
            </w: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2160" w:type="dxa"/>
            <w:vAlign w:val="bottom"/>
            <w:tcBorders>
              <w:top w:val="single" w:sz="8" w:color="0000FF"/>
            </w:tcBorders>
            <w:gridSpan w:val="4"/>
          </w:tcPr>
          <w:p>
            <w:pPr>
              <w:spacing w:after="0"/>
              <w:rPr>
                <w:sz w:val="17"/>
                <w:szCs w:val="17"/>
                <w:color w:val="auto"/>
              </w:rPr>
            </w:pPr>
          </w:p>
        </w:tc>
        <w:tc>
          <w:tcPr>
            <w:tcW w:w="5680" w:type="dxa"/>
            <w:vAlign w:val="bottom"/>
            <w:gridSpan w:val="3"/>
          </w:tcPr>
          <w:p>
            <w:pPr>
              <w:spacing w:after="0"/>
              <w:rPr>
                <w:sz w:val="17"/>
                <w:szCs w:val="17"/>
                <w:color w:val="auto"/>
              </w:rPr>
            </w:pP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9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8420" w:type="dxa"/>
            <w:vAlign w:val="bottom"/>
            <w:gridSpan w:val="10"/>
          </w:tcPr>
          <w:p>
            <w:pPr>
              <w:spacing w:after="0"/>
              <w:rPr>
                <w:sz w:val="17"/>
                <w:szCs w:val="17"/>
                <w:color w:val="auto"/>
              </w:rPr>
            </w:pP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0"/>
        </w:trPr>
        <w:tc>
          <w:tcPr>
            <w:tcW w:w="3840" w:type="dxa"/>
            <w:vAlign w:val="bottom"/>
            <w:gridSpan w:val="10"/>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INCORPORATION OF CERTAIN INFORMATION BY REFERENCE</w:t>
            </w:r>
          </w:p>
        </w:tc>
        <w:tc>
          <w:tcPr>
            <w:tcW w:w="4640" w:type="dxa"/>
            <w:vAlign w:val="bottom"/>
            <w:gridSpan w:val="2"/>
          </w:tcPr>
          <w:p>
            <w:pPr>
              <w:spacing w:after="0"/>
              <w:rPr>
                <w:sz w:val="17"/>
                <w:szCs w:val="17"/>
                <w:color w:val="auto"/>
              </w:rPr>
            </w:pPr>
          </w:p>
        </w:tc>
        <w:tc>
          <w:tcPr>
            <w:tcW w:w="12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certain other matters relating to us, which may also, where applicable, add to and update information contained in the accompanying prospectus and the documents incorporated by reference into this prospectus supplement and the accompanying prospectus. The second part, the accompanying prospectus, dated April 9, 2026, including the documents incorporated by reference therein and included as part of our registration statement on Form S-3 (333-294790), gives more general information about securities we may offer from time to time, some of which does not apply to this offering. Generally, when we refer to this prospectus, we are referring to both parts of this document combined together with all documents incorporated by reference. If information in this prospectus supplement is inconsistent with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into this prospectus supplement or the accompanying prospectus — the statement in the document having the later date modifies or supersedes the earlier statement as our business, financial condition, results of operations and prospects may have changed since the earlier date.</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 other than those contained or incorporated by reference in this prospectus supplement, the accompanying prospectus or any free writing prospectus we have prepared by or on behalf of us or to which we have referred you relating to this offering. We take no responsibility for, and provide no assurance as to the reliability of, any other information that others may give you. The information contained in, or incorporated by reference into, this prospectus supplement and the accompanying prospectus is accurate only as of the date thereof, regardless of the time of delivery of this prospectus supplement and the accompanying prospectus or of any sale of securities. It is important for you to read and consider all information contained in this prospectus supplement and the accompanying prospectus, including the documents incorporated by reference herein and therein, in making your investment decision.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not offering to sell, nor seeking offers to buy, securities in any jurisdictions where such offers and sales are not permitted. The distribution of this prospectus supplement and the accompanying prospectus and the offering of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of Certain Information by Reference” in this prospectus supplement.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to “AVITA,” “we,” “our,” “us” and “the Company” refer, collectively, to AVITA Medical, Inc., a Delaware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herein and therein, contain forward-looking statements within the meaning of Section 27A of the Securities Act and Section 21E of the Exchange Act. The words “anticipate,” “believe,” “could,” “expect,” “if,” “intend,” “may,” “predict,” “should,” “will,” “would,” and similar expressions, and the negative thereof, are intended to identify forward-looking statements. These forward-looking statements include, but are not limited to, statements about:</w:t>
      </w:r>
    </w:p>
    <w:p>
      <w:pPr>
        <w:spacing w:after="0" w:line="72" w:lineRule="exact"/>
        <w:rPr>
          <w:sz w:val="20"/>
          <w:szCs w:val="20"/>
          <w:color w:val="auto"/>
        </w:rPr>
      </w:pPr>
    </w:p>
    <w:p>
      <w:pPr>
        <w:ind w:left="760" w:right="28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our expectations regarding future revenue or future growth in revenue, profit, or gross and/or operating margins, future working capital, costs, productivity, business process, rationalization, investment (including rates);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conditions;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or enforce our intellectual property rights, including our expectations regarding the future scope of such rights;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and/or maintain regulatory approvals and comply with applicable regulations;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or outcome of pre-clinical or clinical studies;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management restructuring activities;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maintain partnerships relating to collaborations, strategic arrangements, and licensing arrangements;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consulting, operational, financial, and capital projects and/or initiatives;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(and related integration activities);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fail to uphold their contractual duties or meet expected deadlines;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favorable coverage and reimbursement determinations from third party payors;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growth or product initiatives;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sales and marketing organizations to address existing and new markets that we intend to target;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including management;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penetration of our products;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production capacity;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scale our manufacturing operations to meet the demand for our products;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debt covenants, which may result in the acceleration of our debt obligations or the need for renegotiations with our lenders;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tax and interest rates;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on the U.S. and global economies, respectively;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cybersecurity breach, terrorist attack or other geopolitical instability; and</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or epidemic, or natural disaster.</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forward-looking statements are based on assumptions that we believe to be reasonable but that may not prove to be accurate. We undertake no obligation to publicly update or revise any forward-looking statement, except as required by law.</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most recent Annual Report on Form 10-K and any subsequently filed Quarterly Reports on Form 10-Q. These documents are available through the SEC’s Electronic Data Gathering and Analysis Retrieval System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720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720455"/>
                    </a:xfrm>
                    <a:prstGeom prst="rect">
                      <a:avLst/>
                    </a:prstGeom>
                    <a:noFill/>
                  </pic:spPr>
                </pic:pic>
              </a:graphicData>
            </a:graphic>
          </wp:anchor>
        </w:drawing>
        <w:t>PROSPECTUS SUPPLEMENT SUMMARY</w:t>
      </w:r>
    </w:p>
    <w:p>
      <w:pPr>
        <w:spacing w:after="0" w:line="22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and therein, including the information set forth under the heading “Risk Factors” in this prospectus supplement and incorporated by reference from our Annual Report on Form 10-K for the year ended December 31, 2025, as well as our consolidated financial statements and the related notes and the other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We are a leading therapeutic acute wound care company delivering transformative solutions. Our solutions improve the healing outcomes for patients with traumatic injuries and surgical repairs, addressing critical healing needs that arise from unpredictable and life-changing events. At the forefront of our portfolio is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offering an innovative solution for improved clinical outcomes at the point of care. We entered into an exclusive multi-year development and distribution agreement with Collagen Matrix, Inc. dba Regenity Biosciences (“Regenity”). Regenity manufactures and supplies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FDA-cleared, collagen-based dermal matrix. Under the agreement with Regenity, we hold the exclusive rights to market, sell, and distribute Cohealyx in the U.S., with the potential to expand such commercialization into the European Union, Australia, and Japan. In addition, in the United States, we hold the rights to manufacture and exclusively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under the terms of exclusive multi-year distribution and contract manufacturing agreements with Stedical Scientific, Inc. (“Stedical”).</w:t>
      </w:r>
    </w:p>
    <w:p>
      <w:pPr>
        <w:spacing w:after="0" w:line="20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single-use RECELL Autologous Cell Harvesting Device (“RECELL Ease-of-Use” or “RECELL EOU”) is approved by the FDA for the treatment of thermal burn wounds and full-thickness skin defects. Our next-generation device,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is FDA-approved to treat thermal burn wounds and full-thickness skin defects. RECELL GO introduces enhanced features that improve consistency and standardization across clinical settings. It consists of two components: the RECELL GO Processing Device (the “RPD”) and the RECELL GO Preparation Kit (the “RPK”). The RPD is a multi-use, AC-powered device that controls the RPK. The RPK contains a single-use cartridge and the RECELL Enzyme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RPD regulates the pressure applied to disaggregate the cells and precisely controls the incubation time of the RECELL Enzyme to optimize cell yield and promote cell viability. RECELL GO mini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mini”), which was approved by the FDA in December 2024, is a line extension of RECELL GO, designed specifically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January 13, 2026, we entered into a five-year credit facility with Perceptive Advisors LLC providing up to $60.0 million in total borrowings. At closing, we drew $50.0 million and used a portion of the proceeds to repay our existing debt, resulting in net proceeds of approximately $6.0 million after repayment of our prior debt and certain related transaction fees. This credit facility includes an option to access an additional $10.0 million through the first quarter of 2027, subject to the achievement of a certain revenue milestone (the “Additional Commitment Amount”). This facility also establishes trailing twelve-month (“TTM”) revenue covenants aligned with our current operating trajectory, including $68.5 million for the quarter ended March 31, 2026, $69.0 million for the quarter ending June 30, 2026, and $73.0 million for the year ending December 31, 2026. The TTM revenue covenant is $69.0 million for the second quarter ending June 30, 2026, and $73.0 million for the full year 2026. Of the 650,000 Shares issuable under the Warrant, the Warrant is currently exercisable in respect of 500,000 Shares and the remainder will vest and become exercisable in respect of 150,000 Shares only if the Company closes on the Additional Commitment Amount.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2026, we entered into a ten-year agreement with the Biomedical Advanced Research and Development Authority (“BARDA”), part of the U.S. Department of Health and Human Services, with a total potential value of up to $25.5 million. Under the agreement, we will maintain a supply of RECELL for deployment in burn mass casualty incidents and provide associated readiness and support services. The agreement includes approximately $4.0 million in expected revenue from access and maintenance fees over the ten-year term, with additional potential revenue tied to procurement options exercised by BARDA.</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April 2026, we announced positive interim results from our Cohealyx I post-market clinical study, demonstrating a statistically significant reduction in mean time to autografting readiness of approximately 20 days compared to a literature-derived benchmark (13.6 days versus 33.2 days; p&lt;0.001). These findings support the potential of Cohealyx to improve clinical outcomes and enhance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481965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98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2753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753995"/>
                    </a:xfrm>
                    <a:prstGeom prst="rect">
                      <a:avLst/>
                    </a:prstGeom>
                    <a:noFill/>
                  </pic:spPr>
                </pic:pic>
              </a:graphicData>
            </a:graphic>
          </wp:anchor>
        </w:drawing>
        <w:t>efficiency in the treatment of full-thickness wounds.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participated in the American Burn Association 2026 Annual Meeting in April, where independent investigators and clinical partners presented data and case studies reflecting real-world use of RECELL, Cohealyx, and PermeaDerm across a range of wound care applications. These presentations highlighted evolving clinical experience with our products and their use across different stages of wound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28159 Avenue Stanford, Suite 220, Valencia, CA 91355. Our telephone number is (661) 367-9170. Our website address is www.avitamedical.com. The information on, or that can be accessed through, our website is not part of this prospectus supplement and is not incorporated by reference in this prospectus supplement.</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985" w:right="5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840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840095"/>
                    </a:xfrm>
                    <a:prstGeom prst="rect">
                      <a:avLst/>
                    </a:prstGeom>
                    <a:noFill/>
                  </pic:spPr>
                </pic:pic>
              </a:graphicData>
            </a:graphic>
          </wp:anchor>
        </w:drawing>
        <w:t>The Offering</w:t>
      </w:r>
    </w:p>
    <w:p>
      <w:pPr>
        <w:spacing w:after="0" w:line="22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prospectus. For a more complete description of the Shares, see “Description of Common Stock We May Offer” in the accompanying prospectus. For a description of the terms of the Warrant exercisable for the Shares, see “Description of Securities to be Registered” in this prospectus supplement.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are offering up to (i) 500,000 shares of common stock underlying the currently exercisable portion of the</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and (ii) an additional 150,000 shares of common stock that will vest and become exercisable if the</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closes on the Additional Commitment Amount. The Warrant has a per share exercise price of</w:t>
            </w:r>
          </w:p>
        </w:tc>
      </w:tr>
      <w:tr>
        <w:trPr>
          <w:trHeight w:val="234"/>
        </w:trPr>
        <w:tc>
          <w:tcPr>
            <w:tcW w:w="30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$3.4019.</w:t>
            </w:r>
          </w:p>
        </w:tc>
      </w:tr>
      <w:tr>
        <w:trPr>
          <w:trHeight w:val="414"/>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could receive up to an aggregate of approximately $2.2 million in cash proceeds if the Warrant is fully</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and exercised for cash. The exercise of the Warrant, and any proceeds we may receive from its exercise,</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are highly dependent on the trading price of our common stock and the spread between the exercise price of</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Warrant and the trading price of our common stock at the time of exercise. To the extent that any portion of</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Warrant is exercised on a “cashless basis,” the amount of cash we would receive from the exercise of the</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will decrease, or we may not receive any cash proceeds at all. We currently intend to use these</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if any, for working capital and general corporate purposes. See “Use of Proceeds” in this prospectus</w:t>
            </w:r>
          </w:p>
        </w:tc>
      </w:tr>
      <w:tr>
        <w:trPr>
          <w:trHeight w:val="234"/>
        </w:trPr>
        <w:tc>
          <w:tcPr>
            <w:tcW w:w="30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more information.</w:t>
            </w:r>
          </w:p>
        </w:tc>
      </w:tr>
      <w:tr>
        <w:trPr>
          <w:trHeight w:val="414"/>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Investing in our securities involves certain risks. See “Risk Factors” beginning on page S-8 of this prospectus</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 and the risk factors set forth in our Annual Report on Form 10-K for the year ended December 31,</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 and any subsequently filed Quarterly Reports on Form 10-Q, which are incorporated by reference into</w:t>
            </w:r>
          </w:p>
        </w:tc>
      </w:tr>
      <w:tr>
        <w:trPr>
          <w:trHeight w:val="234"/>
        </w:trPr>
        <w:tc>
          <w:tcPr>
            <w:tcW w:w="30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this prospectus supplement.</w:t>
            </w:r>
          </w:p>
        </w:tc>
      </w:tr>
      <w:tr>
        <w:trPr>
          <w:trHeight w:val="410"/>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“RCEL”</w:t>
            </w:r>
          </w:p>
        </w:tc>
      </w:t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for Common Stock</w:t>
            </w:r>
          </w:p>
        </w:tc>
        <w:tc>
          <w:tcPr>
            <w:tcW w:w="8240" w:type="dxa"/>
            <w:vAlign w:val="bottom"/>
          </w:tcPr>
          <w:p>
            <w:pPr>
              <w:spacing w:after="0"/>
              <w:rPr>
                <w:sz w:val="20"/>
                <w:szCs w:val="20"/>
                <w:color w:val="auto"/>
              </w:rPr>
            </w:pPr>
          </w:p>
        </w:tc>
      </w:tr>
      <w:tr>
        <w:trPr>
          <w:trHeight w:val="410"/>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Australian Securities Exchange</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“AVH”</w:t>
            </w:r>
          </w:p>
        </w:tc>
      </w:t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for CDIs</w:t>
            </w:r>
          </w:p>
        </w:tc>
        <w:tc>
          <w:tcPr>
            <w:tcW w:w="8240" w:type="dxa"/>
            <w:vAlign w:val="bottom"/>
          </w:tcPr>
          <w:p>
            <w:pPr>
              <w:spacing w:after="0"/>
              <w:rPr>
                <w:sz w:val="20"/>
                <w:szCs w:val="20"/>
                <w:color w:val="auto"/>
              </w:rPr>
            </w:pPr>
          </w:p>
        </w:tc>
      </w:tr>
      <w:tr>
        <w:trPr>
          <w:trHeight w:val="945"/>
        </w:trPr>
        <w:tc>
          <w:tcPr>
            <w:tcW w:w="300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S-7</w:t>
            </w:r>
          </w:p>
        </w:tc>
      </w:tr>
      <w:tr>
        <w:trPr>
          <w:trHeight w:val="776"/>
        </w:trPr>
        <w:tc>
          <w:tcPr>
            <w:tcW w:w="30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Investing in the securities involves a high degree of risk. You should carefully consider the risk factors described in our Annual Report on Form 10-K for our most recent fiscal year as filed with the SEC on February 12, 2026 (together with any material changes thereto contained in subsequently filed Quarterly Reports on Form 10-Q and Current Reports on Form 8-K) and those contained in our other filings with the SEC, which are incorporated by reference in this prospectus supplement. 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 These risks could materially affect our business, results of operations, or financial condition and cause the value of the securities to decline. You could lose all or part of your investment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Shares are issuable upon exercise of the Warrant. We will receive up to an aggregate of approximately $2.2 million of proceeds upon exercise of the Warrant to the extent the Warrant is fully vested and exercised for cash. The exercise of the Warrant is dependent on the trading price of our common stock exceeding the exercise price of the Warrant. To the extent that any portion of the Warrant is exercised on a “cashless basis,” the amount of cash we would receive from the exercise of the Warrant will decrease, or we may not receive any cash proceeds at all. We do not expect to rely on the cash exercise of the Warrant to fund our operations. We currently intend to use such proceeds, if any, for working capital and general corporate purposes.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 w:name="page10"/>
    <w:bookmarkEnd w:id="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you invest in shares of our common stock pursuant to exercise of the Warrant, your interest will be diluted to the extent of the difference between the exercise price per share of our common stock and the net tangible book value per share of our common stock after this offering. We calculate net tangible book value per share by dividing our net tangible assets (tangible assets less total liabilities) by the number of shares of our common stock issued and outstanding.</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net tangible book value at March 31, 2026 was $(31.3) million, or $(1.02) per share, based on 30,776,689 shares of our common stock outstanding as of such date. After giving effect to the assumed sale by us of 650,000 shares of our common stock upon the cash exercise of the Warrant at $3.4019 per share, our net tangible book value at March 31, 2026 would have been $(29.0) million, or $(0.92) per share. This represents an immediate increase in pro forma net tangible book value of $0.10 per share to existing stockholders and an immediate dilution of $4.32 per share to the holder exercising the Warrant. The following table illustrates this per share dilution.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of the Warrant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As-adjusted net tangible book value per share as of March 31, 2026 after this offering</w:t>
            </w:r>
          </w:p>
        </w:tc>
        <w:tc>
          <w:tcPr>
            <w:tcW w:w="18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44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holder exercising the Warrant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and calculations above are based on 30,776,689 shares of our common stock outstanding as of March 31, 2026, and exclude the following:</w:t>
      </w:r>
    </w:p>
    <w:p>
      <w:pPr>
        <w:spacing w:after="0" w:line="333" w:lineRule="exact"/>
        <w:rPr>
          <w:sz w:val="20"/>
          <w:szCs w:val="20"/>
          <w:color w:val="auto"/>
        </w:rPr>
      </w:pPr>
    </w:p>
    <w:p>
      <w:pPr>
        <w:ind w:left="1020" w:right="1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5,025,427 shares of our common stock issuable upon the exercise of stock options outstanding as of March 31, 2026, at a weighted average exercise price of $10.00 per share;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731,496 shares of our common stock issuable upon the vesting of restricted stock units outstanding as of March 31,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563,119 shares of our common stock available for future issuance under our Employee Stock Purchase Plan as of March 31,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409,661 shares of our common stock issuable upon the exercise of warrants outstanding as of March 31, 2026;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1,508,409 additional shares of our common stock available for future issuance under our 2020 Omnibus Incentive Plan, Amended and Restated, as of March 31,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common stock underlying the Warrant, please see “Description of Common Stock We May Offer” in the accompanying 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issuable upon exercise of the Warrant, which has material terms as summarized below.</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Warrant has an exercise price of $3.4019 per share of our common stock.</w:t>
      </w:r>
    </w:p>
    <w:p>
      <w:pPr>
        <w:spacing w:after="0" w:line="22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 is exercisable in respect of 500,000 shares of common stock on or after the date of issuance and until the tenth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date of issuance. The Warrant will become exercisable in respect of an additional 150,000 shares of common stock only if the Company closes on the Additional Commitment Amount and will remain exercisable in respect of such shares until the tenth anniversary of such date. Upon the holder’s exercise of the Warrant, we will issue the shares of common stock within two business days of our receipt of notice of exercise and payment of the aggregate exercise price. The holder of the Warrant may exercise the Warrant to purchase shares of our common stock on or before the applicable termination date by delivering an exercise notice, appropriately completed and duly signed, and payment of the exercise price for the number of shares for which such Warrant is being exercised in cash or by instructing the Company to withhold a number of shares underlying such Warrant with an aggregate fair market value equal to the exercise price.</w:t>
      </w:r>
    </w:p>
    <w:p>
      <w:pPr>
        <w:spacing w:after="0" w:line="18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Automatic Cashless Exercise</w:t>
      </w:r>
      <w:r>
        <w:rPr>
          <w:rFonts w:ascii="Times New Roman" w:cs="Times New Roman" w:eastAsia="Times New Roman" w:hAnsi="Times New Roman"/>
          <w:sz w:val="18"/>
          <w:szCs w:val="18"/>
          <w:color w:val="auto"/>
        </w:rPr>
        <w:t>. To the extent the Warrants have not been exercised in full prior to the earlier of (i) the occurrence of the expiration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and (ii) the date on which a sale of the Company is consummated, any portions of the Warrants that remains unexercised on such date will be deemed to have been exercised automatically pursuant to a cashless exercise, in whole (and not in part), on the business day immediately preceding such date; provided, that such an automatic cashless exercise will not occur if the per share fair market value of a Warrant share is less than the exercise price per Warrant share.</w:t>
      </w:r>
    </w:p>
    <w:p>
      <w:pPr>
        <w:spacing w:after="0" w:line="183" w:lineRule="exact"/>
        <w:rPr>
          <w:sz w:val="20"/>
          <w:szCs w:val="20"/>
          <w:color w:val="auto"/>
        </w:rPr>
      </w:pPr>
    </w:p>
    <w:p>
      <w:pPr>
        <w:ind w:right="2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Adjustments upon Reorganizations, Reclassifications, etc</w:t>
      </w:r>
      <w:r>
        <w:rPr>
          <w:rFonts w:ascii="Times New Roman" w:cs="Times New Roman" w:eastAsia="Times New Roman" w:hAnsi="Times New Roman"/>
          <w:sz w:val="18"/>
          <w:szCs w:val="18"/>
          <w:color w:val="auto"/>
        </w:rPr>
        <w:t>. The exercise price and number of shares of common stock issuable upon exercise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appropriate adjustment in the event of stock dividends, stock splits, reorganizations or similar events affecting our common stock and the exercise price.</w:t>
      </w:r>
    </w:p>
    <w:p>
      <w:pPr>
        <w:spacing w:after="0" w:line="173" w:lineRule="exact"/>
        <w:rPr>
          <w:sz w:val="20"/>
          <w:szCs w:val="20"/>
          <w:color w:val="auto"/>
        </w:rPr>
      </w:pPr>
    </w:p>
    <w:p>
      <w:pPr>
        <w:ind w:right="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The exercise price of the Warrants is subject to adjustment upon certain capital reorganizations, reclassifications,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similar transactions.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Warrant may be offered for sale, sold, transferred or assigned without our consent.</w:t>
      </w:r>
    </w:p>
    <w:p>
      <w:pPr>
        <w:spacing w:after="0" w:line="225" w:lineRule="exact"/>
        <w:rPr>
          <w:sz w:val="20"/>
          <w:szCs w:val="20"/>
          <w:color w:val="auto"/>
        </w:rPr>
      </w:pPr>
    </w:p>
    <w:p>
      <w:pPr>
        <w:ind w:right="260" w:firstLine="630"/>
        <w:spacing w:after="0" w:line="284"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described below or by virtue of the holder’s ownership of our common stock, the holder of the Warrant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rights or privileges of a holder of our common stock, including any voting rights, until the holder exercises the Warrant or portion thereof.</w:t>
      </w:r>
    </w:p>
    <w:p>
      <w:pPr>
        <w:spacing w:after="0" w:line="15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Limit on Exercise</w:t>
      </w:r>
      <w:r>
        <w:rPr>
          <w:rFonts w:ascii="Times New Roman" w:cs="Times New Roman" w:eastAsia="Times New Roman" w:hAnsi="Times New Roman"/>
          <w:sz w:val="18"/>
          <w:szCs w:val="18"/>
          <w:color w:val="auto"/>
        </w:rPr>
        <w:t>. The exercisability or exchangeability of the Warrant may be limited in certain circumstances if, after giving effect to such exercise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holder or any of its affiliates would beneficially own (as determined pursuant to Section 13(d) of the Exchange Act) more than 9.99% of our total common stock issued and outstanding.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13, 2026, the Company entered into a five-year credit facility with Perceptive providing up to $60.0 million in total borrowings pursuant to the Credit Agreement. At closing, we drew $50.0 million and used a portion of the proceeds to repay our existing debt, resulting in net proceeds of approximately $6.0 million after repayment of our prior debt and certain related transaction fees. This credit facility includes an option to access an additional $10.0 million through the first quarter of 2027, subject to the achievement of a certain revenue milestone. This facility also establishes TTM revenue covenants aligned with our current operating trajectory, including $68.5 million for the quarter ended March 31, 2026, $69.0 million for the quarter ending June 30, 2026, and $73.0 million for the year ending December 31, 2026. The TTM revenue covenant is $69.0 million for the second quarter ending June 30, 2026, and $73.0 million for the full year 2026.</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Shares are issuable upon exercise of the Warrant issued to Perceptive as consideration for entering into the Credit Agreement. Of the 650,000 Shares issuable under the Warrant, the Warrant is currently exercisable in respect of 500,000 Shares and the remainder will vest and become exercisable in respect of 150,000 Shares only if the Company closes on the Additional Commitment Amount. The offer of the Shares issuable upon exercise of the Warrant is registered pursuant to our shelf registration statement on Form S-3 (File Number 333-294790) to which this prospectus supplement relates.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and the Warrant is only a summary, does not purport to be complete and is qualified in its entirety by reference to the Credit Agreement and the Warrant, copies of which were attached as Exhibit 10.1 to our Current Report on Form 8-K filed with the SEC on January 13, 2026 and Exhibit 4.1 to our Current Report on Form 8-K filed with the SEC on June 5, 2026.</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currently anticipate that closing of the sale of the Shares pursuant to this prospectus supplement will take place from time to time upon the vesting and exercise of the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ASX Listing Rules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ASX Listing Rules may impose limits on the number of shares that we can issue without shareholder approval. In particular, Listing Rule 7.1 provides that a company may not, without prior shareholder approval, issue, or agree to issue, an amount of equity securities in any twelve-month period exceeding 15% of the number of shares outstanding at the commencement of that 12-month period (“Listing Capacity”). At the time we entered the Credit Agreement, we did not have the Listing Capacity to issue the Warrant absent stockholder approval. At our 2026 Annual Meeting of Stockholders on June 3, 2026, our stockholders approved the issuance of the Warrant for purposes of ASX Listing Rule 7.1, permitting the exercise of the Warrant by Perceptive and its assigns, and issuance of shares of common stock thereupon. Because the stockholders approved the issuance of the Warrant, its issuance is not counted against our Listing Capacity.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Transfer Agent</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LLC and trades under the symbol “RCEL.” The transfer agent of our common stock is Computershare Trust Company, N.A. Our CDIs are listed on the ASX under the symbol “AVH” with five CDIs being equivalent to one share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left="48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K&amp;L Gates LLP, Charlotte, North Carolina.</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we filed with the SEC under the Securities Act. This prospectus supplement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www.avitamedical.com. The information set forth on, or accessible through, our website is not part of this prospectus supplement.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supplement, and later information that we file with the SEC automatically updates and supersedes this information. We incorporate by reference the documents listed below, except to the extent information in those documents is different from the information contained in this prospectus supplement, and all future documents filed with the SEC under Sections 13(a), 13(c), 14, or 15(d) of the Exchange Act until we terminate the offering of these securities (unless otherwise noted, the SEC file number for each of the documents listed below is 001-39059):</w:t>
      </w:r>
    </w:p>
    <w:p>
      <w:pPr>
        <w:spacing w:after="0" w:line="29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12, 2026;</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31">
        <w:r>
          <w:rPr>
            <w:rFonts w:ascii="Times New Roman" w:cs="Times New Roman" w:eastAsia="Times New Roman" w:hAnsi="Times New Roman"/>
            <w:sz w:val="18"/>
            <w:szCs w:val="18"/>
            <w:u w:val="single" w:color="auto"/>
            <w:color w:val="0000FF"/>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 on April 22, 2026;</w:t>
      </w:r>
    </w:p>
    <w:p>
      <w:pPr>
        <w:spacing w:after="0" w:line="53" w:lineRule="exact"/>
        <w:rPr>
          <w:rFonts w:ascii="Times New Roman" w:cs="Times New Roman" w:eastAsia="Times New Roman" w:hAnsi="Times New Roman"/>
          <w:sz w:val="18"/>
          <w:szCs w:val="18"/>
          <w:color w:val="0000FF"/>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w:t>
      </w:r>
      <w:hyperlink r:id="rId32">
        <w:r>
          <w:rPr>
            <w:rFonts w:ascii="Times New Roman" w:cs="Times New Roman" w:eastAsia="Times New Roman" w:hAnsi="Times New Roman"/>
            <w:sz w:val="18"/>
            <w:szCs w:val="18"/>
            <w:u w:val="single" w:color="auto"/>
            <w:color w:val="0000FF"/>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14, 2026;</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auto"/>
          </w:rPr>
          <w:t xml:space="preserve">our Current Reports on Form 8-K filed with the SEC (other than information furnished rather than filed) on </w:t>
        </w:r>
        <w:r>
          <w:rPr>
            <w:rFonts w:ascii="Times New Roman" w:cs="Times New Roman" w:eastAsia="Times New Roman" w:hAnsi="Times New Roman"/>
            <w:sz w:val="18"/>
            <w:szCs w:val="18"/>
            <w:u w:val="single" w:color="auto"/>
            <w:color w:val="0000FF"/>
          </w:rPr>
          <w:t>January 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13,</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34">
        <w:r>
          <w:rPr>
            <w:rFonts w:ascii="Times New Roman" w:cs="Times New Roman" w:eastAsia="Times New Roman" w:hAnsi="Times New Roman"/>
            <w:sz w:val="18"/>
            <w:szCs w:val="18"/>
            <w:u w:val="single" w:color="auto"/>
            <w:color w:val="0000FF"/>
          </w:rPr>
          <w:t>May 1, 2026</w:t>
        </w:r>
      </w:hyperlink>
      <w:hyperlink r:id="rId33">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35">
        <w:r>
          <w:rPr>
            <w:rFonts w:ascii="Times New Roman" w:cs="Times New Roman" w:eastAsia="Times New Roman" w:hAnsi="Times New Roman"/>
            <w:sz w:val="18"/>
            <w:szCs w:val="18"/>
            <w:u w:val="single" w:color="auto"/>
            <w:color w:val="0000FF"/>
          </w:rPr>
          <w:t>June 4, 2026</w:t>
        </w:r>
      </w:hyperlink>
      <w:hyperlink r:id="rId33">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FF"/>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on the </w:t>
      </w:r>
      <w:hyperlink r:id="rId36">
        <w:r>
          <w:rPr>
            <w:rFonts w:ascii="Times New Roman" w:cs="Times New Roman" w:eastAsia="Times New Roman" w:hAnsi="Times New Roman"/>
            <w:sz w:val="18"/>
            <w:szCs w:val="18"/>
            <w:u w:val="single" w:color="auto"/>
            <w:color w:val="0000ED"/>
          </w:rPr>
          <w:t>Form 8-K12B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30, 2020, including any amendment or reports filed for the purpose of updating this description.</w:t>
      </w:r>
    </w:p>
    <w:p>
      <w:pPr>
        <w:spacing w:after="0" w:line="162" w:lineRule="exact"/>
        <w:rPr>
          <w:rFonts w:ascii="Times New Roman" w:cs="Times New Roman" w:eastAsia="Times New Roman" w:hAnsi="Times New Roman"/>
          <w:sz w:val="18"/>
          <w:szCs w:val="18"/>
          <w:color w:val="0000FF"/>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may request and obtain a copy of any or all of the documents that are incorporated by reference into this prospectus supplement but not delivered with the prospectus supplement, including exhibits that are specifically incorporated by reference into such documents, at no cost, by writing or telephoning us at the following address or phone number:</w:t>
      </w:r>
    </w:p>
    <w:p>
      <w:pPr>
        <w:spacing w:after="0" w:line="176" w:lineRule="exact"/>
        <w:rPr>
          <w:rFonts w:ascii="Times New Roman" w:cs="Times New Roman" w:eastAsia="Times New Roman" w:hAnsi="Times New Roman"/>
          <w:sz w:val="18"/>
          <w:szCs w:val="18"/>
          <w:color w:val="0000FF"/>
        </w:rPr>
      </w:pPr>
    </w:p>
    <w:p>
      <w:pPr>
        <w:ind w:left="48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7" w:lineRule="exact"/>
        <w:rPr>
          <w:rFonts w:ascii="Times New Roman" w:cs="Times New Roman" w:eastAsia="Times New Roman" w:hAnsi="Times New Roman"/>
          <w:sz w:val="18"/>
          <w:szCs w:val="18"/>
          <w:color w:val="0000FF"/>
        </w:rPr>
      </w:pPr>
    </w:p>
    <w:p>
      <w:pPr>
        <w:ind w:left="4740"/>
        <w:spacing w:after="0"/>
        <w:rPr>
          <w:sz w:val="20"/>
          <w:szCs w:val="20"/>
          <w:color w:val="auto"/>
        </w:rPr>
      </w:pPr>
      <w:r>
        <w:rPr>
          <w:rFonts w:ascii="Times New Roman" w:cs="Times New Roman" w:eastAsia="Times New Roman" w:hAnsi="Times New Roman"/>
          <w:sz w:val="18"/>
          <w:szCs w:val="18"/>
          <w:color w:val="auto"/>
        </w:rPr>
        <w:t>28159 Avenue Stanford</w:t>
      </w:r>
    </w:p>
    <w:p>
      <w:pPr>
        <w:spacing w:after="0" w:line="9" w:lineRule="exact"/>
        <w:rPr>
          <w:rFonts w:ascii="Times New Roman" w:cs="Times New Roman" w:eastAsia="Times New Roman" w:hAnsi="Times New Roman"/>
          <w:sz w:val="18"/>
          <w:szCs w:val="18"/>
          <w:color w:val="0000FF"/>
        </w:rPr>
      </w:pPr>
    </w:p>
    <w:p>
      <w:pPr>
        <w:ind w:left="5260"/>
        <w:spacing w:after="0"/>
        <w:rPr>
          <w:sz w:val="20"/>
          <w:szCs w:val="20"/>
          <w:color w:val="auto"/>
        </w:rPr>
      </w:pPr>
      <w:r>
        <w:rPr>
          <w:rFonts w:ascii="Times New Roman" w:cs="Times New Roman" w:eastAsia="Times New Roman" w:hAnsi="Times New Roman"/>
          <w:sz w:val="18"/>
          <w:szCs w:val="18"/>
          <w:color w:val="auto"/>
        </w:rPr>
        <w:t>Suite 220</w:t>
      </w:r>
    </w:p>
    <w:p>
      <w:pPr>
        <w:spacing w:after="0" w:line="9" w:lineRule="exact"/>
        <w:rPr>
          <w:rFonts w:ascii="Times New Roman" w:cs="Times New Roman" w:eastAsia="Times New Roman" w:hAnsi="Times New Roman"/>
          <w:sz w:val="18"/>
          <w:szCs w:val="18"/>
          <w:color w:val="0000FF"/>
        </w:rPr>
      </w:pPr>
    </w:p>
    <w:p>
      <w:pPr>
        <w:ind w:left="4860"/>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9" w:lineRule="exact"/>
        <w:rPr>
          <w:rFonts w:ascii="Times New Roman" w:cs="Times New Roman" w:eastAsia="Times New Roman" w:hAnsi="Times New Roman"/>
          <w:sz w:val="18"/>
          <w:szCs w:val="18"/>
          <w:color w:val="0000FF"/>
        </w:rPr>
      </w:pPr>
    </w:p>
    <w:p>
      <w:pPr>
        <w:ind w:left="5060"/>
        <w:spacing w:after="0"/>
        <w:rPr>
          <w:sz w:val="20"/>
          <w:szCs w:val="20"/>
          <w:color w:val="auto"/>
        </w:rPr>
      </w:pPr>
      <w:r>
        <w:rPr>
          <w:rFonts w:ascii="Times New Roman" w:cs="Times New Roman" w:eastAsia="Times New Roman" w:hAnsi="Times New Roman"/>
          <w:sz w:val="18"/>
          <w:szCs w:val="18"/>
          <w:color w:val="auto"/>
        </w:rPr>
        <w:t>(661) 367-9170</w:t>
      </w:r>
    </w:p>
    <w:p>
      <w:pPr>
        <w:spacing w:after="0" w:line="9" w:lineRule="exact"/>
        <w:rPr>
          <w:rFonts w:ascii="Times New Roman" w:cs="Times New Roman" w:eastAsia="Times New Roman" w:hAnsi="Times New Roman"/>
          <w:sz w:val="18"/>
          <w:szCs w:val="18"/>
          <w:color w:val="0000FF"/>
        </w:rPr>
      </w:pPr>
    </w:p>
    <w:p>
      <w:pPr>
        <w:ind w:left="2700"/>
        <w:spacing w:after="0"/>
        <w:rPr>
          <w:sz w:val="20"/>
          <w:szCs w:val="20"/>
          <w:color w:val="auto"/>
        </w:rPr>
      </w:pPr>
      <w:r>
        <w:rPr>
          <w:rFonts w:ascii="Times New Roman" w:cs="Times New Roman" w:eastAsia="Times New Roman" w:hAnsi="Times New Roman"/>
          <w:sz w:val="18"/>
          <w:szCs w:val="18"/>
          <w:color w:val="auto"/>
        </w:rPr>
        <w:t>Attn: Nicole Kelsey, Chief Legal and Compliance Officer &amp; Corporate Secretary</w:t>
      </w:r>
    </w:p>
    <w:p>
      <w:pPr>
        <w:spacing w:after="0" w:line="234"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AVITA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198755</wp:posOffset>
            </wp:positionV>
            <wp:extent cx="1602740" cy="1920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6027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$200,000,000</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color w:val="auto"/>
        </w:rPr>
        <w:t>We may offer and sell from time to time our common stock, preferred stock, warrants, and units. We refer to the common stock, preferred stock, and warrants and any related units collectively as the “securities.” The aggregate initial offering price of all securities sold by AVITA Medical, Inc. pursuant to this prospectus and any prospectus supplement will not exceed $200,000,000. The specific terms of any securities we offer will be included in a supplement to this prospectus.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 This prospectus may not be used to offer and sell securities unless accompanied by a prospectus supplement for those securities.</w:t>
      </w:r>
    </w:p>
    <w:p>
      <w:pPr>
        <w:spacing w:after="0" w:line="15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145" w:lineRule="exact"/>
        <w:rPr>
          <w:sz w:val="20"/>
          <w:szCs w:val="20"/>
          <w:color w:val="auto"/>
        </w:rPr>
      </w:pPr>
    </w:p>
    <w:p>
      <w:pPr>
        <w:ind w:right="80" w:firstLine="509"/>
        <w:spacing w:after="0" w:line="298" w:lineRule="auto"/>
        <w:rPr>
          <w:sz w:val="20"/>
          <w:szCs w:val="20"/>
          <w:color w:val="auto"/>
        </w:rPr>
      </w:pPr>
      <w:r>
        <w:rPr>
          <w:rFonts w:ascii="Times New Roman" w:cs="Times New Roman" w:eastAsia="Times New Roman" w:hAnsi="Times New Roman"/>
          <w:sz w:val="16"/>
          <w:szCs w:val="16"/>
          <w:color w:val="auto"/>
        </w:rPr>
        <w:t>Our common stock trades on The Nasdaq Stock Market LLC under the symbol “RCEL.” On March 30, 2026, the last reported sale price for our common stock was $3.63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138430</wp:posOffset>
            </wp:positionV>
            <wp:extent cx="1423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b w:val="1"/>
          <w:bCs w:val="1"/>
          <w:color w:val="auto"/>
        </w:rPr>
        <w:t>See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beginning on page 2 of this prospectus, together with risk factors contained in any applicable prospectus supplement, for factors you should consider before buying any of our securities.</w:t>
      </w:r>
    </w:p>
    <w:p>
      <w:pPr>
        <w:spacing w:after="0" w:line="133"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U.S.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date of this Prospectus is April 9, 2026.</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80" w:type="dxa"/>
            <w:vAlign w:val="bottom"/>
            <w:gridSpan w:val="2"/>
          </w:tcPr>
          <w:p>
            <w:pPr>
              <w:jc w:val="right"/>
              <w:ind w:right="5119"/>
              <w:spacing w:after="0"/>
              <w:rPr>
                <w:sz w:val="20"/>
                <w:szCs w:val="20"/>
                <w:color w:val="auto"/>
              </w:rPr>
            </w:pPr>
            <w:r>
              <w:rPr>
                <w:rFonts w:ascii="Times New Roman" w:cs="Times New Roman" w:eastAsia="Times New Roman" w:hAnsi="Times New Roman"/>
                <w:sz w:val="16"/>
                <w:szCs w:val="16"/>
                <w:b w:val="1"/>
                <w:bCs w:val="1"/>
                <w:color w:val="auto"/>
              </w:rPr>
              <w:t>TABLE OF</w:t>
            </w: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gridSpan w:val="2"/>
          </w:tcPr>
          <w:p>
            <w:pPr>
              <w:jc w:val="right"/>
              <w:ind w:right="5059"/>
              <w:spacing w:after="0"/>
              <w:rPr>
                <w:sz w:val="20"/>
                <w:szCs w:val="20"/>
                <w:color w:val="auto"/>
              </w:rPr>
            </w:pPr>
            <w:r>
              <w:rPr>
                <w:rFonts w:ascii="Times New Roman" w:cs="Times New Roman" w:eastAsia="Times New Roman" w:hAnsi="Times New Roman"/>
                <w:sz w:val="16"/>
                <w:szCs w:val="16"/>
                <w:b w:val="1"/>
                <w:bCs w:val="1"/>
                <w:color w:val="auto"/>
              </w:rPr>
              <w:t>CONTENTS</w:t>
            </w: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3"/>
        </w:trPr>
        <w:tc>
          <w:tcPr>
            <w:tcW w:w="202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color w:val="0000FF"/>
              </w:rPr>
              <w:t>ABOUT THIS PROSPECTUS</w:t>
            </w:r>
          </w:p>
        </w:tc>
        <w:tc>
          <w:tcPr>
            <w:tcW w:w="2740" w:type="dxa"/>
            <w:vAlign w:val="bottom"/>
            <w:gridSpan w:val="7"/>
            <w:vMerge w:val="restart"/>
          </w:tcPr>
          <w:p>
            <w:pPr>
              <w:spacing w:after="0"/>
              <w:rPr>
                <w:sz w:val="2"/>
                <w:szCs w:val="2"/>
                <w:color w:val="auto"/>
              </w:rPr>
            </w:pPr>
          </w:p>
        </w:tc>
        <w:tc>
          <w:tcPr>
            <w:tcW w:w="570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20" w:type="dxa"/>
            <w:vAlign w:val="bottom"/>
            <w:tcBorders>
              <w:bottom w:val="single" w:sz="8" w:color="0000FF"/>
            </w:tcBorders>
            <w:gridSpan w:val="11"/>
            <w:vMerge w:val="continue"/>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FORWARD-LOOKING STATEMENTS</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3"/>
        </w:trPr>
        <w:tc>
          <w:tcPr>
            <w:tcW w:w="2700" w:type="dxa"/>
            <w:vAlign w:val="bottom"/>
            <w:tcBorders>
              <w:top w:val="single" w:sz="8" w:color="0000FF"/>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2060" w:type="dxa"/>
            <w:vAlign w:val="bottom"/>
            <w:gridSpan w:val="3"/>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USE OF PROCEEDS</w:t>
            </w:r>
          </w:p>
        </w:tc>
        <w:tc>
          <w:tcPr>
            <w:tcW w:w="3320" w:type="dxa"/>
            <w:vAlign w:val="bottom"/>
            <w:gridSpan w:val="11"/>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DESCRIPTION OF COMMON STOCK WE MAY OFFER</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3"/>
        </w:trPr>
        <w:tc>
          <w:tcPr>
            <w:tcW w:w="104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Common Stock</w:t>
            </w:r>
          </w:p>
        </w:tc>
        <w:tc>
          <w:tcPr>
            <w:tcW w:w="2880" w:type="dxa"/>
            <w:vAlign w:val="bottom"/>
            <w:tcBorders>
              <w:top w:val="single" w:sz="8" w:color="0000FF"/>
            </w:tcBorders>
            <w:gridSpan w:val="14"/>
          </w:tcPr>
          <w:p>
            <w:pPr>
              <w:spacing w:after="0"/>
              <w:rPr>
                <w:sz w:val="15"/>
                <w:szCs w:val="15"/>
                <w:color w:val="auto"/>
              </w:rPr>
            </w:pPr>
          </w:p>
        </w:tc>
        <w:tc>
          <w:tcPr>
            <w:tcW w:w="840" w:type="dxa"/>
            <w:vAlign w:val="bottom"/>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Preferred Stock</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Limitation of Liability; Indemnification</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3"/>
        </w:trPr>
        <w:tc>
          <w:tcPr>
            <w:tcW w:w="2580" w:type="dxa"/>
            <w:vAlign w:val="bottom"/>
            <w:tcBorders>
              <w:top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Securities Exchange Listings</w:t>
            </w:r>
          </w:p>
        </w:tc>
        <w:tc>
          <w:tcPr>
            <w:tcW w:w="2180" w:type="dxa"/>
            <w:vAlign w:val="bottom"/>
            <w:gridSpan w:val="4"/>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Transfer Agent and Registrar</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tcBorders>
              <w:bottom w:val="single" w:sz="8" w:color="0000FF"/>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DESCRIPTION OF WARRANTS</w:t>
            </w:r>
          </w:p>
        </w:tc>
        <w:tc>
          <w:tcPr>
            <w:tcW w:w="2500" w:type="dxa"/>
            <w:vAlign w:val="bottom"/>
            <w:gridSpan w:val="6"/>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0000FF"/>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FF"/>
              </w:rPr>
              <w:t>Exercise of Warrants</w:t>
            </w:r>
          </w:p>
        </w:tc>
        <w:tc>
          <w:tcPr>
            <w:tcW w:w="3380" w:type="dxa"/>
            <w:vAlign w:val="bottom"/>
            <w:gridSpan w:val="12"/>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3"/>
        </w:trPr>
        <w:tc>
          <w:tcPr>
            <w:tcW w:w="102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Modifications</w:t>
            </w:r>
          </w:p>
        </w:tc>
        <w:tc>
          <w:tcPr>
            <w:tcW w:w="3740" w:type="dxa"/>
            <w:vAlign w:val="bottom"/>
            <w:gridSpan w:val="16"/>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Enforceability of Rights</w:t>
            </w:r>
          </w:p>
        </w:tc>
        <w:tc>
          <w:tcPr>
            <w:tcW w:w="3140" w:type="dxa"/>
            <w:vAlign w:val="bottom"/>
            <w:gridSpan w:val="10"/>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DESCRIPTION OF UNITS</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Borders>
              <w:bottom w:val="single" w:sz="8" w:color="0000FF"/>
            </w:tcBorders>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CHESS DEPOSITARY INTERESTS</w:t>
            </w:r>
          </w:p>
        </w:tc>
        <w:tc>
          <w:tcPr>
            <w:tcW w:w="2300" w:type="dxa"/>
            <w:vAlign w:val="bottom"/>
            <w:gridSpan w:val="5"/>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PLAN OF DISTRIBUTION</w:t>
            </w:r>
          </w:p>
        </w:tc>
        <w:tc>
          <w:tcPr>
            <w:tcW w:w="2880" w:type="dxa"/>
            <w:vAlign w:val="bottom"/>
            <w:gridSpan w:val="8"/>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LEGAL MATTERS</w:t>
            </w:r>
          </w:p>
        </w:tc>
        <w:tc>
          <w:tcPr>
            <w:tcW w:w="3420" w:type="dxa"/>
            <w:vAlign w:val="bottom"/>
            <w:gridSpan w:val="13"/>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3"/>
        </w:trPr>
        <w:tc>
          <w:tcPr>
            <w:tcW w:w="7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EXPERTS</w:t>
            </w:r>
          </w:p>
        </w:tc>
        <w:tc>
          <w:tcPr>
            <w:tcW w:w="4000" w:type="dxa"/>
            <w:vAlign w:val="bottom"/>
            <w:gridSpan w:val="17"/>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0000FF"/>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WHERE YOU CAN FIND MORE INFORMATION</w:t>
            </w:r>
          </w:p>
        </w:tc>
        <w:tc>
          <w:tcPr>
            <w:tcW w:w="1300" w:type="dxa"/>
            <w:vAlign w:val="bottom"/>
            <w:gridSpan w:val="2"/>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0000FF"/>
            </w:tcBorders>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INCORPORATION OF CERTAIN INFORMATION BY REFERENCE</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215"/>
        </w:trPr>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10"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Unless the context requires otherwise or unless otherwise noted, all references in this prospectus or any prospectus supplement to “AVITA Medical” and to the “Company,” “we,” “us” or “our” are to AVITA Medical, Inc. and its subsidiaries.</w:t>
      </w:r>
    </w:p>
    <w:p>
      <w:pPr>
        <w:spacing w:after="0" w:line="124"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S-3 that we filed with the U.S. Securities and Exchange Commission, or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Certain Information by Reference” below.</w:t>
      </w:r>
    </w:p>
    <w:p>
      <w:pPr>
        <w:spacing w:after="0" w:line="14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6"/>
          <w:szCs w:val="16"/>
          <w:color w:val="auto"/>
        </w:rPr>
        <w:t>We have not authorized anyone to provide you with different information than that contained or incorporated by reference in this prospectus supplement and any related free writing prospectus filed by us with the SEC.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6"/>
          <w:szCs w:val="16"/>
          <w:color w:val="auto"/>
        </w:rPr>
        <w:t>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365"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December 31, 2025. These documents are available through the SEC’s Electronic Data Gathering and Analysis Retrieval System at http://www.sec.gov.</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21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6"/>
          <w:szCs w:val="16"/>
          <w:color w:val="auto"/>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RECELL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(“RECELL”), approved by the U.S. Food and Drug Administration (the “FDA”) for the treatment of thermal burn wounds and full-thickness skin defects. RECELL harnesses the healing properties of a patient’s own skin to create an autologous skin cell suspension, Spray-On Skin™, offering an innovative solution for improved clinical outcomes at the point-of-care.</w:t>
      </w:r>
    </w:p>
    <w:p>
      <w:pPr>
        <w:spacing w:after="0" w:line="15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6"/>
          <w:szCs w:val="16"/>
          <w:color w:val="auto"/>
        </w:rPr>
        <w:t>Our principal executive office is located at 28159 Avenue Stanford, Suite 220, Valencia, CA 91355, and our telephone number is (661) 367-9170. Our website address is www.avitamedical.com. The information on, or that can be accessed through, our website is not part of this prospectus and is not incorporated by reference in this prospectus.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6"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6"/>
          <w:szCs w:val="16"/>
          <w:color w:val="auto"/>
        </w:rPr>
        <w:t>Investing in our securities involves a high degree of risk. You should carefully consider the risk factors described in our Annual Report on Form 10-K for our most recent fiscal year (together with any material changes thereto contained in subsequently filed Quarterly Reports on Form 10-Q and Current Reports on Form 8-K) and those contained in our other filings with the SEC, which are incorporated by reference in this prospectus and any accompanying prospectus supplement.</w:t>
      </w:r>
    </w:p>
    <w:p>
      <w:pPr>
        <w:spacing w:after="0" w:line="137"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6"/>
          <w:szCs w:val="16"/>
          <w:color w:val="auto"/>
        </w:rPr>
        <w:t>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96"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Unless specified otherwise in the applicable prospectus supplement, we expect to use the net proceeds we receive from the sale of the securities offered by this prospectus for general corporate purposes, which may include, among other things:</w:t>
      </w:r>
    </w:p>
    <w:p>
      <w:pPr>
        <w:spacing w:after="0" w:line="5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capital;</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repayment of debt;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and redemptions of securities.</w:t>
      </w:r>
    </w:p>
    <w:p>
      <w:pPr>
        <w:spacing w:after="0" w:line="208"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 term indebtedness.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DESCRIPTION OF COMMON STOCK WE MAY OFFER</w:t>
      </w:r>
    </w:p>
    <w:p>
      <w:pPr>
        <w:spacing w:after="0" w:line="210" w:lineRule="exact"/>
        <w:rPr>
          <w:sz w:val="20"/>
          <w:szCs w:val="20"/>
          <w:color w:val="auto"/>
        </w:rPr>
      </w:pPr>
    </w:p>
    <w:p>
      <w:pPr>
        <w:jc w:val="both"/>
        <w:ind w:right="60" w:firstLine="509"/>
        <w:spacing w:after="0" w:line="275" w:lineRule="auto"/>
        <w:rPr>
          <w:sz w:val="20"/>
          <w:szCs w:val="20"/>
          <w:color w:val="auto"/>
        </w:rPr>
      </w:pPr>
      <w:r>
        <w:rPr>
          <w:rFonts w:ascii="Times New Roman" w:cs="Times New Roman" w:eastAsia="Times New Roman" w:hAnsi="Times New Roman"/>
          <w:sz w:val="16"/>
          <w:szCs w:val="16"/>
          <w:color w:val="auto"/>
        </w:rPr>
        <w:t>We are a Delaware corporation. The rights of our stockholders are governed by the Delaware General Corporation Law, or the DGCL, and our amended certificate of incorporation (the “</w:t>
      </w:r>
      <w:r>
        <w:rPr>
          <w:rFonts w:ascii="Times New Roman" w:cs="Times New Roman" w:eastAsia="Times New Roman" w:hAnsi="Times New Roman"/>
          <w:sz w:val="16"/>
          <w:szCs w:val="16"/>
          <w:b w:val="1"/>
          <w:bCs w:val="1"/>
          <w:color w:val="auto"/>
        </w:rPr>
        <w:t>Certificate</w:t>
      </w:r>
      <w:r>
        <w:rPr>
          <w:rFonts w:ascii="Times New Roman" w:cs="Times New Roman" w:eastAsia="Times New Roman" w:hAnsi="Times New Roman"/>
          <w:sz w:val="16"/>
          <w:szCs w:val="16"/>
          <w:color w:val="auto"/>
        </w:rPr>
        <w:t>”) and our amended and restated bylaws (the “</w:t>
      </w:r>
      <w:r>
        <w:rPr>
          <w:rFonts w:ascii="Times New Roman" w:cs="Times New Roman" w:eastAsia="Times New Roman" w:hAnsi="Times New Roman"/>
          <w:sz w:val="16"/>
          <w:szCs w:val="16"/>
          <w:b w:val="1"/>
          <w:bCs w:val="1"/>
          <w:color w:val="auto"/>
        </w:rPr>
        <w:t>Bylaws</w:t>
      </w:r>
      <w:r>
        <w:rPr>
          <w:rFonts w:ascii="Times New Roman" w:cs="Times New Roman" w:eastAsia="Times New Roman" w:hAnsi="Times New Roman"/>
          <w:sz w:val="16"/>
          <w:szCs w:val="16"/>
          <w:color w:val="auto"/>
        </w:rPr>
        <w:t>”).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31"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6"/>
          <w:szCs w:val="16"/>
          <w:color w:val="auto"/>
        </w:rPr>
        <w:t>Our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3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3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6"/>
          <w:szCs w:val="16"/>
          <w:color w:val="auto"/>
        </w:rPr>
        <w:t>Subject to preferences that may be applicable to any then-outstanding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our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may consider relevant.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13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and Preferences</w:t>
      </w:r>
    </w:p>
    <w:p>
      <w:pPr>
        <w:spacing w:after="0" w:line="13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6"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Fully Paid and Non-assessable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All outstanding shares of our common stock are fully paid and non-assessable.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Stockholder Meetings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Certificate and Bylaws provide that annual stockholder meetings will be held at a date, place (if any) and time, as exclusively selected by our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extent permitted under applicable law, we may but are not obligated to conduct meetings by remote communications, including by webcast.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31"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6"/>
          <w:szCs w:val="16"/>
          <w:color w:val="auto"/>
        </w:rPr>
        <w:t>Our board of directors has the authority to issue up to 10,000,000 shares of preferred stock, par value $0.0001 per share, in one or more series, each of which will have such distinctive designation or title as shall be determined by our board of directors prior to the issuance of any shares thereof. Preferred stock will have such voting powers, whole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our board of directors prior to the issuance of any shares thereof. The designations, powers, rights and preferences of our preferred stock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our preferred stock are currently issued and outstanding.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Provisions of the Certificate and Bylaws and DGCL</w:t>
      </w:r>
    </w:p>
    <w:p>
      <w:pPr>
        <w:spacing w:after="0" w:line="131"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6"/>
          <w:szCs w:val="16"/>
          <w:color w:val="auto"/>
        </w:rPr>
        <w:t>Some provisions of the DGCL, our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our best interest, including transactions that might result in a premium over the market price for our common stock.</w:t>
      </w:r>
    </w:p>
    <w:p>
      <w:pPr>
        <w:spacing w:after="0" w:line="156" w:lineRule="exact"/>
        <w:rPr>
          <w:sz w:val="20"/>
          <w:szCs w:val="20"/>
          <w:color w:val="auto"/>
        </w:rPr>
      </w:pPr>
    </w:p>
    <w:p>
      <w:pPr>
        <w:ind w:right="260" w:firstLine="509"/>
        <w:spacing w:after="0" w:line="298" w:lineRule="auto"/>
        <w:rPr>
          <w:sz w:val="20"/>
          <w:szCs w:val="20"/>
          <w:color w:val="auto"/>
        </w:rPr>
      </w:pPr>
      <w:r>
        <w:rPr>
          <w:rFonts w:ascii="Times New Roman" w:cs="Times New Roman" w:eastAsia="Times New Roman" w:hAnsi="Times New Roman"/>
          <w:sz w:val="16"/>
          <w:szCs w:val="16"/>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Delaware Anti-Takeover Statute</w:t>
      </w:r>
    </w:p>
    <w:p>
      <w:pPr>
        <w:spacing w:after="0" w:line="12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6"/>
          <w:szCs w:val="16"/>
          <w:color w:val="auto"/>
        </w:rPr>
        <w:t>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the Company’s common stock.</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However, the above provisions of Section 203 do not apply if:</w:t>
      </w:r>
    </w:p>
    <w:p>
      <w:pPr>
        <w:spacing w:after="0" w:line="12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approves the transaction that made the stockholder an interested stockholder or the business combination before the date of that transaction;</w:t>
      </w:r>
    </w:p>
    <w:p>
      <w:pPr>
        <w:spacing w:after="0" w:line="126" w:lineRule="exact"/>
        <w:rPr>
          <w:rFonts w:ascii="Times New Roman" w:cs="Times New Roman" w:eastAsia="Times New Roman" w:hAnsi="Times New Roman"/>
          <w:sz w:val="16"/>
          <w:szCs w:val="16"/>
          <w:color w:val="auto"/>
        </w:rPr>
      </w:pPr>
    </w:p>
    <w:p>
      <w:pPr>
        <w:ind w:left="1020" w:right="40" w:hanging="503"/>
        <w:spacing w:after="0" w:line="298"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56" w:lineRule="exact"/>
        <w:rPr>
          <w:rFonts w:ascii="Times New Roman" w:cs="Times New Roman" w:eastAsia="Times New Roman" w:hAnsi="Times New Roman"/>
          <w:sz w:val="16"/>
          <w:szCs w:val="16"/>
          <w:color w:val="auto"/>
        </w:rPr>
      </w:pPr>
    </w:p>
    <w:p>
      <w:pPr>
        <w:ind w:left="1020" w:right="400" w:hanging="503"/>
        <w:spacing w:after="0" w:line="298"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12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Special Stockholder Meetings</w:t>
      </w:r>
    </w:p>
    <w:p>
      <w:pPr>
        <w:spacing w:after="0" w:line="129"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The Bylaws provide that a special meeting of stockholders (1) may be called at any time by the order of a majority of our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color w:val="auto"/>
        </w:rPr>
        <w:t>Requirements for Advance Notification of Stockholder Nominations and Proposals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Bylaws establish advance notice procedures with respect to stockholder proposals and the nomination of candidates for election as directors.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Composition of our Board of Directors; Election and Removal of Directors; Filling Vacancies</w:t>
      </w:r>
    </w:p>
    <w:p>
      <w:pPr>
        <w:spacing w:after="0" w:line="129" w:lineRule="exact"/>
        <w:rPr>
          <w:sz w:val="20"/>
          <w:szCs w:val="20"/>
          <w:color w:val="auto"/>
        </w:rPr>
      </w:pPr>
    </w:p>
    <w:p>
      <w:pPr>
        <w:ind w:right="220" w:firstLine="509"/>
        <w:spacing w:after="0" w:line="298" w:lineRule="auto"/>
        <w:rPr>
          <w:sz w:val="20"/>
          <w:szCs w:val="20"/>
          <w:color w:val="auto"/>
        </w:rPr>
      </w:pPr>
      <w:r>
        <w:rPr>
          <w:rFonts w:ascii="Times New Roman" w:cs="Times New Roman" w:eastAsia="Times New Roman" w:hAnsi="Times New Roman"/>
          <w:sz w:val="16"/>
          <w:szCs w:val="16"/>
          <w:color w:val="auto"/>
        </w:rPr>
        <w:t>The Company’s board of directors consists of one or more directors. In any uncontested elections of directors, a director nominee for our board of directors of the Company will be elected by the plurality of the votes cast with respect to such director at a meeting at which a quorum is present.</w:t>
      </w:r>
    </w:p>
    <w:p>
      <w:pPr>
        <w:spacing w:after="0" w:line="137"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In a contested election, a plurality voting standard will apply to director elections. The directors of the Company are elected until the expiration of the term for which they are elected and until their respective successors are duly elected and qualified.</w:t>
      </w:r>
    </w:p>
    <w:p>
      <w:pPr>
        <w:spacing w:after="0" w:line="12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The directors of the Company may be removed by the affirmative vote of the holders of at least a majority of the Company’s then-outstanding common stock. Furthermore, any vacancy on the Company’s board of directors, however occurring, including a vacancy resulting from an increase in the size of the board, may be filled only by a majority vote of our board of directors then in office, even if less than a quorum, or by the sole remaining director.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of the Certificate and Bylaws</w:t>
      </w:r>
    </w:p>
    <w:p>
      <w:pPr>
        <w:spacing w:after="0" w:line="129" w:lineRule="exact"/>
        <w:rPr>
          <w:sz w:val="20"/>
          <w:szCs w:val="20"/>
          <w:color w:val="auto"/>
        </w:rPr>
      </w:pPr>
    </w:p>
    <w:p>
      <w:pPr>
        <w:ind w:right="180" w:firstLine="509"/>
        <w:spacing w:after="0" w:line="298" w:lineRule="auto"/>
        <w:rPr>
          <w:sz w:val="20"/>
          <w:szCs w:val="20"/>
          <w:color w:val="auto"/>
        </w:rPr>
      </w:pPr>
      <w:r>
        <w:rPr>
          <w:rFonts w:ascii="Times New Roman" w:cs="Times New Roman" w:eastAsia="Times New Roman" w:hAnsi="Times New Roman"/>
          <w:sz w:val="16"/>
          <w:szCs w:val="16"/>
          <w:color w:val="auto"/>
        </w:rPr>
        <w:t>The Certificate may be amended in any manner permitted under the DGCL and the Bylaws may be amended by the holders of at a majority of the voting power of the then outstanding voting stock or by our board of directors.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Limitations of Liability and Indemnification Matters</w:t>
      </w:r>
    </w:p>
    <w:p>
      <w:pPr>
        <w:spacing w:after="0" w:line="129" w:lineRule="exact"/>
        <w:rPr>
          <w:sz w:val="20"/>
          <w:szCs w:val="20"/>
          <w:color w:val="auto"/>
        </w:rPr>
      </w:pPr>
    </w:p>
    <w:p>
      <w:pPr>
        <w:jc w:val="both"/>
        <w:ind w:right="40" w:firstLine="509"/>
        <w:spacing w:after="0" w:line="275" w:lineRule="auto"/>
        <w:rPr>
          <w:sz w:val="20"/>
          <w:szCs w:val="20"/>
          <w:color w:val="auto"/>
        </w:rPr>
      </w:pPr>
      <w:r>
        <w:rPr>
          <w:rFonts w:ascii="Times New Roman" w:cs="Times New Roman" w:eastAsia="Times New Roman" w:hAnsi="Times New Roman"/>
          <w:sz w:val="16"/>
          <w:szCs w:val="16"/>
          <w:color w:val="auto"/>
        </w:rPr>
        <w:t>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42"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Exchange Listings</w:t>
      </w:r>
    </w:p>
    <w:p>
      <w:pPr>
        <w:spacing w:after="0" w:line="131" w:lineRule="exact"/>
        <w:rPr>
          <w:sz w:val="20"/>
          <w:szCs w:val="20"/>
          <w:color w:val="auto"/>
        </w:rPr>
      </w:pPr>
    </w:p>
    <w:p>
      <w:pPr>
        <w:ind w:right="280" w:firstLine="509"/>
        <w:spacing w:after="0" w:line="298" w:lineRule="auto"/>
        <w:rPr>
          <w:sz w:val="20"/>
          <w:szCs w:val="20"/>
          <w:color w:val="auto"/>
        </w:rPr>
      </w:pPr>
      <w:r>
        <w:rPr>
          <w:rFonts w:ascii="Times New Roman" w:cs="Times New Roman" w:eastAsia="Times New Roman" w:hAnsi="Times New Roman"/>
          <w:sz w:val="16"/>
          <w:szCs w:val="16"/>
          <w:color w:val="auto"/>
        </w:rPr>
        <w:t>Shares of our common stock are listed on The Nasdaq Stock Market LLC under the symbol “RCEL.” Our Chess Depositary Interests (“CDIs”) are quoted on the Australian Securities Exchange Ltd (“ASX”) under the ticker code, “AVH”. One share of common stock on Nasdaq is equivalent to five CDIs on the ASX.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Agent and Registrar</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transfer agent and registrar for our common stock is Computershare Trust Company, N.A, and its address is 250 Royall St., Canton, Massachusetts 02021.</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PREFERRED STOCK WE MAY OFFER</w:t>
      </w:r>
    </w:p>
    <w:p>
      <w:pPr>
        <w:spacing w:after="0" w:line="196"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6"/>
          <w:szCs w:val="16"/>
          <w:color w:val="auto"/>
        </w:rPr>
        <w:t>We may offer shares of our preferred stock from time to time, in one or more series of preferred stock. Pursuant to our Certificate, we have the authority to issue 10,000,000 shares of preferred stock, $0.0001 par value. As of March 31, 2026,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and payments upon liquidation. The issuance could decrease the market price of our common stock. The issuance of preferred stock also could delay, deter, or prevent a change of control of the Company.</w:t>
      </w:r>
    </w:p>
    <w:p>
      <w:pPr>
        <w:spacing w:after="0" w:line="157"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6"/>
          <w:szCs w:val="16"/>
          <w:color w:val="auto"/>
        </w:rPr>
        <w:t>We have summarized material provisions of the preferred stock in this section. This summary is not complete. If we offer preferred stock, we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certificate of designation and prospectus supplement relating to any series of preferred stock we are offering will include specific terms relating to the offering.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terms will include some or all of the following:</w:t>
      </w:r>
    </w:p>
    <w:p>
      <w:pPr>
        <w:spacing w:after="0" w:line="11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preferred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of shares of the series of preferred stock;</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5" w:right="359" w:bottom="1440" w:gutter="0" w:footer="0" w:header="0"/>
        </w:sectPr>
      </w:pPr>
    </w:p>
    <w:bookmarkStart w:id="23" w:name="page24"/>
    <w:bookmarkEnd w:id="23"/>
    <w:p>
      <w:pPr>
        <w:ind w:left="1020" w:right="360" w:hanging="503"/>
        <w:spacing w:after="0" w:line="298"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 if any, or the method of calculating and paying the dividend, the date from which dividends will accrue and whether dividends will be cumulative;</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liquidation preference;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optional redemption provisions;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sinking fund or other provisions that would obligate us to redeem or purchase the preferred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terms for the conversion or exchange of the preferred stock for other securities of us or any other entity;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voting rights;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preferences and relative, participating, optional or other special rights or any qualifications, limitations, or restrictions on the rights of the shares.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Any shares of preferred stock we issue will, at the time of issuance, be fully paid and non-assessable.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WARRANTS WE MAY OFFER</w:t>
      </w:r>
    </w:p>
    <w:p>
      <w:pPr>
        <w:spacing w:after="0" w:line="210"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6"/>
          <w:szCs w:val="16"/>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3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6"/>
          <w:szCs w:val="16"/>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37" w:lineRule="exact"/>
        <w:rPr>
          <w:sz w:val="20"/>
          <w:szCs w:val="20"/>
          <w:color w:val="auto"/>
        </w:rPr>
      </w:pPr>
    </w:p>
    <w:p>
      <w:pPr>
        <w:ind w:right="80" w:firstLine="509"/>
        <w:spacing w:after="0" w:line="298" w:lineRule="auto"/>
        <w:rPr>
          <w:sz w:val="20"/>
          <w:szCs w:val="20"/>
          <w:color w:val="auto"/>
        </w:rPr>
      </w:pPr>
      <w:r>
        <w:rPr>
          <w:rFonts w:ascii="Times New Roman" w:cs="Times New Roman" w:eastAsia="Times New Roman" w:hAnsi="Times New Roman"/>
          <w:sz w:val="16"/>
          <w:szCs w:val="16"/>
          <w:color w:val="auto"/>
        </w:rPr>
        <w:t>A prospectus supplement relating to any warrants that we are offering will include specific terms relating to the offering. These terms will include some or all of the following:</w:t>
      </w:r>
    </w:p>
    <w:p>
      <w:pPr>
        <w:spacing w:after="0" w:line="5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warrants;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warrants offered;</w:t>
      </w:r>
    </w:p>
    <w:p>
      <w:pPr>
        <w:spacing w:after="0" w:line="126" w:lineRule="exact"/>
        <w:rPr>
          <w:rFonts w:ascii="Times New Roman" w:cs="Times New Roman" w:eastAsia="Times New Roman" w:hAnsi="Times New Roman"/>
          <w:sz w:val="16"/>
          <w:szCs w:val="16"/>
          <w:color w:val="auto"/>
        </w:rPr>
      </w:pPr>
    </w:p>
    <w:p>
      <w:pPr>
        <w:ind w:left="1020" w:right="540" w:hanging="503"/>
        <w:spacing w:after="0" w:line="298"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number and terms of the common stock or preferred stock purchasable upon exercise of the warrants, and procedures by which those numbers may be adjusted;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 warrants;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or periods during which the warrants are exercisable;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any securities with which the warrants are issued;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warrants are issued as a unit with another security, the date on and after which the warrants and the other security will be separately transferable;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exercise price is not payable in U.S. dollars, the foreign currency, currency unit or composite currency in which the exercise price is denominated;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minimum or maximum amount of warrants that may be exercised at any one time;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terms, procedures and limitations relating to the transferability, exchange or exercise of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Exercise of Warrants</w:t>
      </w:r>
    </w:p>
    <w:p>
      <w:pPr>
        <w:spacing w:after="0" w:line="12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59" w:lineRule="exact"/>
        <w:rPr>
          <w:sz w:val="20"/>
          <w:szCs w:val="20"/>
          <w:color w:val="auto"/>
        </w:rPr>
      </w:pPr>
    </w:p>
    <w:p>
      <w:pPr>
        <w:ind w:right="300" w:firstLine="509"/>
        <w:spacing w:after="0" w:line="298" w:lineRule="auto"/>
        <w:rPr>
          <w:sz w:val="20"/>
          <w:szCs w:val="20"/>
          <w:color w:val="auto"/>
        </w:rPr>
      </w:pPr>
      <w:r>
        <w:rPr>
          <w:rFonts w:ascii="Times New Roman" w:cs="Times New Roman" w:eastAsia="Times New Roman" w:hAnsi="Times New Roman"/>
          <w:sz w:val="16"/>
          <w:szCs w:val="16"/>
          <w:color w:val="auto"/>
        </w:rPr>
        <w:t>Holders may exercise warrants at any time up to the close of business on the expiration date provided in the applicable prospectus supplement. After the close of business on the expiration date, unexercised warrants are void.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Prior to the exercise of their warrants, holders of warrants will not have any of the rights of holders of the securities subject to the warrants.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Modifications</w:t>
      </w:r>
    </w:p>
    <w:p>
      <w:pPr>
        <w:spacing w:after="0" w:line="129"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37" w:lineRule="exact"/>
        <w:rPr>
          <w:sz w:val="20"/>
          <w:szCs w:val="20"/>
          <w:color w:val="auto"/>
        </w:rPr>
      </w:pPr>
    </w:p>
    <w:p>
      <w:pPr>
        <w:ind w:right="140" w:firstLine="509"/>
        <w:spacing w:after="0" w:line="298" w:lineRule="auto"/>
        <w:rPr>
          <w:sz w:val="20"/>
          <w:szCs w:val="20"/>
          <w:color w:val="auto"/>
        </w:rPr>
      </w:pPr>
      <w:r>
        <w:rPr>
          <w:rFonts w:ascii="Times New Roman" w:cs="Times New Roman" w:eastAsia="Times New Roman" w:hAnsi="Times New Roman"/>
          <w:sz w:val="16"/>
          <w:szCs w:val="16"/>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56"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shorten the period of time during which the warrants may be exercised; 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materially and adversely affect the exercise rights of the holders of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Enforceability of Rights</w:t>
      </w:r>
    </w:p>
    <w:p>
      <w:pPr>
        <w:spacing w:after="0" w:line="129" w:lineRule="exact"/>
        <w:rPr>
          <w:sz w:val="20"/>
          <w:szCs w:val="20"/>
          <w:color w:val="auto"/>
        </w:rPr>
      </w:pPr>
    </w:p>
    <w:p>
      <w:pPr>
        <w:ind w:right="140" w:firstLine="509"/>
        <w:spacing w:after="0" w:line="275" w:lineRule="auto"/>
        <w:rPr>
          <w:sz w:val="20"/>
          <w:szCs w:val="20"/>
          <w:color w:val="auto"/>
        </w:rPr>
      </w:pPr>
      <w:r>
        <w:rPr>
          <w:rFonts w:ascii="Times New Roman" w:cs="Times New Roman" w:eastAsia="Times New Roman" w:hAnsi="Times New Roman"/>
          <w:sz w:val="16"/>
          <w:szCs w:val="16"/>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UNITS WE MAY OFFER</w:t>
      </w:r>
    </w:p>
    <w:p>
      <w:pPr>
        <w:spacing w:after="0" w:line="210"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6"/>
          <w:szCs w:val="16"/>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42"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124" w:lineRule="exact"/>
        <w:rPr>
          <w:sz w:val="20"/>
          <w:szCs w:val="20"/>
          <w:color w:val="auto"/>
        </w:rPr>
      </w:pPr>
    </w:p>
    <w:p>
      <w:pPr>
        <w:ind w:right="600" w:firstLine="509"/>
        <w:spacing w:after="0" w:line="298" w:lineRule="auto"/>
        <w:rPr>
          <w:sz w:val="20"/>
          <w:szCs w:val="20"/>
          <w:color w:val="auto"/>
        </w:rPr>
      </w:pPr>
      <w:r>
        <w:rPr>
          <w:rFonts w:ascii="Times New Roman" w:cs="Times New Roman" w:eastAsia="Times New Roman" w:hAnsi="Times New Roman"/>
          <w:sz w:val="16"/>
          <w:szCs w:val="16"/>
          <w:color w:val="auto"/>
        </w:rPr>
        <w:t>A prospectus supplement relating to any units we are offering will include specific terms relating to the offering. These terms will include some or all of the following:</w:t>
      </w:r>
    </w:p>
    <w:p>
      <w:pPr>
        <w:spacing w:after="0" w:line="56" w:lineRule="exact"/>
        <w:rPr>
          <w:sz w:val="20"/>
          <w:szCs w:val="20"/>
          <w:color w:val="auto"/>
        </w:rPr>
      </w:pPr>
    </w:p>
    <w:p>
      <w:pPr>
        <w:ind w:left="1020" w:right="120" w:hanging="503"/>
        <w:spacing w:after="0" w:line="298"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the units and the securities comprising the units, including whether and under what circumstances those securities may be held or transferred separately;</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provisions for the issuance, payment, settlement, transfer or exchange of the units or of the securities comprising the units;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such units will be issued in fully registered or global form.</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CHESS DEPOSITARY INTERESTS</w:t>
      </w:r>
    </w:p>
    <w:p>
      <w:pPr>
        <w:spacing w:after="0" w:line="196"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6"/>
          <w:szCs w:val="16"/>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CDIs are quoted on the ASX under the ticker code, “AVH”. One share of common stock on Nasdaq is equivalent to five CDIs on the ASX.</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10"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24" w:lineRule="exact"/>
        <w:rPr>
          <w:sz w:val="20"/>
          <w:szCs w:val="20"/>
          <w:color w:val="auto"/>
        </w:rPr>
      </w:pPr>
    </w:p>
    <w:p>
      <w:pPr>
        <w:ind w:right="160" w:firstLine="509"/>
        <w:spacing w:after="0" w:line="298" w:lineRule="auto"/>
        <w:rPr>
          <w:sz w:val="20"/>
          <w:szCs w:val="20"/>
          <w:color w:val="auto"/>
        </w:rPr>
      </w:pPr>
      <w:r>
        <w:rPr>
          <w:rFonts w:ascii="Times New Roman" w:cs="Times New Roman" w:eastAsia="Times New Roman" w:hAnsi="Times New Roman"/>
          <w:sz w:val="16"/>
          <w:szCs w:val="16"/>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56" w:lineRule="exact"/>
        <w:rPr>
          <w:sz w:val="20"/>
          <w:szCs w:val="20"/>
          <w:color w:val="auto"/>
        </w:rPr>
      </w:pPr>
    </w:p>
    <w:p>
      <w:pPr>
        <w:ind w:left="1020" w:right="60" w:hanging="503"/>
        <w:spacing w:after="0" w:line="298"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on The Nasdaq Stock Market LLC or the ASX in accordance with the rules of the ASX (including through at-the-market offerings) or any other organized market where the securities may be traded;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over-the-counter market;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broker-dealers, who may act as agents or principals;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5" w:right="359" w:bottom="1440" w:gutter="0" w:footer="0" w:header="0"/>
        </w:sectPr>
      </w:pPr>
    </w:p>
    <w:bookmarkStart w:id="25" w:name="page26"/>
    <w:bookmarkEnd w:id="25"/>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one or more underwriters on a firm commitment or best-efforts basis;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“at-the-market offerings” within the meaning of Rule 415 of the Securities Act;</w:t>
      </w:r>
    </w:p>
    <w:p>
      <w:pPr>
        <w:spacing w:after="0" w:line="126" w:lineRule="exact"/>
        <w:rPr>
          <w:rFonts w:ascii="Times New Roman" w:cs="Times New Roman" w:eastAsia="Times New Roman" w:hAnsi="Times New Roman"/>
          <w:sz w:val="16"/>
          <w:szCs w:val="16"/>
          <w:color w:val="auto"/>
        </w:rPr>
      </w:pPr>
    </w:p>
    <w:p>
      <w:pPr>
        <w:ind w:left="1020" w:right="220" w:hanging="503"/>
        <w:spacing w:after="0" w:line="298"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 block trade in which a broker-dealer will attempt to sell a block of securities as agent but may position and resell a portion of the block as principal to facilitate the transaction;</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offerings of securities exchangeable, convertible or exercisable for the securities;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to one or more purchasers;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agents; 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any combination of the above.</w:t>
      </w:r>
    </w:p>
    <w:p>
      <w:pPr>
        <w:spacing w:after="0" w:line="208" w:lineRule="exact"/>
        <w:rPr>
          <w:sz w:val="20"/>
          <w:szCs w:val="20"/>
          <w:color w:val="auto"/>
        </w:rPr>
      </w:pPr>
    </w:p>
    <w:p>
      <w:pPr>
        <w:ind w:right="120" w:firstLine="509"/>
        <w:spacing w:after="0" w:line="298" w:lineRule="auto"/>
        <w:rPr>
          <w:sz w:val="20"/>
          <w:szCs w:val="20"/>
          <w:color w:val="auto"/>
        </w:rPr>
      </w:pPr>
      <w:r>
        <w:rPr>
          <w:rFonts w:ascii="Times New Roman" w:cs="Times New Roman" w:eastAsia="Times New Roman" w:hAnsi="Times New Roman"/>
          <w:sz w:val="16"/>
          <w:szCs w:val="16"/>
          <w:color w:val="auto"/>
        </w:rPr>
        <w:t>At any time a particular offer of securities covered by this prospectus is made, a revised prospectus or prospectus supplement, if required, will be distributed which will set forth:</w:t>
      </w:r>
    </w:p>
    <w:p>
      <w:pPr>
        <w:spacing w:after="0" w:line="5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or names of any underwriters, broker-dealers or agents;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of the securities and the proceeds to be received by us from the sale;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commissions, concessions and other items constituting underwriters’ or agents’ compensation;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public offering price;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commissions or concessions allowed or re-allowed or paid to dealers;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additional risk factors applicable to the securities that we propose to sell;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exchange on which the securities may be listed.</w:t>
      </w:r>
    </w:p>
    <w:p>
      <w:pPr>
        <w:spacing w:after="0" w:line="194" w:lineRule="exact"/>
        <w:rPr>
          <w:sz w:val="20"/>
          <w:szCs w:val="20"/>
          <w:color w:val="auto"/>
        </w:rPr>
      </w:pPr>
    </w:p>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124"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6"/>
          <w:szCs w:val="16"/>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5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6"/>
          <w:szCs w:val="16"/>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37"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6"/>
          <w:szCs w:val="16"/>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49"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56"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6" w:name="page27"/>
    <w:bookmarkEnd w:id="26"/>
    <w:p>
      <w:pPr>
        <w:ind w:right="60" w:firstLine="509"/>
        <w:spacing w:after="0" w:line="271" w:lineRule="auto"/>
        <w:rPr>
          <w:sz w:val="20"/>
          <w:szCs w:val="20"/>
          <w:color w:val="auto"/>
        </w:rPr>
      </w:pPr>
      <w:r>
        <w:rPr>
          <w:rFonts w:ascii="Times New Roman" w:cs="Times New Roman" w:eastAsia="Times New Roman" w:hAnsi="Times New Roman"/>
          <w:sz w:val="16"/>
          <w:szCs w:val="16"/>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44"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6"/>
          <w:szCs w:val="16"/>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right="360" w:firstLine="509"/>
        <w:spacing w:after="0" w:line="281" w:lineRule="auto"/>
        <w:rPr>
          <w:sz w:val="20"/>
          <w:szCs w:val="20"/>
          <w:color w:val="auto"/>
        </w:rPr>
      </w:pPr>
      <w:r>
        <w:rPr>
          <w:rFonts w:ascii="Times New Roman" w:cs="Times New Roman" w:eastAsia="Times New Roman" w:hAnsi="Times New Roman"/>
          <w:sz w:val="16"/>
          <w:szCs w:val="16"/>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6" w:lineRule="exact"/>
        <w:rPr>
          <w:sz w:val="20"/>
          <w:szCs w:val="20"/>
          <w:color w:val="auto"/>
        </w:rPr>
      </w:pPr>
    </w:p>
    <w:p>
      <w:pPr>
        <w:ind w:right="160" w:firstLine="509"/>
        <w:spacing w:after="0" w:line="298" w:lineRule="auto"/>
        <w:rPr>
          <w:sz w:val="20"/>
          <w:szCs w:val="20"/>
          <w:color w:val="auto"/>
        </w:rPr>
      </w:pPr>
      <w:r>
        <w:rPr>
          <w:rFonts w:ascii="Times New Roman" w:cs="Times New Roman" w:eastAsia="Times New Roman" w:hAnsi="Times New Roman"/>
          <w:sz w:val="16"/>
          <w:szCs w:val="16"/>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6"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6"/>
          <w:szCs w:val="16"/>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3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6"/>
          <w:szCs w:val="16"/>
          <w:color w:val="auto"/>
        </w:rPr>
        <w:t>In addition, we file annual, quarterly and current reports, proxy statements and other information with the SEC under the Exchange Act. You can read our SEC filings, including the registration statement, at the SEC’s website at www.sec.gov, which contains reports, proxy and information statements and other information regarding issuers that file electronically with the SEC.</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OF CERTAIN INFORMATION BY REFERENCE</w:t>
      </w:r>
    </w:p>
    <w:p>
      <w:pPr>
        <w:spacing w:after="0" w:line="196"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pacing w:after="0" w:line="150" w:lineRule="exact"/>
        <w:rPr>
          <w:sz w:val="20"/>
          <w:szCs w:val="20"/>
          <w:color w:val="auto"/>
        </w:rPr>
      </w:pPr>
    </w:p>
    <w:p>
      <w:pPr>
        <w:ind w:right="300" w:firstLine="509"/>
        <w:spacing w:after="0" w:line="298" w:lineRule="auto"/>
        <w:rPr>
          <w:sz w:val="20"/>
          <w:szCs w:val="20"/>
          <w:color w:val="auto"/>
        </w:rPr>
      </w:pPr>
      <w:r>
        <w:rPr>
          <w:rFonts w:ascii="Times New Roman" w:cs="Times New Roman" w:eastAsia="Times New Roman" w:hAnsi="Times New Roman"/>
          <w:sz w:val="16"/>
          <w:szCs w:val="16"/>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56" w:lineRule="exact"/>
        <w:rPr>
          <w:sz w:val="20"/>
          <w:szCs w:val="20"/>
          <w:color w:val="auto"/>
        </w:rPr>
      </w:pPr>
    </w:p>
    <w:p>
      <w:pPr>
        <w:ind w:left="7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30">
        <w:r>
          <w:rPr>
            <w:rFonts w:ascii="Times New Roman" w:cs="Times New Roman" w:eastAsia="Times New Roman" w:hAnsi="Times New Roman"/>
            <w:sz w:val="16"/>
            <w:szCs w:val="16"/>
            <w:u w:val="single" w:color="auto"/>
            <w:color w:val="0000FF"/>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December 31, 2025 as filed with the SEC on February 12, 2026;</w:t>
      </w:r>
    </w:p>
    <w:p>
      <w:pPr>
        <w:spacing w:after="0" w:line="127" w:lineRule="exact"/>
        <w:rPr>
          <w:sz w:val="20"/>
          <w:szCs w:val="20"/>
          <w:color w:val="auto"/>
        </w:rPr>
      </w:pPr>
    </w:p>
    <w:p>
      <w:pPr>
        <w:ind w:left="1160" w:right="40" w:hanging="388"/>
        <w:spacing w:after="0" w:line="298" w:lineRule="auto"/>
        <w:tabs>
          <w:tab w:leader="none" w:pos="110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description of our common stock contained in </w:t>
      </w:r>
      <w:hyperlink r:id="rId52">
        <w:r>
          <w:rPr>
            <w:rFonts w:ascii="Times New Roman" w:cs="Times New Roman" w:eastAsia="Times New Roman" w:hAnsi="Times New Roman"/>
            <w:sz w:val="16"/>
            <w:szCs w:val="16"/>
            <w:u w:val="single" w:color="auto"/>
            <w:color w:val="0000FF"/>
          </w:rPr>
          <w:t>Exhibit 4.1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our Annual Report on Form 10-K as filed with the SEC on February 12, 2026, including any Amendment or reports filed for the purpose of updating this description;</w:t>
      </w:r>
    </w:p>
    <w:p>
      <w:pPr>
        <w:spacing w:after="0" w:line="56" w:lineRule="exact"/>
        <w:rPr>
          <w:rFonts w:ascii="Times New Roman" w:cs="Times New Roman" w:eastAsia="Times New Roman" w:hAnsi="Times New Roman"/>
          <w:sz w:val="16"/>
          <w:szCs w:val="16"/>
          <w:color w:val="auto"/>
        </w:rPr>
      </w:pPr>
    </w:p>
    <w:p>
      <w:pPr>
        <w:ind w:left="1100" w:hanging="328"/>
        <w:spacing w:after="0"/>
        <w:tabs>
          <w:tab w:leader="none" w:pos="11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Reports on Form 8-K dated </w:t>
      </w:r>
      <w:hyperlink r:id="rId53">
        <w:r>
          <w:rPr>
            <w:rFonts w:ascii="Times New Roman" w:cs="Times New Roman" w:eastAsia="Times New Roman" w:hAnsi="Times New Roman"/>
            <w:sz w:val="16"/>
            <w:szCs w:val="16"/>
            <w:u w:val="single" w:color="auto"/>
            <w:color w:val="0000FF"/>
          </w:rPr>
          <w:t>January 5,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33">
        <w:r>
          <w:rPr>
            <w:rFonts w:ascii="Times New Roman" w:cs="Times New Roman" w:eastAsia="Times New Roman" w:hAnsi="Times New Roman"/>
            <w:sz w:val="16"/>
            <w:szCs w:val="16"/>
            <w:u w:val="single" w:color="auto"/>
            <w:color w:val="0000FF"/>
          </w:rPr>
          <w:t>January 13, 2026</w:t>
        </w:r>
      </w:hyperlink>
      <w:r>
        <w:rPr>
          <w:rFonts w:ascii="Times New Roman" w:cs="Times New Roman" w:eastAsia="Times New Roman" w:hAnsi="Times New Roman"/>
          <w:sz w:val="16"/>
          <w:szCs w:val="16"/>
          <w:color w:val="auto"/>
        </w:rPr>
        <w:t>; and</w:t>
      </w:r>
    </w:p>
    <w:p>
      <w:pPr>
        <w:spacing w:after="0" w:line="126" w:lineRule="exact"/>
        <w:rPr>
          <w:rFonts w:ascii="Times New Roman" w:cs="Times New Roman" w:eastAsia="Times New Roman" w:hAnsi="Times New Roman"/>
          <w:sz w:val="16"/>
          <w:szCs w:val="16"/>
          <w:color w:val="auto"/>
        </w:rPr>
      </w:pPr>
    </w:p>
    <w:p>
      <w:pPr>
        <w:ind w:left="1160" w:hanging="388"/>
        <w:spacing w:after="0" w:line="281" w:lineRule="auto"/>
        <w:tabs>
          <w:tab w:leader="none" w:pos="110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subsequently filed by us pursuant to Sections 13(a), 13(c), 14 or 15(d) of the Exchange Act prior to the termination of this offering,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37" w:lineRule="exact"/>
        <w:rPr>
          <w:rFonts w:ascii="Times New Roman" w:cs="Times New Roman" w:eastAsia="Times New Roman" w:hAnsi="Times New Roman"/>
          <w:sz w:val="16"/>
          <w:szCs w:val="16"/>
          <w:color w:val="auto"/>
        </w:rPr>
      </w:pPr>
    </w:p>
    <w:p>
      <w:pPr>
        <w:ind w:right="280" w:firstLine="509"/>
        <w:spacing w:after="0" w:line="269" w:lineRule="auto"/>
        <w:rPr>
          <w:sz w:val="20"/>
          <w:szCs w:val="20"/>
          <w:color w:val="auto"/>
        </w:rPr>
      </w:pPr>
      <w:r>
        <w:rPr>
          <w:rFonts w:ascii="Times New Roman" w:cs="Times New Roman" w:eastAsia="Times New Roman" w:hAnsi="Times New Roman"/>
          <w:sz w:val="16"/>
          <w:szCs w:val="16"/>
          <w:color w:val="auto"/>
        </w:rPr>
        <w:t>You may request and obtain a copy of any or all of the documents that are incorporated by reference into this prospectus but not delivered with the prospectus, including exhibits that are specifically incorporated by reference into such documents, at no cost, by writing or telephoning us at the following address or phone number:</w:t>
      </w:r>
    </w:p>
    <w:p>
      <w:pPr>
        <w:jc w:val="center"/>
        <w:ind w:right="-19"/>
        <w:spacing w:after="0"/>
        <w:rPr>
          <w:sz w:val="20"/>
          <w:szCs w:val="20"/>
          <w:color w:val="auto"/>
        </w:rPr>
      </w:pPr>
      <w:r>
        <w:rPr>
          <w:rFonts w:ascii="Times New Roman" w:cs="Times New Roman" w:eastAsia="Times New Roman" w:hAnsi="Times New Roman"/>
          <w:sz w:val="16"/>
          <w:szCs w:val="16"/>
          <w:color w:val="auto"/>
        </w:rPr>
        <w:t>AVITA Medical, Inc.</w:t>
      </w:r>
    </w:p>
    <w:p>
      <w:pPr>
        <w:spacing w:after="0" w:line="19"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28159 Avenue Stanford</w:t>
      </w:r>
    </w:p>
    <w:p>
      <w:pPr>
        <w:spacing w:after="0" w:line="19"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Suite 220</w:t>
      </w:r>
    </w:p>
    <w:p>
      <w:pPr>
        <w:spacing w:after="0" w:line="19"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Valencia, CA 91355</w:t>
      </w:r>
    </w:p>
    <w:p>
      <w:pPr>
        <w:spacing w:after="0" w:line="19"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(661) 367-9170</w:t>
      </w:r>
    </w:p>
    <w:p>
      <w:pPr>
        <w:spacing w:after="0" w:line="19"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Attn: Nicole Kelsey, Chief Legal and Compliance Officer &amp; Corporate Secretary</w:t>
      </w:r>
    </w:p>
    <w:p>
      <w:pPr>
        <w:spacing w:after="0" w:line="222"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Up to 500,000 Shares of Common Stock Underlying Warrant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Up to 150,000 Shares of Common Stock Underlying Unvested Portion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467995</wp:posOffset>
            </wp:positionV>
            <wp:extent cx="2023110" cy="2425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02311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-162560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5, 2026</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jpe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jpe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30" Type="http://schemas.openxmlformats.org/officeDocument/2006/relationships/hyperlink" Target="https://www.sec.gov/ix?doc=/Archives/edgar/data/0001762303/000119312526049031/rcel-20251231.htm" TargetMode="External"/><Relationship Id="rId31" Type="http://schemas.openxmlformats.org/officeDocument/2006/relationships/hyperlink" Target="https://www.sec.gov/ix?doc=/Archives/edgar/data/0001762303/000095017025056785/rcel-20250422.htm" TargetMode="External"/><Relationship Id="rId32" Type="http://schemas.openxmlformats.org/officeDocument/2006/relationships/hyperlink" Target="https://www.sec.gov/ix?doc=/Archives/edgar/data/0001762303/000119312526224107/rcel-20260331.htm" TargetMode="External"/><Relationship Id="rId33" Type="http://schemas.openxmlformats.org/officeDocument/2006/relationships/hyperlink" Target="https://www.sec.gov/ix?doc=/Archives/edgar/data/0001762303/000119312526011167/rcel-20260113.htm" TargetMode="External"/><Relationship Id="rId34" Type="http://schemas.openxmlformats.org/officeDocument/2006/relationships/hyperlink" Target="https://www.sec.gov/ix?doc=/Archives/edgar/data/0001762303/000119312526201662/rcel-20260430.htm" TargetMode="External"/><Relationship Id="rId35" Type="http://schemas.openxmlformats.org/officeDocument/2006/relationships/hyperlink" Target="https://www.sec.gov/ix?doc=/Archives/edgar/data/0001762303/000176230326000003/rcel-20260603.htm" TargetMode="External"/><Relationship Id="rId36" Type="http://schemas.openxmlformats.org/officeDocument/2006/relationships/hyperlink" Target="https://www.sec.gov/Archives/edgar/data/1762303/000119312520183429/d75062d8k12b.htm" TargetMode="External"/><Relationship Id="rId52" Type="http://schemas.openxmlformats.org/officeDocument/2006/relationships/hyperlink" Target="https://www.sec.gov/Archives/edgar/data/1762303/000156459023002302/rcel-ex41_1810.htm" TargetMode="External"/><Relationship Id="rId53" Type="http://schemas.openxmlformats.org/officeDocument/2006/relationships/hyperlink" Target="https://www.sec.gov/ix?doc=/Archives/edgar/data/0001762303/000119312526002418/rcel-20260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2026-06-08T05:05:56Z</dcterms:created>
  <dcterms:modified xsi:type="dcterms:W3CDTF">2026-06-08T05:05:56Z</dcterms:modified>
</cp:coreProperties>
</file>