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rcel-20230810.htm"/>
      <w:bookmarkStart w:id="1" w:name="ksrcel20230810"/>
      <w:bookmarkEnd w:id="0"/>
      <w:bookmarkEnd w:id="1"/>
      <w:r>
        <w:rPr/>
        <w:t> </w:t>
      </w:r>
    </w:p>
    <w:p>
      <w:pPr>
        <w:pStyle w:val="TextBody"/>
        <w:bidi w:val="0"/>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bidi w:val="0"/>
        <w:spacing w:before="0" w:after="0"/>
        <w:jc w:val="left"/>
        <w:rPr/>
      </w:pPr>
      <w:r>
        <w:rPr/>
        <w:t> </w:t>
      </w:r>
    </w:p>
    <w:p>
      <w:pPr>
        <w:pStyle w:val="TextBody"/>
        <w:bidi w:val="0"/>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bidi w:val="0"/>
        <w:spacing w:before="0" w:after="0"/>
        <w:jc w:val="left"/>
        <w:rPr/>
      </w:pPr>
      <w:r>
        <w:rPr/>
        <w:t> </w:t>
      </w:r>
    </w:p>
    <w:p>
      <w:pPr>
        <w:pStyle w:val="TextBody"/>
        <w:bidi w:val="0"/>
        <w:spacing w:before="18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August 10, 2023</w:t>
            </w:r>
          </w:p>
        </w:tc>
      </w:tr>
    </w:tbl>
    <w:p>
      <w:pPr>
        <w:pStyle w:val="TextBody"/>
        <w:pBdr>
          <w:bottom w:val="single" w:sz="6" w:space="1" w:color="000000"/>
        </w:pBdr>
        <w:bidi w:val="0"/>
        <w:spacing w:before="100" w:after="0"/>
        <w:jc w:val="left"/>
        <w:rPr/>
      </w:pPr>
      <w:r>
        <w:rPr/>
        <w:t> </w:t>
      </w:r>
    </w:p>
    <w:p>
      <w:pPr>
        <w:pStyle w:val="TextBody"/>
        <w:bidi w:val="0"/>
        <w:spacing w:before="0" w:after="0"/>
        <w:jc w:val="left"/>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AVITA Medical, Inc.</w:t>
      </w:r>
    </w:p>
    <w:p>
      <w:pPr>
        <w:pStyle w:val="TextBody"/>
        <w:bidi w:val="0"/>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bidi w:val="0"/>
        <w:spacing w:before="180" w:after="0"/>
        <w:jc w:val="left"/>
        <w:rPr/>
      </w:pPr>
      <w:r>
        <w:rPr/>
        <w:t> </w:t>
      </w:r>
    </w:p>
    <w:p>
      <w:pPr>
        <w:pStyle w:val="TextBody"/>
        <w:bidi w:val="0"/>
        <w:spacing w:before="0" w:after="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001-39059</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6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7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28159 Avenue Stanford</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bidi w:val="0"/>
        <w:spacing w:before="0" w:after="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661</w:t>
            </w:r>
            <w:r>
              <w:rPr>
                <w:rFonts w:ascii="Times New Roman" w:hAnsi="Times New Roman"/>
                <w:sz w:val="20"/>
              </w:rPr>
              <w:t xml:space="preserve"> </w:t>
            </w:r>
            <w:r>
              <w:rPr>
                <w:rFonts w:ascii="Times New Roman;serif" w:hAnsi="Times New Roman;serif"/>
                <w:b/>
                <w:sz w:val="20"/>
              </w:rPr>
              <w:t>367-9170</w:t>
            </w:r>
          </w:p>
        </w:tc>
      </w:tr>
    </w:tbl>
    <w:p>
      <w:pPr>
        <w:pStyle w:val="TextBody"/>
        <w:bidi w:val="0"/>
        <w:spacing w:before="0" w:after="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bidi w:val="0"/>
        <w:spacing w:before="187" w:after="0"/>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bidi w:val="0"/>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bidi w:val="0"/>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bidi w:val="0"/>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RCEL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bidi w:val="0"/>
        <w:spacing w:before="0" w:after="0"/>
        <w:jc w:val="left"/>
        <w:rPr>
          <w:rFonts w:ascii="Times New Roman" w:hAnsi="Times New Roman"/>
          <w:sz w:val="20"/>
        </w:rPr>
      </w:pPr>
      <w:r>
        <w:rPr>
          <w:rFonts w:ascii="Times New Roman;serif" w:hAnsi="Times New Roman;serif"/>
          <w:b w:val="false"/>
          <w:sz w:val="20"/>
        </w:rPr>
        <w:t>AVITA Medical, Inc. will report its second quarter 2023 financial results after the close of the U.S. financial markets on Thursday, August 10, 2023. In conjunction with the report, the Company has issued a press release attached hereto as Exhibit 99.1. AVITA Medical will host a conference call and webcast August 10, 2023 at 1:30 p.m. Pacific Time to discuss its financial results and recent business highlights. A replay of the call will be available shortly after the conclusion of the call on the Company's website.</w:t>
      </w:r>
      <w:r>
        <w:rPr>
          <w:rFonts w:ascii="Times New Roman" w:hAnsi="Times New Roman"/>
          <w:sz w:val="20"/>
        </w:rPr>
        <w:t xml:space="preserve"> </w:t>
      </w:r>
    </w:p>
    <w:p>
      <w:pPr>
        <w:pStyle w:val="TextBody"/>
        <w:bidi w:val="0"/>
        <w:spacing w:before="360" w:after="120"/>
        <w:jc w:val="left"/>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 Exhibits</w:t>
      </w:r>
    </w:p>
    <w:p>
      <w:pPr>
        <w:pStyle w:val="TextBody"/>
        <w:bidi w:val="0"/>
        <w:spacing w:before="0" w:after="0"/>
        <w:jc w:val="left"/>
        <w:rPr>
          <w:rFonts w:ascii="Times New Roman;serif" w:hAnsi="Times New Roman;serif"/>
          <w:b/>
          <w:sz w:val="20"/>
        </w:rPr>
      </w:pPr>
      <w:r>
        <w:rPr>
          <w:rFonts w:ascii="Times New Roman;serif" w:hAnsi="Times New Roman;serif"/>
          <w:b/>
          <w:sz w:val="20"/>
        </w:rPr>
        <w:t>Exhibit</w:t>
      </w:r>
    </w:p>
    <w:p>
      <w:pPr>
        <w:pStyle w:val="TextBody"/>
        <w:bidi w:val="0"/>
        <w:spacing w:before="0" w:after="0"/>
        <w:jc w:val="left"/>
        <w:rPr>
          <w:rFonts w:ascii="Times New Roman" w:hAnsi="Times New Roman"/>
          <w:sz w:val="20"/>
        </w:rPr>
      </w:pPr>
      <w:r>
        <w:rPr>
          <w:rFonts w:ascii="Times New Roman;serif" w:hAnsi="Times New Roman;serif"/>
          <w:b/>
          <w:sz w:val="20"/>
          <w:u w:val="single"/>
        </w:rPr>
        <w:t>No. Description of Exhibit</w:t>
      </w:r>
      <w:r>
        <w:rPr>
          <w:rFonts w:ascii="Times New Roman" w:hAnsi="Times New Roman"/>
          <w:sz w:val="20"/>
        </w:rPr>
        <w:t xml:space="preserve"> </w:t>
      </w:r>
    </w:p>
    <w:p>
      <w:pPr>
        <w:pStyle w:val="TextBody"/>
        <w:bidi w:val="0"/>
        <w:spacing w:before="0" w:after="0"/>
        <w:jc w:val="left"/>
        <w:rPr/>
      </w:pPr>
      <w:r>
        <w:rPr>
          <w:rFonts w:ascii="Times New Roman;serif" w:hAnsi="Times New Roman;serif"/>
          <w:b w:val="false"/>
          <w:sz w:val="20"/>
        </w:rPr>
        <w:t xml:space="preserve">99.1 </w:t>
      </w:r>
      <w:hyperlink w:anchor="rcel-ex99_1.htm">
        <w:r>
          <w:rPr>
            <w:rStyle w:val="InternetLink"/>
            <w:rFonts w:ascii="Times New Roman;serif" w:hAnsi="Times New Roman;serif"/>
            <w:b w:val="false"/>
            <w:sz w:val="20"/>
            <w:u w:val="single"/>
          </w:rPr>
          <w:t>Press release titled “AVITA Medical Reports Second Quarter Financial Results"</w:t>
        </w:r>
      </w:hyperlink>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104 Cover Page Interactive Data File (embedded within the Inline XBRL document)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tbl>
      <w:tblPr>
        <w:tblW w:w="5749" w:type="dxa"/>
        <w:jc w:val="left"/>
        <w:tblInd w:w="0" w:type="dxa"/>
        <w:tblLayout w:type="fixed"/>
        <w:tblCellMar>
          <w:top w:w="28" w:type="dxa"/>
          <w:left w:w="28" w:type="dxa"/>
          <w:bottom w:w="28" w:type="dxa"/>
          <w:right w:w="28" w:type="dxa"/>
        </w:tblCellMar>
      </w:tblPr>
      <w:tblGrid>
        <w:gridCol w:w="556"/>
        <w:gridCol w:w="1456"/>
        <w:gridCol w:w="451"/>
        <w:gridCol w:w="328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86" w:type="dxa"/>
            <w:tcBorders/>
            <w:tcMar>
              <w:top w:w="0" w:type="dxa"/>
              <w:left w:w="0" w:type="dxa"/>
              <w:bottom w:w="0" w:type="dxa"/>
              <w:right w:w="0" w:type="dxa"/>
            </w:tcMar>
            <w:vAlign w:val="center"/>
          </w:tcPr>
          <w:p>
            <w:pPr>
              <w:pStyle w:val="TableContents"/>
              <w:bidi w:val="0"/>
              <w:spacing w:before="86" w:after="86"/>
              <w:ind w:left="0" w:right="0" w:hanging="0"/>
              <w:jc w:val="center"/>
              <w:rPr>
                <w:rFonts w:ascii="Times New Roman;serif" w:hAnsi="Times New Roman;serif"/>
                <w:b w:val="false"/>
                <w:sz w:val="20"/>
              </w:rPr>
            </w:pPr>
            <w:r>
              <w:rPr>
                <w:rFonts w:ascii="Times New Roman;serif" w:hAnsi="Times New Roman;serif"/>
                <w:b w:val="false"/>
                <w:sz w:val="20"/>
              </w:rPr>
              <w:t>AVITA Medical Inc.</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August 10, 2023</w:t>
            </w:r>
          </w:p>
        </w:tc>
        <w:tc>
          <w:tcPr>
            <w:tcW w:w="45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286"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86" w:type="dxa"/>
            <w:tcBorders/>
            <w:tcMar>
              <w:top w:w="0" w:type="dxa"/>
              <w:left w:w="0" w:type="dxa"/>
              <w:bottom w:w="0" w:type="dxa"/>
              <w:right w:w="0" w:type="dxa"/>
            </w:tcMar>
            <w:vAlign w:val="center"/>
          </w:tcPr>
          <w:p>
            <w:pPr>
              <w:pStyle w:val="TableContents"/>
              <w:bidi w:val="0"/>
              <w:spacing w:before="14" w:after="187"/>
              <w:ind w:left="0" w:right="0" w:hanging="0"/>
              <w:jc w:val="center"/>
              <w:rPr>
                <w:rFonts w:ascii="Times New Roman;serif" w:hAnsi="Times New Roman;serif"/>
                <w:b w:val="false"/>
                <w:sz w:val="20"/>
              </w:rPr>
            </w:pPr>
            <w:r>
              <w:rPr>
                <w:rFonts w:ascii="Times New Roman;serif" w:hAnsi="Times New Roman;serif"/>
                <w:b w:val="false"/>
                <w:sz w:val="20"/>
              </w:rPr>
              <w:t>David O'Toole, Chief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 w:name="rcel-ex99_1.htm"/>
      <w:bookmarkStart w:id="3" w:name="ksrcelex99_1"/>
      <w:bookmarkEnd w:id="2"/>
      <w:bookmarkEnd w:id="3"/>
      <w:r>
        <w:rPr/>
        <w:drawing>
          <wp:inline distT="0" distB="0" distL="0" distR="0">
            <wp:extent cx="10763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76325" cy="466725"/>
                    </a:xfrm>
                    <a:prstGeom prst="rect">
                      <a:avLst/>
                    </a:prstGeom>
                  </pic:spPr>
                </pic:pic>
              </a:graphicData>
            </a:graphic>
          </wp:inline>
        </w:drawing>
      </w:r>
      <w:r>
        <w:rPr/>
        <w:t> </w:t>
      </w:r>
      <w:r>
        <w:br w:type="page"/>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AVITA Medical Reports Second Quarter Financial Results</w:t>
      </w:r>
    </w:p>
    <w:p>
      <w:pPr>
        <w:pStyle w:val="TextBody"/>
        <w:bidi w:val="0"/>
        <w:spacing w:before="0" w:after="12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 xml:space="preserve">VALENCIA, California, August 10, 2023 </w:t>
      </w:r>
      <w:r>
        <w:rPr>
          <w:rFonts w:ascii="Times New Roman" w:hAnsi="Times New Roman"/>
          <w:sz w:val="20"/>
        </w:rPr>
        <w:t xml:space="preserve">— </w:t>
      </w:r>
      <w:r>
        <w:rPr>
          <w:rFonts w:ascii="Times New Roman;serif" w:hAnsi="Times New Roman;serif"/>
          <w:b w:val="false"/>
          <w:sz w:val="20"/>
        </w:rPr>
        <w:t>AVITA Medical, Inc. (NASDAQ: RCEL, ASX: AVH) (the “</w:t>
      </w:r>
      <w:r>
        <w:rPr>
          <w:rFonts w:ascii="Times New Roman;serif" w:hAnsi="Times New Roman;serif"/>
          <w:b/>
          <w:sz w:val="20"/>
        </w:rPr>
        <w:t>Company</w:t>
      </w:r>
      <w:r>
        <w:rPr>
          <w:rFonts w:ascii="Times New Roman" w:hAnsi="Times New Roman"/>
          <w:sz w:val="20"/>
        </w:rPr>
        <w:t>”</w:t>
      </w:r>
      <w:r>
        <w:rPr>
          <w:rFonts w:ascii="Times New Roman;serif" w:hAnsi="Times New Roman;serif"/>
          <w:b w:val="false"/>
          <w:sz w:val="20"/>
        </w:rPr>
        <w:t>), a regenerative medicine company leading the development and commercialization of first-in-class devices and autologous cellular therapies for skin restoration, today reported financial results for the second quarter June 30, 2023.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Financial Highlights and Recent Updates</w:t>
      </w:r>
    </w:p>
    <w:p>
      <w:pPr>
        <w:pStyle w:val="TextBody"/>
        <w:bidi w:val="0"/>
        <w:spacing w:before="0" w:after="0"/>
        <w:jc w:val="left"/>
        <w:rPr/>
      </w:pPr>
      <w:r>
        <w:rPr/>
        <w:t>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Commercial revenue of $11.7 million, a 42% increase compared to $8.2 million for the same period in 2022</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Received Food and Drug Administration (FDA) approval of premarket approval (PMA) supplement for the use of RECELL to treat full-thickness skin defects on June 7</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Initiated commercial launch of full-thickness skin defects, along with additional eligible burn procedures, with expanded U.S. commercial organization on June 8</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Received FDA approval of PMA application to use RECELL for repigmentation of stable depigmented vitiligo lesions on June 16</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Submitted PMA supplement for automated cell disaggregation device, RECELL GO, which maintains the FDA Breakthrough Device designation</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As of June 30, 2023, $68.8 million in cash, cash equivalents, and marketable securities, with no debt</w:t>
      </w:r>
    </w:p>
    <w:p>
      <w:pPr>
        <w:pStyle w:val="TextBody"/>
        <w:bidi w:val="0"/>
        <w:spacing w:before="0" w:after="0"/>
        <w:jc w:val="left"/>
        <w:rPr/>
      </w:pPr>
      <w:r>
        <w:rPr/>
        <w:t> </w:t>
      </w:r>
    </w:p>
    <w:p>
      <w:pPr>
        <w:pStyle w:val="TextBody"/>
        <w:bidi w:val="0"/>
        <w:spacing w:before="0" w:after="0"/>
        <w:jc w:val="left"/>
        <w:rPr/>
      </w:pPr>
      <w:r>
        <w:rPr/>
        <w:t>“</w:t>
      </w:r>
      <w:r>
        <w:rPr>
          <w:rFonts w:ascii="Times New Roman;serif" w:hAnsi="Times New Roman;serif"/>
          <w:b w:val="false"/>
          <w:sz w:val="20"/>
        </w:rPr>
        <w:t>We had an extraordinary second quarter with significant revenue growth, two landmark FDA approvals, and a pivotal FDA submission” said Jim Corbett, AVITA Medical Chief Executive Officer. “As anticipated, our expanded U.S. commercial organization was fully prepared for the FDA approval of full-thickness skin defects. Our proactive preparation enabled us to initiate the commercial launch the day after receiving FDA approval. Additionally, our PMA supplement for RECELL GO is on track, and we expect approval before the end of the year. Collectively, these approvals and submission mark significant advancement of our platform, empowering us to continue to unlock our growth potential.”</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Future Milestones</w:t>
      </w:r>
    </w:p>
    <w:p>
      <w:pPr>
        <w:pStyle w:val="TextBody"/>
        <w:bidi w:val="0"/>
        <w:spacing w:before="0" w:after="0"/>
        <w:jc w:val="left"/>
        <w:rPr/>
      </w:pPr>
      <w:r>
        <w:rPr/>
        <w:t>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Anticipate FDA approval of RECELL GO by December 27, 2023</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Conducting post-market study with vitiligo patients to demonstrate the repigmentation and mental health benefits of treatment with RECELL, and reduction of associated health care costs</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Pursuing site of service reimbursement for the use of RECELL in the physician office setting, which is expected in 2025</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Financial Guidance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Commercial revenue for the third quarter 2023 is expected to be in the range of $13 to $14 million</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Raising commercial revenue for the full year 2023 from $49 to $51 million to an expected range of $51 to $53 million</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Gross margin for the full year 2023 expected to be in the range of 83% to 85%</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Second Quarter 2023 Financial Results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commercial revenue, which excludes Biomedical Advanced Research and Development Authority (BARDA) revenue, increased by 42% to $11.7 million in the three-months ended June 30, 2023, compared to $8.2 million in the same period in 2022. Total revenue, which includes BARDA revenue, increased by 41% to $11.8 million compared to $8.3 million in the same period in 2022.</w:t>
      </w:r>
    </w:p>
    <w:p>
      <w:pPr>
        <w:pStyle w:val="TextBody"/>
        <w:bidi w:val="0"/>
        <w:spacing w:before="0" w:after="0"/>
        <w:jc w:val="right"/>
        <w:rPr>
          <w:rFonts w:ascii="Calibri;sans-serif" w:hAnsi="Calibri;sans-serif"/>
          <w:b w:val="false"/>
          <w:sz w:val="18"/>
        </w:rPr>
      </w:pPr>
      <w:r>
        <w:rPr>
          <w:rFonts w:ascii="Calibri;sans-serif" w:hAnsi="Calibri;sans-serif"/>
          <w:b w:val="false"/>
          <w:sz w:val="18"/>
        </w:rPr>
        <w:t>Page 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Gross profit margin decreased by 2% to 81% compared to 83% for the second quarter of 2022. The decrease was largely driven by lower production in one month of the quarter caused by the need to qualify new vendors for certain manufacturing components.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Total operating expenses for the quarter increased by 53% to $21.1 million, compared to $13.9 million in the same period in 2022, primarily due to the significant increase of the commercial organization in preparation of the full-thickness skin defect launch. Additionally, our research and development expenses increased by approximately $2.0 million due to ongoing development of the RECELL GO device and costs associated with our Medical Science Liaison team.</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Net loss was $10.4 million, or a loss of $0.41 per share, compared to a net loss of $6.3 million, or a loss of $0.25 per share, in the same period in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BARDA income consisted of funding from the Biomedical Advanced Research and Development Authority, under the Assistant Secretary for Preparedness and Response, within the U.S. Department of Health and Human Services, under ongoing USG Contract No. HHSO100201500028C.</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Webcast and Conference Call Information</w:t>
        <w:br/>
      </w:r>
      <w:r>
        <w:rPr>
          <w:rFonts w:ascii="Times New Roman" w:hAnsi="Times New Roman"/>
          <w:sz w:val="20"/>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will host a conference call to discuss the second quarter financial results and, recent business highlights on Thursday, August 10, 2023, at 1:30 p.m. Pacific Time. To access the live call via telephone, please register in advance using the link here. Upon registering, each participant will receive an email confirmation with dial-in numbers and a unique personal PIN that can be used to join the call. A simultaneous webcast of the call will be available via the Company’s website at https://ir.avitamedical.com.</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Authorized for release by the Chief Financial Officer of AVITA Medical, Inc.</w:t>
      </w:r>
    </w:p>
    <w:p>
      <w:pPr>
        <w:pStyle w:val="TextBody"/>
        <w:bidi w:val="0"/>
        <w:spacing w:before="0" w:after="0"/>
        <w:jc w:val="center"/>
        <w:rPr/>
      </w:pPr>
      <w:r>
        <w:rPr/>
        <w:t> </w:t>
      </w:r>
    </w:p>
    <w:p>
      <w:pPr>
        <w:pStyle w:val="TextBody"/>
        <w:bidi w:val="0"/>
        <w:spacing w:before="0" w:after="254"/>
        <w:jc w:val="center"/>
        <w:rPr>
          <w:rFonts w:ascii="Times New Roman;serif" w:hAnsi="Times New Roman;serif"/>
          <w:b w:val="false"/>
          <w:sz w:val="20"/>
        </w:rPr>
      </w:pPr>
      <w:r>
        <w:rPr>
          <w:rFonts w:ascii="Times New Roman;serif" w:hAnsi="Times New Roman;serif"/>
          <w:b w:val="false"/>
          <w:sz w:val="20"/>
        </w:rPr>
        <w:t># # #</w:t>
      </w:r>
    </w:p>
    <w:p>
      <w:pPr>
        <w:pStyle w:val="TextBody"/>
        <w:bidi w:val="0"/>
        <w:spacing w:before="0" w:after="0"/>
        <w:jc w:val="left"/>
        <w:rPr>
          <w:rFonts w:ascii="Times New Roman;serif" w:hAnsi="Times New Roman;serif"/>
          <w:b/>
          <w:sz w:val="20"/>
        </w:rPr>
      </w:pPr>
      <w:r>
        <w:rPr>
          <w:rFonts w:ascii="Times New Roman;serif" w:hAnsi="Times New Roman;serif"/>
          <w:b/>
          <w:sz w:val="20"/>
        </w:rPr>
        <w:t>ABOUT AVITA MEDICAL, INC.</w:t>
      </w:r>
    </w:p>
    <w:p>
      <w:pPr>
        <w:pStyle w:val="TextBody"/>
        <w:bidi w:val="0"/>
        <w:spacing w:before="0" w:after="0"/>
        <w:jc w:val="left"/>
        <w:rPr>
          <w:rFonts w:ascii="Times New Roman" w:hAnsi="Times New Roman"/>
          <w:sz w:val="20"/>
        </w:rPr>
      </w:pPr>
      <w:r>
        <w:rPr>
          <w:rFonts w:ascii="Times New Roman;serif" w:hAnsi="Times New Roman;serif"/>
          <w:b w:val="false"/>
          <w:sz w:val="20"/>
        </w:rPr>
        <w:br/>
        <w:t>AVITA Medical® is a regenerative medicine company leading the development and commercialization of devices and autologous cellular therapies for skin restoration. The RECELL® System technology platform, approved by the FDA for the treatment of thermal burn wounds and full-thickness skin defects and for repigmentation of stable depigmented vitiligo lesions, harnesses the regenerative properties of a patient’s own skin to create Spray-On Skin cells. Delivered at the point-of-care, RECELL enables improved clinical outcomes. RECELL is the catalyst of a new treatment paradigm and AVITA Medical is leveraging its proven and differentiated capabilities to develop first-in-class cellular therapies for multiple indications.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To learn more, visit www.avitamedical.com.</w:t>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CAUTIONARY NOTE REGARDING FORWARD-LOOKING STATEMENTS</w:t>
        <w:br/>
      </w:r>
      <w:r>
        <w:rPr>
          <w:rFonts w:ascii="Times New Roman;serif" w:hAnsi="Times New Roman;serif"/>
          <w:b w:val="false"/>
          <w:sz w:val="20"/>
        </w:rPr>
        <w:br/>
      </w:r>
      <w:r>
        <w:rPr>
          <w:rFonts w:ascii="Times New Roman;serif" w:hAnsi="Times New Roman;serif"/>
          <w:b w:val="false"/>
          <w:i/>
          <w:sz w:val="20"/>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w:t>
      </w:r>
      <w:r>
        <w:rPr>
          <w:rFonts w:ascii="Times New Roman" w:hAnsi="Times New Roman"/>
          <w:sz w:val="20"/>
        </w:rPr>
        <w:t xml:space="preserve"> </w:t>
      </w:r>
    </w:p>
    <w:p>
      <w:pPr>
        <w:pStyle w:val="TextBody"/>
        <w:bidi w:val="0"/>
        <w:spacing w:before="0" w:after="0"/>
        <w:jc w:val="right"/>
        <w:rPr>
          <w:rFonts w:ascii="Calibri;sans-serif" w:hAnsi="Calibri;sans-serif"/>
          <w:b w:val="false"/>
          <w:sz w:val="18"/>
        </w:rPr>
      </w:pPr>
      <w:r>
        <w:rPr>
          <w:rFonts w:ascii="Calibri;sans-serif" w:hAnsi="Calibri;sans-serif"/>
          <w:b w:val="false"/>
          <w:sz w:val="18"/>
        </w:rPr>
        <w:t>Page 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expressed or implied by such statements.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FOR FURTHER INFORMATION:</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283"/>
              <w:ind w:left="0" w:right="0" w:firstLine="112"/>
              <w:jc w:val="left"/>
              <w:rPr>
                <w:sz w:val="4"/>
                <w:szCs w:val="4"/>
              </w:rPr>
            </w:pPr>
            <w:r>
              <w:rPr>
                <w:sz w:val="4"/>
                <w:szCs w:val="4"/>
              </w:rPr>
            </w:r>
          </w:p>
        </w:tc>
      </w:tr>
      <w:tr>
        <w:trPr/>
        <w:tc>
          <w:tcPr>
            <w:tcW w:w="244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ind w:left="112" w:right="0" w:hanging="0"/>
              <w:jc w:val="left"/>
              <w:rPr>
                <w:rFonts w:ascii="Times New Roman;serif" w:hAnsi="Times New Roman;serif"/>
                <w:b/>
                <w:sz w:val="20"/>
              </w:rPr>
            </w:pPr>
            <w:r>
              <w:rPr>
                <w:rFonts w:ascii="Times New Roman;serif" w:hAnsi="Times New Roman;serif"/>
                <w:b/>
                <w:sz w:val="20"/>
              </w:rPr>
              <w:t>Investors &amp; Media</w:t>
            </w:r>
          </w:p>
          <w:p>
            <w:pPr>
              <w:pStyle w:val="TableContents"/>
              <w:bidi w:val="0"/>
              <w:spacing w:before="0" w:after="0"/>
              <w:ind w:left="112" w:right="0" w:hanging="0"/>
              <w:jc w:val="left"/>
              <w:rPr>
                <w:rFonts w:ascii="Times New Roman;serif" w:hAnsi="Times New Roman;serif"/>
                <w:b/>
                <w:sz w:val="20"/>
              </w:rPr>
            </w:pPr>
            <w:r>
              <w:rPr>
                <w:rFonts w:ascii="Times New Roman;serif" w:hAnsi="Times New Roman;serif"/>
                <w:b/>
                <w:sz w:val="20"/>
              </w:rPr>
              <w:t>AVITA Medical, Inc.</w:t>
            </w:r>
          </w:p>
          <w:p>
            <w:pPr>
              <w:pStyle w:val="TableContents"/>
              <w:bidi w:val="0"/>
              <w:spacing w:before="10" w:after="0"/>
              <w:ind w:left="112" w:right="0" w:hanging="0"/>
              <w:jc w:val="left"/>
              <w:rPr>
                <w:rFonts w:ascii="Times New Roman;serif" w:hAnsi="Times New Roman;serif"/>
                <w:b w:val="false"/>
                <w:sz w:val="20"/>
              </w:rPr>
            </w:pPr>
            <w:r>
              <w:rPr>
                <w:rFonts w:ascii="Times New Roman;serif" w:hAnsi="Times New Roman;serif"/>
                <w:b w:val="false"/>
                <w:sz w:val="20"/>
              </w:rPr>
              <w:t>Jessica Ekeberg</w:t>
            </w:r>
          </w:p>
          <w:p>
            <w:pPr>
              <w:pStyle w:val="TableContents"/>
              <w:bidi w:val="0"/>
              <w:spacing w:before="3" w:after="0"/>
              <w:ind w:left="112" w:right="0" w:hanging="0"/>
              <w:jc w:val="left"/>
              <w:rPr>
                <w:rFonts w:ascii="Times New Roman;serif" w:hAnsi="Times New Roman;serif"/>
                <w:b w:val="false"/>
                <w:sz w:val="20"/>
              </w:rPr>
            </w:pPr>
            <w:r>
              <w:rPr>
                <w:rFonts w:ascii="Times New Roman;serif" w:hAnsi="Times New Roman;serif"/>
                <w:b w:val="false"/>
                <w:sz w:val="20"/>
              </w:rPr>
              <w:t>Phone +1 661 904 9269</w:t>
            </w:r>
          </w:p>
          <w:p>
            <w:pPr>
              <w:pStyle w:val="TableContents"/>
              <w:bidi w:val="0"/>
              <w:spacing w:before="3" w:after="0"/>
              <w:ind w:left="112" w:right="0" w:hanging="0"/>
              <w:jc w:val="left"/>
              <w:rPr>
                <w:rFonts w:ascii="Times New Roman;serif" w:hAnsi="Times New Roman;serif"/>
                <w:b w:val="false"/>
                <w:sz w:val="20"/>
              </w:rPr>
            </w:pPr>
            <w:r>
              <w:rPr>
                <w:rFonts w:ascii="Times New Roman;serif" w:hAnsi="Times New Roman;serif"/>
                <w:b w:val="false"/>
                <w:sz w:val="20"/>
              </w:rPr>
              <w:t>investor@avitamedical.com</w:t>
            </w:r>
          </w:p>
          <w:p>
            <w:pPr>
              <w:pStyle w:val="TableContents"/>
              <w:bidi w:val="0"/>
              <w:spacing w:before="3" w:after="0"/>
              <w:ind w:left="112" w:right="0" w:hanging="0"/>
              <w:jc w:val="left"/>
              <w:rPr>
                <w:rFonts w:ascii="Times New Roman;serif" w:hAnsi="Times New Roman;serif"/>
                <w:b w:val="false"/>
                <w:sz w:val="20"/>
              </w:rPr>
            </w:pPr>
            <w:r>
              <w:rPr>
                <w:rFonts w:ascii="Times New Roman;serif" w:hAnsi="Times New Roman;serif"/>
                <w:b w:val="false"/>
                <w:sz w:val="20"/>
              </w:rPr>
              <w:t>media@avitamedical.com</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rFonts w:ascii="Calibri;sans-serif" w:hAnsi="Calibri;sans-serif"/>
          <w:b w:val="false"/>
          <w:sz w:val="18"/>
        </w:rPr>
      </w:pPr>
      <w:r>
        <w:rPr>
          <w:rFonts w:ascii="Calibri;sans-serif" w:hAnsi="Calibri;sans-serif"/>
          <w:b w:val="false"/>
          <w:sz w:val="18"/>
        </w:rPr>
        <w:t>Page 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0"/>
        <w:jc w:val="center"/>
        <w:rPr>
          <w:rFonts w:ascii="Times New Roman;serif" w:hAnsi="Times New Roman;serif"/>
          <w:b/>
          <w:sz w:val="20"/>
        </w:rPr>
      </w:pPr>
      <w:r>
        <w:rPr>
          <w:rFonts w:ascii="Times New Roman;serif" w:hAnsi="Times New Roman;serif"/>
          <w:b/>
          <w:sz w:val="20"/>
        </w:rPr>
        <w:t>AVITA MEDICAL, INC.</w:t>
      </w:r>
    </w:p>
    <w:p>
      <w:pPr>
        <w:pStyle w:val="TextBody"/>
        <w:bidi w:val="0"/>
        <w:spacing w:before="0" w:after="0"/>
        <w:jc w:val="center"/>
        <w:rPr>
          <w:rFonts w:ascii="Times New Roman;serif" w:hAnsi="Times New Roman;serif"/>
          <w:b/>
          <w:sz w:val="20"/>
        </w:rPr>
      </w:pPr>
      <w:r>
        <w:rPr>
          <w:rFonts w:ascii="Times New Roman;serif" w:hAnsi="Times New Roman;serif"/>
          <w:b/>
          <w:sz w:val="20"/>
        </w:rPr>
        <w:t>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and per share data)</w:t>
      </w:r>
    </w:p>
    <w:p>
      <w:pPr>
        <w:pStyle w:val="TextBody"/>
        <w:bidi w:val="0"/>
        <w:spacing w:before="0" w:after="0"/>
        <w:jc w:val="center"/>
        <w:rPr>
          <w:rFonts w:ascii="Times New Roman;serif" w:hAnsi="Times New Roman;serif"/>
          <w:b/>
          <w:sz w:val="20"/>
        </w:rPr>
      </w:pPr>
      <w:bookmarkStart w:id="4" w:name="range_e6_k45"/>
      <w:bookmarkEnd w:id="4"/>
      <w:r>
        <w:rPr>
          <w:rFonts w:ascii="Times New Roman;serif" w:hAnsi="Times New Roman;serif"/>
          <w:b/>
          <w:sz w:val="20"/>
        </w:rPr>
        <w:t>(Unaudited)</w:t>
      </w:r>
    </w:p>
    <w:tbl>
      <w:tblPr>
        <w:tblW w:w="10205" w:type="dxa"/>
        <w:jc w:val="left"/>
        <w:tblInd w:w="0" w:type="dxa"/>
        <w:tblLayout w:type="fixed"/>
        <w:tblCellMar>
          <w:top w:w="28" w:type="dxa"/>
          <w:left w:w="28" w:type="dxa"/>
          <w:bottom w:w="28" w:type="dxa"/>
          <w:right w:w="28" w:type="dxa"/>
        </w:tblCellMar>
      </w:tblPr>
      <w:tblGrid>
        <w:gridCol w:w="5862"/>
        <w:gridCol w:w="506"/>
        <w:gridCol w:w="1777"/>
        <w:gridCol w:w="146"/>
        <w:gridCol w:w="1914"/>
      </w:tblGrid>
      <w:tr>
        <w:trPr/>
        <w:tc>
          <w:tcPr>
            <w:tcW w:w="58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343" w:type="dxa"/>
            <w:gridSpan w:val="4"/>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837"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w:t>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sz w:val="18"/>
              </w:rPr>
              <w:t>June 30, 2023</w:t>
            </w:r>
            <w:r>
              <w:rPr>
                <w:rFonts w:ascii="Times New Roman" w:hAnsi="Times New Roman"/>
                <w:sz w:val="18"/>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sz w:val="18"/>
              </w:rPr>
              <w:t>December 31, 2022</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Cash and cash equivalents</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$ 37,485</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$ 18,164</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Marketable securities</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28,562</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61,178</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Accounts receivable, net</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5,754</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3,515</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BARDA receivables</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442</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898</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Prepaids and other current assets</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2,194</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1,578</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Inventory</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3,058</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2,125</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assets</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7"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77,495</w:t>
            </w:r>
            <w:r>
              <w:rPr>
                <w:rFonts w:ascii="Times New Roman" w:hAnsi="Times New Roman"/>
                <w:sz w:val="18"/>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87,458</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Marketable securities long-term</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2,754</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6,930</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Plant and equipment, net</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1,598</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1,200</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Operating lease right-of-use assets</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1,651</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851</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Corporate-owned life insurance asset</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2,091</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1,238</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Intangible assets, net</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456</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465</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Other long-term assets</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285</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122</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assets</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$ 86,330</w:t>
            </w:r>
            <w:r>
              <w:rPr>
                <w:rFonts w:ascii="Times New Roman" w:hAnsi="Times New Roman"/>
                <w:sz w:val="18"/>
              </w:rPr>
              <w:t xml:space="preserve">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$ 98,264</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LIABILITIES, NON-QUALIFIED DEFERRED COMPENSATION PLAN SHARE AWARDS AND STOCKHOLDERS' EQUITY</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Accounts payable and accrued liabilities</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3,837</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3,002</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Accrued wages and fringe benefits</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6,200</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6,623</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Current non-qualified deferred compensation liability</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2,572</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78</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Other current liabilities</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1,201</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990</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liabilities</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13,810</w:t>
            </w:r>
            <w:r>
              <w:rPr>
                <w:rFonts w:ascii="Times New Roman" w:hAnsi="Times New Roman"/>
                <w:sz w:val="18"/>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10,693</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Non-qualified deferred compensation liability</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1,224</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1,270</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Contract liabilities</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374</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698</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Operating lease liabilities, long term</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1,047</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306</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16,455</w:t>
            </w:r>
            <w:r>
              <w:rPr>
                <w:rFonts w:ascii="Times New Roman" w:hAnsi="Times New Roman"/>
                <w:sz w:val="18"/>
              </w:rPr>
              <w:t xml:space="preserve">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12,967</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Non-qualified deferred compensation plan share awards</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1,228</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557</w:t>
            </w:r>
            <w:r>
              <w:rPr>
                <w:rFonts w:ascii="Times New Roman" w:hAnsi="Times New Roman"/>
                <w:sz w:val="18"/>
              </w:rPr>
              <w:t xml:space="preserve"> </w:t>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Contingencies (Note 13)</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7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86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Stockholders' equity:</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7"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914"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right"/>
        <w:rPr>
          <w:rFonts w:ascii="Calibri;sans-serif" w:hAnsi="Calibri;sans-serif"/>
          <w:b w:val="false"/>
          <w:sz w:val="18"/>
        </w:rPr>
      </w:pPr>
      <w:r>
        <w:rPr>
          <w:rFonts w:ascii="Calibri;sans-serif" w:hAnsi="Calibri;sans-serif"/>
          <w:b w:val="false"/>
          <w:sz w:val="18"/>
        </w:rPr>
        <w:t>Page 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417"/>
        <w:gridCol w:w="506"/>
        <w:gridCol w:w="1860"/>
        <w:gridCol w:w="146"/>
        <w:gridCol w:w="2276"/>
      </w:tblGrid>
      <w:tr>
        <w:trPr/>
        <w:tc>
          <w:tcPr>
            <w:tcW w:w="541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ind w:left="0" w:right="0" w:firstLine="340"/>
              <w:jc w:val="left"/>
              <w:rPr>
                <w:sz w:val="4"/>
                <w:szCs w:val="4"/>
              </w:rPr>
            </w:pPr>
            <w:r>
              <w:rPr>
                <w:sz w:val="4"/>
                <w:szCs w:val="4"/>
              </w:rPr>
            </w:r>
          </w:p>
        </w:tc>
      </w:tr>
      <w:tr>
        <w:trPr/>
        <w:tc>
          <w:tcPr>
            <w:tcW w:w="5417" w:type="dxa"/>
            <w:tcBorders/>
            <w:tcMar>
              <w:top w:w="0" w:type="dxa"/>
              <w:left w:w="0" w:type="dxa"/>
              <w:bottom w:w="0" w:type="dxa"/>
              <w:right w:w="0" w:type="dxa"/>
            </w:tcMar>
            <w:vAlign w:val="center"/>
          </w:tcPr>
          <w:p>
            <w:pPr>
              <w:pStyle w:val="TableContents"/>
              <w:bidi w:val="0"/>
              <w:spacing w:before="0" w:after="0"/>
              <w:ind w:left="340" w:right="0" w:hanging="0"/>
              <w:jc w:val="left"/>
              <w:rPr>
                <w:rFonts w:ascii="Times New Roman" w:hAnsi="Times New Roman"/>
                <w:sz w:val="20"/>
              </w:rPr>
            </w:pPr>
            <w:r>
              <w:rPr>
                <w:rFonts w:ascii="Times New Roman;serif" w:hAnsi="Times New Roman;serif"/>
                <w:b w:val="false"/>
                <w:sz w:val="18"/>
              </w:rPr>
              <w:t xml:space="preserve">Common stock, $0.0001 par value per share, 200,000,000 shares authorized, </w:t>
            </w:r>
            <w:r>
              <w:rPr>
                <w:rFonts w:ascii="Times New Roman;serif" w:hAnsi="Times New Roman;serif"/>
                <w:b w:val="false"/>
                <w:sz w:val="20"/>
              </w:rPr>
              <w:t>25,447,615</w:t>
            </w:r>
            <w:r>
              <w:rPr>
                <w:rFonts w:ascii="Times New Roman" w:hAnsi="Times New Roman"/>
                <w:sz w:val="20"/>
              </w:rPr>
              <w:t> </w:t>
            </w:r>
            <w:r>
              <w:rPr>
                <w:rFonts w:ascii="Times New Roman;serif" w:hAnsi="Times New Roman;serif"/>
                <w:b w:val="false"/>
                <w:sz w:val="18"/>
              </w:rPr>
              <w:t>and 25,208,436 shares issued and outstanding at June 30, 2023 and December 31, 2022, respectively</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860"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3</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76" w:type="dxa"/>
            <w:tcBorders/>
            <w:tcMar>
              <w:top w:w="0" w:type="dxa"/>
              <w:left w:w="0" w:type="dxa"/>
              <w:bottom w:w="0" w:type="dxa"/>
              <w:right w:w="0" w:type="dxa"/>
            </w:tcMar>
            <w:vAlign w:val="center"/>
          </w:tcPr>
          <w:p>
            <w:pPr>
              <w:pStyle w:val="TableContents"/>
              <w:bidi w:val="0"/>
              <w:spacing w:before="0" w:after="0"/>
              <w:ind w:left="0" w:right="0" w:firstLine="340"/>
              <w:jc w:val="right"/>
              <w:rPr/>
            </w:pPr>
            <w:r>
              <w:rPr/>
              <w:t>                            </w:t>
            </w:r>
            <w:r>
              <w:rPr>
                <w:rFonts w:ascii="Times New Roman;serif" w:hAnsi="Times New Roman;serif"/>
                <w:b w:val="false"/>
                <w:sz w:val="18"/>
              </w:rPr>
              <w:t>3</w:t>
            </w:r>
            <w:r>
              <w:rPr>
                <w:rFonts w:ascii="Times New Roman" w:hAnsi="Times New Roman"/>
                <w:sz w:val="18"/>
              </w:rPr>
              <w:t xml:space="preserve"> </w:t>
            </w:r>
          </w:p>
        </w:tc>
      </w:tr>
      <w:tr>
        <w:trPr/>
        <w:tc>
          <w:tcPr>
            <w:tcW w:w="5417" w:type="dxa"/>
            <w:tcBorders/>
            <w:tcMar>
              <w:top w:w="0" w:type="dxa"/>
              <w:left w:w="0" w:type="dxa"/>
              <w:bottom w:w="0" w:type="dxa"/>
              <w:right w:w="0" w:type="dxa"/>
            </w:tcMar>
            <w:vAlign w:val="center"/>
          </w:tcPr>
          <w:p>
            <w:pPr>
              <w:pStyle w:val="TableContents"/>
              <w:bidi w:val="0"/>
              <w:spacing w:before="0" w:after="0"/>
              <w:ind w:left="340" w:right="0" w:hanging="0"/>
              <w:jc w:val="left"/>
              <w:rPr>
                <w:rFonts w:ascii="Times New Roman;serif" w:hAnsi="Times New Roman;serif"/>
                <w:b w:val="false"/>
                <w:sz w:val="18"/>
              </w:rPr>
            </w:pPr>
            <w:r>
              <w:rPr>
                <w:rFonts w:ascii="Times New Roman;serif" w:hAnsi="Times New Roman;serif"/>
                <w:b w:val="false"/>
                <w:sz w:val="18"/>
              </w:rPr>
              <w:t>Preferred stock, $0.0001 par value per share, 10,000,000 shares authorized, no shares issued or outstanding at March 31, 2023 and December 31, 2022.</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860"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2276" w:type="dxa"/>
            <w:tcBorders/>
            <w:tcMar>
              <w:top w:w="0" w:type="dxa"/>
              <w:left w:w="0" w:type="dxa"/>
              <w:bottom w:w="0" w:type="dxa"/>
              <w:right w:w="0" w:type="dxa"/>
            </w:tcMar>
            <w:vAlign w:val="center"/>
          </w:tcPr>
          <w:p>
            <w:pPr>
              <w:pStyle w:val="TableContents"/>
              <w:bidi w:val="0"/>
              <w:spacing w:before="0" w:after="0"/>
              <w:ind w:left="0" w:right="0" w:firstLine="340"/>
              <w:jc w:val="right"/>
              <w:rPr/>
            </w:pPr>
            <w:r>
              <w:rPr/>
              <w:t>                           </w:t>
            </w:r>
            <w:r>
              <w:rPr>
                <w:rFonts w:ascii="Times New Roman;serif" w:hAnsi="Times New Roman;serif"/>
                <w:b w:val="false"/>
                <w:sz w:val="18"/>
              </w:rPr>
              <w:t>-</w:t>
            </w:r>
            <w:r>
              <w:rPr>
                <w:rFonts w:ascii="Times New Roman" w:hAnsi="Times New Roman"/>
                <w:sz w:val="18"/>
              </w:rPr>
              <w:t xml:space="preserve"> </w:t>
            </w:r>
          </w:p>
        </w:tc>
      </w:tr>
      <w:tr>
        <w:trPr/>
        <w:tc>
          <w:tcPr>
            <w:tcW w:w="5417" w:type="dxa"/>
            <w:tcBorders/>
            <w:tcMar>
              <w:top w:w="0" w:type="dxa"/>
              <w:left w:w="0" w:type="dxa"/>
              <w:bottom w:w="0" w:type="dxa"/>
              <w:right w:w="0" w:type="dxa"/>
            </w:tcMar>
            <w:vAlign w:val="center"/>
          </w:tcPr>
          <w:p>
            <w:pPr>
              <w:pStyle w:val="TableContents"/>
              <w:bidi w:val="0"/>
              <w:spacing w:before="0" w:after="0"/>
              <w:ind w:left="340" w:right="0" w:hanging="0"/>
              <w:jc w:val="left"/>
              <w:rPr/>
            </w:pPr>
            <w:r>
              <w:rPr/>
              <w:t> </w:t>
            </w:r>
            <w:r>
              <w:rPr>
                <w:rFonts w:ascii="Times New Roman;serif" w:hAnsi="Times New Roman;serif"/>
                <w:b w:val="false"/>
                <w:sz w:val="18"/>
              </w:rPr>
              <w:t>Company common stock held by the non-qualified deferred compensation plan ("NQDC Plan")</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860"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(892)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(127)</w:t>
            </w:r>
          </w:p>
        </w:tc>
      </w:tr>
      <w:tr>
        <w:trPr/>
        <w:tc>
          <w:tcPr>
            <w:tcW w:w="5417"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Additional paid-in capital</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860"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343,769</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22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339,825</w:t>
            </w:r>
            <w:r>
              <w:rPr>
                <w:rFonts w:ascii="Times New Roman" w:hAnsi="Times New Roman"/>
                <w:sz w:val="18"/>
              </w:rPr>
              <w:t xml:space="preserve"> </w:t>
            </w:r>
          </w:p>
        </w:tc>
      </w:tr>
      <w:tr>
        <w:trPr/>
        <w:tc>
          <w:tcPr>
            <w:tcW w:w="5417"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Accumulated other comprehensive income</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860"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7,959</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7,627</w:t>
            </w:r>
            <w:r>
              <w:rPr>
                <w:rFonts w:ascii="Times New Roman" w:hAnsi="Times New Roman"/>
                <w:sz w:val="18"/>
              </w:rPr>
              <w:t xml:space="preserve"> </w:t>
            </w:r>
          </w:p>
        </w:tc>
      </w:tr>
      <w:tr>
        <w:trPr/>
        <w:tc>
          <w:tcPr>
            <w:tcW w:w="5417"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Accumulated deficit</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860"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(282,192)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22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(262,588)</w:t>
            </w:r>
          </w:p>
        </w:tc>
      </w:tr>
      <w:tr>
        <w:trPr/>
        <w:tc>
          <w:tcPr>
            <w:tcW w:w="541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stockholders' equity</w:t>
            </w:r>
          </w:p>
        </w:tc>
        <w:tc>
          <w:tcPr>
            <w:tcW w:w="5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86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68,647</w:t>
            </w:r>
            <w:r>
              <w:rPr>
                <w:rFonts w:ascii="Times New Roman" w:hAnsi="Times New Roman"/>
                <w:sz w:val="18"/>
              </w:rPr>
              <w:t xml:space="preserve">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84,740</w:t>
            </w:r>
            <w:r>
              <w:rPr>
                <w:rFonts w:ascii="Times New Roman" w:hAnsi="Times New Roman"/>
                <w:sz w:val="18"/>
              </w:rPr>
              <w:t xml:space="preserve"> </w:t>
            </w:r>
          </w:p>
        </w:tc>
      </w:tr>
      <w:tr>
        <w:trPr/>
        <w:tc>
          <w:tcPr>
            <w:tcW w:w="541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 non-qualified deferred compensation plan share awards and stockholders' equity</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8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$ 86,330</w:t>
            </w:r>
            <w:r>
              <w:rPr>
                <w:rFonts w:ascii="Times New Roman" w:hAnsi="Times New Roman"/>
                <w:sz w:val="18"/>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$ 98,264</w:t>
            </w:r>
            <w:r>
              <w:rPr>
                <w:rFonts w:ascii="Times New Roman" w:hAnsi="Times New Roman"/>
                <w:sz w:val="18"/>
              </w:rPr>
              <w:t xml:space="preserve"> </w:t>
            </w:r>
          </w:p>
        </w:tc>
      </w:tr>
    </w:tbl>
    <w:p>
      <w:pPr>
        <w:pStyle w:val="TextBody"/>
        <w:bidi w:val="0"/>
        <w:spacing w:before="0" w:after="0"/>
        <w:jc w:val="right"/>
        <w:rPr>
          <w:rFonts w:ascii="Calibri;sans-serif" w:hAnsi="Calibri;sans-serif"/>
          <w:b w:val="false"/>
          <w:sz w:val="18"/>
        </w:rPr>
      </w:pPr>
      <w:r>
        <w:rPr>
          <w:rFonts w:ascii="Calibri;sans-serif" w:hAnsi="Calibri;sans-serif"/>
          <w:b w:val="false"/>
          <w:sz w:val="18"/>
        </w:rPr>
        <w:t>Page 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AVITA MEDICAL, INC.</w:t>
      </w:r>
    </w:p>
    <w:p>
      <w:pPr>
        <w:pStyle w:val="TextBody"/>
        <w:bidi w:val="0"/>
        <w:spacing w:before="0" w:after="0"/>
        <w:jc w:val="center"/>
        <w:rPr>
          <w:rFonts w:ascii="Times New Roman;serif" w:hAnsi="Times New Roman;serif"/>
          <w:b/>
          <w:sz w:val="20"/>
        </w:rPr>
      </w:pPr>
      <w:r>
        <w:rPr>
          <w:rFonts w:ascii="Times New Roman;serif" w:hAnsi="Times New Roman;serif"/>
          <w:b/>
          <w:sz w:val="20"/>
        </w:rPr>
        <w:t>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and per share data)</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bookmarkStart w:id="5" w:name="range_a5_i27"/>
      <w:bookmarkEnd w:id="5"/>
      <w:r>
        <w:rPr/>
        <w:t> </w:t>
      </w:r>
    </w:p>
    <w:tbl>
      <w:tblPr>
        <w:tblW w:w="10205" w:type="dxa"/>
        <w:jc w:val="left"/>
        <w:tblInd w:w="0" w:type="dxa"/>
        <w:tblLayout w:type="fixed"/>
        <w:tblCellMar>
          <w:top w:w="28" w:type="dxa"/>
          <w:left w:w="28" w:type="dxa"/>
          <w:bottom w:w="28" w:type="dxa"/>
          <w:right w:w="28" w:type="dxa"/>
        </w:tblCellMar>
      </w:tblPr>
      <w:tblGrid>
        <w:gridCol w:w="2021"/>
        <w:gridCol w:w="506"/>
        <w:gridCol w:w="1776"/>
        <w:gridCol w:w="146"/>
        <w:gridCol w:w="1836"/>
        <w:gridCol w:w="146"/>
        <w:gridCol w:w="1746"/>
        <w:gridCol w:w="146"/>
        <w:gridCol w:w="1882"/>
      </w:tblGrid>
      <w:tr>
        <w:trPr/>
        <w:tc>
          <w:tcPr>
            <w:tcW w:w="202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75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sz w:val="18"/>
              </w:rPr>
              <w:t>Three-Months Ended</w:t>
            </w:r>
            <w:r>
              <w:rPr>
                <w:rFonts w:ascii="Times New Roman" w:hAnsi="Times New Roman"/>
                <w:sz w:val="18"/>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77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sz w:val="18"/>
              </w:rPr>
              <w:t>Six-Months Ended</w:t>
            </w:r>
            <w:r>
              <w:rPr>
                <w:rFonts w:ascii="Times New Roman" w:hAnsi="Times New Roman"/>
                <w:sz w:val="18"/>
              </w:rPr>
              <w:t xml:space="preserve"> </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2022</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Revenues</w:t>
            </w:r>
            <w:r>
              <w:rPr>
                <w:rFonts w:ascii="Times New Roman" w:hAnsi="Times New Roman"/>
                <w:sz w:val="18"/>
              </w:rPr>
              <w:t xml:space="preserve"> </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$ 11,753</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$ 8,335</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 w:hAnsi="Times New Roman"/>
                <w:sz w:val="18"/>
              </w:rPr>
            </w:pPr>
            <w:r>
              <w:rPr>
                <w:rFonts w:ascii="Times New Roman;serif" w:hAnsi="Times New Roman;serif"/>
                <w:b w:val="false"/>
                <w:sz w:val="18"/>
              </w:rPr>
              <w:t>$ 22,303</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$ 15,874</w:t>
            </w:r>
            <w:r>
              <w:rPr>
                <w:rFonts w:ascii="Times New Roman" w:hAnsi="Times New Roman"/>
                <w:sz w:val="18"/>
              </w:rPr>
              <w:t xml:space="preserve"> </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Cost of sales</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(2,204)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(1,386)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8"/>
              </w:rPr>
              <w:t>(3,871)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(3,164)</w:t>
            </w:r>
          </w:p>
        </w:tc>
      </w:tr>
      <w:tr>
        <w:trPr/>
        <w:tc>
          <w:tcPr>
            <w:tcW w:w="2021"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Gross profit</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9,549</w:t>
            </w:r>
            <w:r>
              <w:rPr>
                <w:rFonts w:ascii="Times New Roman" w:hAnsi="Times New Roman"/>
                <w:sz w:val="18"/>
              </w:rPr>
              <w:t xml:space="preserve">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18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6,949</w:t>
            </w:r>
            <w:r>
              <w:rPr>
                <w:rFonts w:ascii="Times New Roman" w:hAnsi="Times New Roman"/>
                <w:sz w:val="18"/>
              </w:rPr>
              <w:t xml:space="preserve">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17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18,432</w:t>
            </w:r>
            <w:r>
              <w:rPr>
                <w:rFonts w:ascii="Times New Roman" w:hAnsi="Times New Roman"/>
                <w:sz w:val="18"/>
              </w:rPr>
              <w:t xml:space="preserve">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188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12,710</w:t>
            </w:r>
            <w:r>
              <w:rPr>
                <w:rFonts w:ascii="Times New Roman" w:hAnsi="Times New Roman"/>
                <w:sz w:val="18"/>
              </w:rPr>
              <w:t xml:space="preserve"> </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BARDA income</w:t>
            </w:r>
            <w:r>
              <w:rPr>
                <w:rFonts w:ascii="Times New Roman" w:hAnsi="Times New Roman"/>
                <w:sz w:val="18"/>
              </w:rPr>
              <w:t xml:space="preserve"> </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530</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551</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1,157</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1,285</w:t>
            </w:r>
            <w:r>
              <w:rPr>
                <w:rFonts w:ascii="Times New Roman" w:hAnsi="Times New Roman"/>
                <w:sz w:val="18"/>
              </w:rPr>
              <w:t xml:space="preserve"> </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expenses:</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2021"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Sales and marketing expenses</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(5,332)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(16,543)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(10,160)</w:t>
            </w:r>
          </w:p>
        </w:tc>
      </w:tr>
      <w:tr>
        <w:trPr/>
        <w:tc>
          <w:tcPr>
            <w:tcW w:w="2021"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General and administrative expenses</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(6,165)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(5,471)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(14,460)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(13,005)</w:t>
            </w:r>
          </w:p>
        </w:tc>
      </w:tr>
      <w:tr>
        <w:trPr/>
        <w:tc>
          <w:tcPr>
            <w:tcW w:w="2021"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 w:hAnsi="Times New Roman"/>
                <w:sz w:val="18"/>
              </w:rPr>
            </w:pPr>
            <w:r>
              <w:rPr>
                <w:rFonts w:ascii="Times New Roman;serif" w:hAnsi="Times New Roman;serif"/>
                <w:b w:val="false"/>
                <w:sz w:val="18"/>
              </w:rPr>
              <w:t>Research and development expenses</w:t>
            </w:r>
            <w:r>
              <w:rPr>
                <w:rFonts w:ascii="Times New Roman" w:hAnsi="Times New Roman"/>
                <w:sz w:val="18"/>
              </w:rPr>
              <w:t xml:space="preserve"> </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(5,076)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(3,059)</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(9,662)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(6,679)</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operating expenses</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(21,244)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18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(13,862)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17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(40,665)</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p>
        </w:tc>
        <w:tc>
          <w:tcPr>
            <w:tcW w:w="188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(29,844)</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loss</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(11,165)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(6,362)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(21,076)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(15,849)</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expense</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(7)</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(4)</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801</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109</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1,526</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137</w:t>
            </w:r>
            <w:r>
              <w:rPr>
                <w:rFonts w:ascii="Times New Roman" w:hAnsi="Times New Roman"/>
                <w:sz w:val="18"/>
              </w:rPr>
              <w:t xml:space="preserve"> </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Loss before income taxes</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(10,371)</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(6,257)</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(19,561)</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(15,716)</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Provision for income tax</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(13)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(43)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(8)</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(10,384)</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p>
        </w:tc>
        <w:tc>
          <w:tcPr>
            <w:tcW w:w="18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(6,261)</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p>
        </w:tc>
        <w:tc>
          <w:tcPr>
            <w:tcW w:w="17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8"/>
              </w:rPr>
              <w:t>$ (19,604)</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p>
        </w:tc>
        <w:tc>
          <w:tcPr>
            <w:tcW w:w="188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(15,724)</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 per common share:</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2021"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Basic and Diluted</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(0.41)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(0.25)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(0.78)</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 (0.63)</w:t>
            </w:r>
          </w:p>
        </w:tc>
      </w:tr>
      <w:tr>
        <w:trPr/>
        <w:tc>
          <w:tcPr>
            <w:tcW w:w="2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Weighted-average common shares:</w:t>
            </w:r>
          </w:p>
        </w:tc>
        <w:tc>
          <w:tcPr>
            <w:tcW w:w="5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2021" w:type="dxa"/>
            <w:tcBorders/>
            <w:tcMar>
              <w:top w:w="0" w:type="dxa"/>
              <w:left w:w="0" w:type="dxa"/>
              <w:bottom w:w="0" w:type="dxa"/>
              <w:right w:w="0" w:type="dxa"/>
            </w:tcMar>
            <w:vAlign w:val="center"/>
          </w:tcPr>
          <w:p>
            <w:pPr>
              <w:pStyle w:val="TableContents"/>
              <w:bidi w:val="0"/>
              <w:spacing w:before="0" w:after="0"/>
              <w:ind w:left="0" w:right="0" w:firstLine="360"/>
              <w:jc w:val="left"/>
              <w:rPr>
                <w:rFonts w:ascii="Times New Roman;serif" w:hAnsi="Times New Roman;serif"/>
                <w:b w:val="false"/>
                <w:sz w:val="18"/>
              </w:rPr>
            </w:pPr>
            <w:r>
              <w:rPr>
                <w:rFonts w:ascii="Times New Roman;serif" w:hAnsi="Times New Roman;serif"/>
                <w:b w:val="false"/>
                <w:sz w:val="18"/>
              </w:rPr>
              <w:t>Basic and Diluted</w:t>
            </w:r>
          </w:p>
        </w:tc>
        <w:tc>
          <w:tcPr>
            <w:tcW w:w="506" w:type="dxa"/>
            <w:tcBorders/>
            <w:tcMar>
              <w:top w:w="0" w:type="dxa"/>
              <w:left w:w="0" w:type="dxa"/>
              <w:bottom w:w="0" w:type="dxa"/>
              <w:right w:w="0" w:type="dxa"/>
            </w:tcMar>
            <w:vAlign w:val="center"/>
          </w:tcPr>
          <w:p>
            <w:pPr>
              <w:pStyle w:val="TableContents"/>
              <w:bidi w:val="0"/>
              <w:spacing w:before="0" w:after="0"/>
              <w:ind w:left="0" w:right="0" w:firstLine="360"/>
              <w:jc w:val="left"/>
              <w:rPr/>
            </w:pPr>
            <w:r>
              <w:rPr/>
              <w:t> </w:t>
            </w:r>
          </w:p>
        </w:tc>
        <w:tc>
          <w:tcPr>
            <w:tcW w:w="177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25,239,723</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3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24,971,243</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25,221,009</w:t>
            </w:r>
            <w:r>
              <w:rPr>
                <w:rFonts w:ascii="Times New Roman" w:hAnsi="Times New Roman"/>
                <w:sz w:val="18"/>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188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r>
              <w:rPr>
                <w:rFonts w:ascii="Times New Roman;serif" w:hAnsi="Times New Roman;serif"/>
                <w:b w:val="false"/>
                <w:sz w:val="18"/>
              </w:rPr>
              <w:t>24,954,712</w:t>
            </w:r>
            <w:r>
              <w:rPr>
                <w:rFonts w:ascii="Times New Roman" w:hAnsi="Times New Roman"/>
                <w:sz w:val="18"/>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00"/>
        <w:jc w:val="left"/>
        <w:rPr/>
      </w:pPr>
      <w:bookmarkStart w:id="6" w:name="range_a34_l39"/>
      <w:bookmarkEnd w:id="6"/>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0"/>
        <w:jc w:val="right"/>
        <w:rPr/>
      </w:pPr>
      <w:r>
        <w:rPr/>
        <w:t> </w:t>
      </w:r>
    </w:p>
    <w:p>
      <w:pPr>
        <w:pStyle w:val="TextBody"/>
        <w:bidi w:val="0"/>
        <w:spacing w:before="0" w:after="0"/>
        <w:jc w:val="right"/>
        <w:rPr>
          <w:rFonts w:ascii="Calibri;sans-serif" w:hAnsi="Calibri;sans-serif"/>
          <w:b w:val="false"/>
          <w:sz w:val="18"/>
        </w:rPr>
      </w:pPr>
      <w:r>
        <w:rPr>
          <w:rFonts w:ascii="Calibri;sans-serif" w:hAnsi="Calibri;sans-serif"/>
          <w:b w:val="false"/>
          <w:sz w:val="18"/>
        </w:rPr>
        <w:t>Page 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2134</Words>
  <Characters>12229</Characters>
  <CharactersWithSpaces>16498</CharactersWithSpaces>
  <Paragraphs>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