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522875ds8.htm"/>
      <w:bookmarkStart w:id="1" w:name="ksd522875ds8"/>
      <w:bookmarkEnd w:id="0"/>
      <w:bookmarkEnd w:id="1"/>
      <w:r>
        <w:rPr>
          <w:rFonts w:ascii="Times New Roman" w:hAnsi="Times New Roman"/>
          <w:b/>
          <w:sz w:val="20"/>
        </w:rPr>
        <w:t xml:space="preserve">As filed with the Securities and Exchange Commission on June 30, 2023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AVITA MEDICAL,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85-1021707</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28159 Avenue Stanford, Suite 220 </w:t>
      </w:r>
    </w:p>
    <w:p>
      <w:pPr>
        <w:pStyle w:val="TextBody"/>
        <w:bidi w:val="0"/>
        <w:spacing w:before="0" w:after="0"/>
        <w:jc w:val="center"/>
        <w:rPr>
          <w:rFonts w:ascii="Times New Roman" w:hAnsi="Times New Roman"/>
          <w:b/>
          <w:sz w:val="20"/>
        </w:rPr>
      </w:pPr>
      <w:r>
        <w:rPr>
          <w:rFonts w:ascii="Times New Roman" w:hAnsi="Times New Roman"/>
          <w:b/>
          <w:sz w:val="20"/>
        </w:rPr>
        <w:t xml:space="preserve">Valencia, CA 91355 </w:t>
      </w:r>
    </w:p>
    <w:p>
      <w:pPr>
        <w:pStyle w:val="TextBody"/>
        <w:bidi w:val="0"/>
        <w:spacing w:before="0" w:after="0"/>
        <w:jc w:val="center"/>
        <w:rPr>
          <w:rFonts w:ascii="Times New Roman" w:hAnsi="Times New Roman"/>
          <w:b/>
          <w:sz w:val="20"/>
        </w:rPr>
      </w:pPr>
      <w:r>
        <w:rPr>
          <w:rFonts w:ascii="Times New Roman" w:hAnsi="Times New Roman"/>
          <w:b/>
          <w:sz w:val="20"/>
        </w:rPr>
        <w:t xml:space="preserve">(661) 367-9170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AVITA Medical, Inc. 2020 Omnibus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AVITA Medical, Inc. Employee Stock Purchase Plan </w:t>
      </w:r>
    </w:p>
    <w:p>
      <w:pPr>
        <w:pStyle w:val="TextBody"/>
        <w:bidi w:val="0"/>
        <w:spacing w:before="0" w:after="0"/>
        <w:jc w:val="center"/>
        <w:rPr>
          <w:rFonts w:ascii="Times New Roman" w:hAnsi="Times New Roman"/>
          <w:b/>
          <w:sz w:val="20"/>
        </w:rPr>
      </w:pPr>
      <w:r>
        <w:rPr>
          <w:rFonts w:ascii="Times New Roman" w:hAnsi="Times New Roman"/>
          <w:b/>
          <w:sz w:val="20"/>
        </w:rPr>
        <w:t xml:space="preserve">Individual Stock Option Award Agreements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Donna Shiroma </w:t>
      </w:r>
    </w:p>
    <w:p>
      <w:pPr>
        <w:pStyle w:val="TextBody"/>
        <w:bidi w:val="0"/>
        <w:spacing w:before="0" w:after="0"/>
        <w:jc w:val="center"/>
        <w:rPr>
          <w:rFonts w:ascii="Times New Roman" w:hAnsi="Times New Roman"/>
          <w:b/>
          <w:sz w:val="20"/>
        </w:rPr>
      </w:pPr>
      <w:r>
        <w:rPr>
          <w:rFonts w:ascii="Times New Roman" w:hAnsi="Times New Roman"/>
          <w:b/>
          <w:sz w:val="20"/>
        </w:rPr>
        <w:t xml:space="preserve">28159 Avenue Stanford, Suite 220 </w:t>
      </w:r>
    </w:p>
    <w:p>
      <w:pPr>
        <w:pStyle w:val="TextBody"/>
        <w:bidi w:val="0"/>
        <w:spacing w:before="0" w:after="0"/>
        <w:jc w:val="center"/>
        <w:rPr>
          <w:rFonts w:ascii="Times New Roman" w:hAnsi="Times New Roman"/>
          <w:b/>
          <w:sz w:val="20"/>
        </w:rPr>
      </w:pPr>
      <w:r>
        <w:rPr>
          <w:rFonts w:ascii="Times New Roman" w:hAnsi="Times New Roman"/>
          <w:b/>
          <w:sz w:val="20"/>
        </w:rPr>
        <w:t xml:space="preserve">Valencia, CA 91355 </w:t>
      </w:r>
    </w:p>
    <w:p>
      <w:pPr>
        <w:pStyle w:val="TextBody"/>
        <w:bidi w:val="0"/>
        <w:spacing w:before="0" w:after="0"/>
        <w:jc w:val="center"/>
        <w:rPr>
          <w:rFonts w:ascii="Times New Roman" w:hAnsi="Times New Roman"/>
          <w:b/>
          <w:sz w:val="20"/>
        </w:rPr>
      </w:pPr>
      <w:r>
        <w:rPr>
          <w:rFonts w:ascii="Times New Roman" w:hAnsi="Times New Roman"/>
          <w:b/>
          <w:sz w:val="20"/>
        </w:rPr>
        <w:t xml:space="preserve">(661) 367-9170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Copy to: </w:t>
      </w:r>
    </w:p>
    <w:p>
      <w:pPr>
        <w:pStyle w:val="TextBody"/>
        <w:bidi w:val="0"/>
        <w:spacing w:before="120" w:after="0"/>
        <w:jc w:val="center"/>
        <w:rPr>
          <w:rFonts w:ascii="Times New Roman" w:hAnsi="Times New Roman"/>
          <w:b/>
          <w:sz w:val="20"/>
        </w:rPr>
      </w:pPr>
      <w:r>
        <w:rPr>
          <w:rFonts w:ascii="Times New Roman" w:hAnsi="Times New Roman"/>
          <w:b/>
          <w:sz w:val="20"/>
        </w:rPr>
        <w:t xml:space="preserve">Christopher H. Cunningham </w:t>
      </w:r>
    </w:p>
    <w:p>
      <w:pPr>
        <w:pStyle w:val="TextBody"/>
        <w:bidi w:val="0"/>
        <w:spacing w:before="0" w:after="0"/>
        <w:jc w:val="center"/>
        <w:rPr>
          <w:rFonts w:ascii="Times New Roman" w:hAnsi="Times New Roman"/>
          <w:b/>
          <w:sz w:val="20"/>
        </w:rPr>
      </w:pPr>
      <w:r>
        <w:rPr>
          <w:rFonts w:ascii="Times New Roman" w:hAnsi="Times New Roman"/>
          <w:b/>
          <w:sz w:val="20"/>
        </w:rPr>
        <w:t xml:space="preserve">Coleman Wombwell </w:t>
      </w:r>
    </w:p>
    <w:p>
      <w:pPr>
        <w:pStyle w:val="TextBody"/>
        <w:bidi w:val="0"/>
        <w:spacing w:before="0" w:after="0"/>
        <w:jc w:val="center"/>
        <w:rPr>
          <w:rFonts w:ascii="Times New Roman" w:hAnsi="Times New Roman"/>
          <w:b/>
          <w:sz w:val="20"/>
        </w:rPr>
      </w:pPr>
      <w:r>
        <w:rPr>
          <w:rFonts w:ascii="Times New Roman" w:hAnsi="Times New Roman"/>
          <w:b/>
          <w:sz w:val="20"/>
        </w:rPr>
        <w:t xml:space="preserve">K&amp;L Gates LLP </w:t>
      </w:r>
    </w:p>
    <w:p>
      <w:pPr>
        <w:pStyle w:val="TextBody"/>
        <w:bidi w:val="0"/>
        <w:spacing w:before="0" w:after="0"/>
        <w:jc w:val="center"/>
        <w:rPr>
          <w:rFonts w:ascii="Times New Roman" w:hAnsi="Times New Roman"/>
          <w:b/>
          <w:sz w:val="20"/>
        </w:rPr>
      </w:pPr>
      <w:r>
        <w:rPr>
          <w:rFonts w:ascii="Times New Roman" w:hAnsi="Times New Roman"/>
          <w:b/>
          <w:sz w:val="20"/>
        </w:rPr>
        <w:t xml:space="preserve">925 Fourth Avenue, Suite 2900 </w:t>
      </w:r>
    </w:p>
    <w:p>
      <w:pPr>
        <w:pStyle w:val="TextBody"/>
        <w:bidi w:val="0"/>
        <w:spacing w:before="0" w:after="0"/>
        <w:jc w:val="center"/>
        <w:rPr>
          <w:rFonts w:ascii="Times New Roman" w:hAnsi="Times New Roman"/>
          <w:b/>
          <w:sz w:val="20"/>
        </w:rPr>
      </w:pPr>
      <w:r>
        <w:rPr>
          <w:rFonts w:ascii="Times New Roman" w:hAnsi="Times New Roman"/>
          <w:b/>
          <w:sz w:val="20"/>
        </w:rPr>
        <w:t xml:space="preserve">Seattle, Washington 98104 </w:t>
      </w:r>
    </w:p>
    <w:p>
      <w:pPr>
        <w:pStyle w:val="TextBody"/>
        <w:bidi w:val="0"/>
        <w:spacing w:before="0" w:after="0"/>
        <w:jc w:val="center"/>
        <w:rPr>
          <w:rFonts w:ascii="Times New Roman" w:hAnsi="Times New Roman"/>
          <w:b/>
          <w:sz w:val="20"/>
        </w:rPr>
      </w:pPr>
      <w:r>
        <w:rPr>
          <w:rFonts w:ascii="Times New Roman" w:hAnsi="Times New Roman"/>
          <w:b/>
          <w:sz w:val="20"/>
        </w:rPr>
        <w:t xml:space="preserve">(206) 623-7580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is being filed to register (i) an additional 2,500,000 shares (the Omnibus Plan Shares) of common stock under the AVITA Medical, Inc. 2020 Omnibus Incentive Plan, as amended (the Omnibus Plan), as a result of the stockholders of AVITA Medical, Inc. (the Registrant) approving an amendment to the Omnibus Plan to increase the shares of common stock available for issuance under the Omnibus Plan on June 6, 2023 at the Registrants 2023 Annual Meeting of Stockholders (the 2023 Annual Meeting); (ii) 1,000,000 shares of common stock under the AVITA Medical, Inc. Employee Stock Purchase Plan (the Stock Purchase Plan), as a result of the Registrants stockholders approving the Stock Purchase Plan at the 2023 Annual Meeting; and (iii) an aggregate of 395,244 shares of common stock that are issuable upon the exercise of stock options granted pursuant to individual stock option award agreements approved by the Registrants stockholders at the Registrants 2021, 2022 and 2023 Annual Meetings of Stockholders.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documents containing the information specified in Part I of Form S-8 will be sent or given to participants as specified by Rule 428(b)(1)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In this registration statement, AVITA Medical, Inc. is sometimes referred to as Registrant, we, us, our, or AVITA.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3.</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Securities and Exchange Commission (the Commission)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hereby incorporate by reference into this registration statement the following documents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2022 as filed with the Commission on February 23,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pPr>
            <w:r>
              <w:rPr>
                <w:rFonts w:ascii="Times New Roman" w:hAnsi="Times New Roman"/>
                <w:sz w:val="20"/>
              </w:rPr>
              <w:t xml:space="preserve">Our Quarterly Report on </w:t>
            </w:r>
            <w:hyperlink r:id="rId3">
              <w:r>
                <w:rPr>
                  <w:rStyle w:val="InternetLink"/>
                  <w:rFonts w:ascii="Times New Roman" w:hAnsi="Times New Roman"/>
                  <w:sz w:val="20"/>
                </w:rPr>
                <w:t>Form 10-Q</w:t>
              </w:r>
            </w:hyperlink>
            <w:r>
              <w:rPr>
                <w:rFonts w:ascii="Times New Roman" w:hAnsi="Times New Roman"/>
                <w:sz w:val="20"/>
              </w:rPr>
              <w:t xml:space="preserve"> for the quarterly period ended March 31, 2023 as filed with the Commission on May 11, 2023;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dated  </w:t>
            </w:r>
            <w:hyperlink r:id="rId4">
              <w:r>
                <w:rPr>
                  <w:rStyle w:val="InternetLink"/>
                  <w:rFonts w:ascii="Times New Roman" w:hAnsi="Times New Roman"/>
                  <w:sz w:val="20"/>
                </w:rPr>
                <w:t>January 20, 2023</w:t>
              </w:r>
            </w:hyperlink>
            <w:r>
              <w:rPr>
                <w:rFonts w:ascii="Times New Roman" w:hAnsi="Times New Roman"/>
                <w:sz w:val="20"/>
              </w:rPr>
              <w:t xml:space="preserve">,  </w:t>
            </w:r>
            <w:hyperlink r:id="rId5">
              <w:r>
                <w:rPr>
                  <w:rStyle w:val="InternetLink"/>
                  <w:rFonts w:ascii="Times New Roman" w:hAnsi="Times New Roman"/>
                  <w:sz w:val="20"/>
                </w:rPr>
                <w:t>March 21, 2023</w:t>
              </w:r>
            </w:hyperlink>
            <w:r>
              <w:rPr>
                <w:rFonts w:ascii="Times New Roman" w:hAnsi="Times New Roman"/>
                <w:sz w:val="20"/>
              </w:rPr>
              <w:t xml:space="preserve">,  </w:t>
            </w:r>
            <w:hyperlink r:id="rId6">
              <w:r>
                <w:rPr>
                  <w:rStyle w:val="InternetLink"/>
                  <w:rFonts w:ascii="Times New Roman" w:hAnsi="Times New Roman"/>
                  <w:sz w:val="20"/>
                </w:rPr>
                <w:t>March  22, 2023</w:t>
              </w:r>
            </w:hyperlink>
            <w:r>
              <w:rPr>
                <w:rFonts w:ascii="Times New Roman" w:hAnsi="Times New Roman"/>
                <w:sz w:val="20"/>
              </w:rPr>
              <w:t xml:space="preserve">, </w:t>
            </w:r>
            <w:hyperlink r:id="rId7">
              <w:r>
                <w:rPr>
                  <w:rStyle w:val="InternetLink"/>
                  <w:rFonts w:ascii="Times New Roman" w:hAnsi="Times New Roman"/>
                  <w:sz w:val="20"/>
                </w:rPr>
                <w:t>March  27, 2023</w:t>
              </w:r>
            </w:hyperlink>
            <w:r>
              <w:rPr>
                <w:rFonts w:ascii="Times New Roman" w:hAnsi="Times New Roman"/>
                <w:sz w:val="20"/>
              </w:rPr>
              <w:t xml:space="preserve">, </w:t>
            </w:r>
            <w:hyperlink r:id="rId8">
              <w:r>
                <w:rPr>
                  <w:rStyle w:val="InternetLink"/>
                  <w:rFonts w:ascii="Times New Roman" w:hAnsi="Times New Roman"/>
                  <w:sz w:val="20"/>
                </w:rPr>
                <w:t>May  12, 2023</w:t>
              </w:r>
            </w:hyperlink>
            <w:r>
              <w:rPr>
                <w:rFonts w:ascii="Times New Roman" w:hAnsi="Times New Roman"/>
                <w:sz w:val="20"/>
              </w:rPr>
              <w:t xml:space="preserve">, </w:t>
            </w:r>
            <w:hyperlink r:id="rId9">
              <w:r>
                <w:rPr>
                  <w:rStyle w:val="InternetLink"/>
                  <w:rFonts w:ascii="Times New Roman" w:hAnsi="Times New Roman"/>
                  <w:sz w:val="20"/>
                </w:rPr>
                <w:t>June  6, 2023</w:t>
              </w:r>
            </w:hyperlink>
            <w:r>
              <w:rPr>
                <w:rFonts w:ascii="Times New Roman" w:hAnsi="Times New Roman"/>
                <w:sz w:val="20"/>
              </w:rPr>
              <w:t xml:space="preserve">, and </w:t>
            </w:r>
            <w:hyperlink r:id="rId10">
              <w:r>
                <w:rPr>
                  <w:rStyle w:val="InternetLink"/>
                  <w:rFonts w:ascii="Times New Roman" w:hAnsi="Times New Roman"/>
                  <w:sz w:val="20"/>
                </w:rPr>
                <w:t>June 15, 2023</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set forth on the </w:t>
            </w:r>
            <w:hyperlink r:id="rId11">
              <w:r>
                <w:rPr>
                  <w:rStyle w:val="InternetLink"/>
                  <w:rFonts w:ascii="Times New Roman" w:hAnsi="Times New Roman"/>
                  <w:sz w:val="20"/>
                </w:rPr>
                <w:t>Form 8-K12B</w:t>
              </w:r>
            </w:hyperlink>
            <w:r>
              <w:rPr>
                <w:rFonts w:ascii="Times New Roman" w:hAnsi="Times New Roman"/>
                <w:sz w:val="20"/>
              </w:rPr>
              <w:t xml:space="preserve"> filed June 30, 2020, including any Amendment or reports filed for the purpose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5.</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Interests of Named Experts and Counsel.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a Delaware corporation and certain provisions of Delaware law and our bylaws provide for indemnification of our officers and directors against liabilities that they may incur in such capacities. A summary of the circumstances in which indemnification is provided is discussed below, but this description is qualified in its entirety by reference to our bylaws and to the statutory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Delaware General Corporation Law (DGCL) provides for, under certain circumstances, the indemnification of our officers, directors, employees and agents against liabilities that they may incur in such capacities. A summary of the circumstances in which such indemnification provided for is contained herein, but that description is qualified in its entirety by reference to the relevant Section of the DGCL.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statute provides that any director, officer, employee or agent of a corporation may be indemnified against expenses (including attorneys fees), judgments, fines and amounts paid in settlement, actually and reasonably incurred in a proceeding (including any civil, criminal, administrative or investigative proceeding) to which the individual was a party by reason of such status. Such indemnity may be provided if the indemnified persons actions resulting in the liabilities: (i) were taken in good faith; (ii) were reasonably believed to have been in or not opposed to our best interest; and (iii) with respect to any criminal action, such person had no reasonable cause to believe the actions were unlawful. Unless ordered by a court, indemnification generally may be awarded only after a determination of independent members of the Board of Directors or a committee thereof, by independent legal counsel or by vote of the stockholders that the applicable standard of conduct was met by the individual to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The statutory provisions further provide that to the extent a director, officer, employee or agent is wholly successful on the merits or otherwise in defense of any proceeding to which he was a party, he is entitled to receive indemnification against expenses, including attorneys fees, actually and reasonably incurred in connection with the proceeding.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Indemnification in connection with a proceeding by or in the right of the Company in which the director, officer, employee or agent is successful is permitted only with respect to expenses, including attorneys fees actually and reasonably incurred in connection with the defense. In such actions, the person to be indemnified must have acted in good faith, in a manner believed to have been in our best interest and must not have been adjudged liable to us unless and only to the extent that the Court of Chancery or the court in which such action or suit was brought shall determine upon application that, despite the adjudication of liability, in view of all the circumstances of the case, such person is fairly and reasonably entitled to indemnity for such expense which the Court of Chancery or such other court shall deem proper. Indemnification is otherwise prohibited in connection with a proceeding brought on behalf of the Company in which a director is adjudged liable to us, or in connection with any proceeding charging improper personal benefit to the director in which the director is adjudged liable for receipt of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Delaware law authorizes us to reimburse or pay reasonable expenses incurred by a director, officer, employee or agent in connection with a proceeding in advance of a final disposition of the matter. Such advances of expenses are permitted if the person furnishes to us a written agreement to repay such advances if it is determined that he is not entitled to be indemnified by us. </w:t>
      </w:r>
    </w:p>
    <w:p>
      <w:pPr>
        <w:pStyle w:val="TextBody"/>
        <w:bidi w:val="0"/>
        <w:spacing w:before="240" w:after="0"/>
        <w:jc w:val="left"/>
        <w:rPr>
          <w:rFonts w:ascii="Times New Roman" w:hAnsi="Times New Roman"/>
          <w:sz w:val="20"/>
        </w:rPr>
      </w:pPr>
      <w:r>
        <w:rPr>
          <w:rFonts w:ascii="Times New Roman" w:hAnsi="Times New Roman"/>
          <w:sz w:val="20"/>
        </w:rPr>
        <w:t xml:space="preserve">The statutory section cited above further specifies that any provisions for indemnification of or advances for expenses does not exclude other rights under our certificate of incorporation, corporate bylaws, resolutions of our stockholders or disinterested directors, or otherwise. These indemnification provisions continue for a person who has ceased to be a director, officer, employee or agent of the corporation and inure to the benefit of the heirs, executors and administrators of such persons. </w:t>
      </w:r>
    </w:p>
    <w:p>
      <w:pPr>
        <w:pStyle w:val="TextBody"/>
        <w:bidi w:val="0"/>
        <w:spacing w:before="240" w:after="0"/>
        <w:jc w:val="left"/>
        <w:rPr>
          <w:rFonts w:ascii="Times New Roman" w:hAnsi="Times New Roman"/>
          <w:sz w:val="20"/>
        </w:rPr>
      </w:pPr>
      <w:r>
        <w:rPr>
          <w:rFonts w:ascii="Times New Roman" w:hAnsi="Times New Roman"/>
          <w:sz w:val="20"/>
        </w:rPr>
        <w:t xml:space="preserve">The statutory provision cited above also grants the power to the Company to purchase and maintain insurance policies that protect any director, officer, employee or agent against any liability asserted against or incurred by him in such capacity arising out of his status as such. Such policies may provide for indemnification whether or not the corporation would otherwise have the power to provide for it. </w:t>
      </w:r>
    </w:p>
    <w:p>
      <w:pPr>
        <w:pStyle w:val="TextBody"/>
        <w:bidi w:val="0"/>
        <w:spacing w:before="240" w:after="0"/>
        <w:jc w:val="left"/>
        <w:rPr>
          <w:rFonts w:ascii="Times New Roman" w:hAnsi="Times New Roman"/>
          <w:sz w:val="20"/>
        </w:rPr>
      </w:pPr>
      <w:r>
        <w:rPr>
          <w:rFonts w:ascii="Times New Roman" w:hAnsi="Times New Roman"/>
          <w:sz w:val="20"/>
        </w:rPr>
        <w:t xml:space="preserve">Articles V and VI of our certificate of incorporation provide that we shall indemnify our directors and officers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directors and officers liability insurance in order to limit the exposure to liability for indemnification of directors and officers, including liabilities under the Securities Act of 1933.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for our directors, officers, and controlling persons pursuant to the foregoing provisions or otherwise, we have been advised that in the opinion of the SEC, such indemnification is against public policy as expressed in the Securities Act and is, therefore, unenforceable.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Exemption from Registration Claimed.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0"/>
        <w:gridCol w:w="587"/>
        <w:gridCol w:w="8408"/>
      </w:tblGrid>
      <w:tr>
        <w:trPr/>
        <w:tc>
          <w:tcPr>
            <w:tcW w:w="1210"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8408" w:type="dxa"/>
            <w:tcBorders/>
            <w:vAlign w:val="center"/>
          </w:tcPr>
          <w:p>
            <w:pPr>
              <w:pStyle w:val="TableContents"/>
              <w:bidi w:val="0"/>
              <w:spacing w:before="0" w:after="283"/>
              <w:jc w:val="left"/>
              <w:rPr>
                <w:sz w:val="4"/>
                <w:szCs w:val="4"/>
              </w:rPr>
            </w:pPr>
            <w:r>
              <w:rPr>
                <w:sz w:val="4"/>
                <w:szCs w:val="4"/>
              </w:rPr>
            </w:r>
          </w:p>
        </w:tc>
      </w:tr>
      <w:tr>
        <w:trPr/>
        <w:tc>
          <w:tcPr>
            <w:tcW w:w="1210" w:type="dxa"/>
            <w:tcBorders/>
            <w:vAlign w:val="bottom"/>
          </w:tcPr>
          <w:p>
            <w:pPr>
              <w:pStyle w:val="TableContents"/>
              <w:bidi w:val="0"/>
              <w:spacing w:before="0" w:after="283"/>
              <w:jc w:val="center"/>
              <w:rPr>
                <w:b/>
              </w:rPr>
            </w:pPr>
            <w:r>
              <w:rPr>
                <w:b/>
              </w:rPr>
              <w:t>Exhibit No.</w:t>
            </w:r>
          </w:p>
        </w:tc>
        <w:tc>
          <w:tcPr>
            <w:tcW w:w="587" w:type="dxa"/>
            <w:tcBorders/>
            <w:vAlign w:val="bottom"/>
          </w:tcPr>
          <w:p>
            <w:pPr>
              <w:pStyle w:val="TableContents"/>
              <w:bidi w:val="0"/>
              <w:spacing w:before="0" w:after="283"/>
              <w:jc w:val="left"/>
              <w:rPr/>
            </w:pPr>
            <w:r>
              <w:rPr/>
              <w:t>  </w:t>
            </w:r>
          </w:p>
        </w:tc>
        <w:tc>
          <w:tcPr>
            <w:tcW w:w="8408" w:type="dxa"/>
            <w:tcBorders/>
            <w:vAlign w:val="bottom"/>
          </w:tcPr>
          <w:p>
            <w:pPr>
              <w:pStyle w:val="TableContents"/>
              <w:bidi w:val="0"/>
              <w:spacing w:before="0" w:after="283"/>
              <w:jc w:val="center"/>
              <w:rPr>
                <w:b/>
              </w:rPr>
            </w:pPr>
            <w:r>
              <w:rPr>
                <w:b/>
              </w:rPr>
              <w:t>Description</w:t>
            </w:r>
          </w:p>
        </w:tc>
      </w:tr>
      <w:tr>
        <w:trPr/>
        <w:tc>
          <w:tcPr>
            <w:tcW w:w="1210" w:type="dxa"/>
            <w:tcBorders/>
          </w:tcPr>
          <w:p>
            <w:pPr>
              <w:pStyle w:val="TableContents"/>
              <w:bidi w:val="0"/>
              <w:spacing w:before="0" w:after="283"/>
              <w:jc w:val="left"/>
              <w:rPr/>
            </w:pPr>
            <w:r>
              <w:rPr/>
              <w:t>    </w:t>
            </w:r>
            <w:r>
              <w:rPr>
                <w:b/>
              </w:rPr>
              <w:t>4.1</w:t>
            </w:r>
          </w:p>
        </w:tc>
        <w:tc>
          <w:tcPr>
            <w:tcW w:w="587" w:type="dxa"/>
            <w:tcBorders/>
            <w:vAlign w:val="bottom"/>
          </w:tcPr>
          <w:p>
            <w:pPr>
              <w:pStyle w:val="TableContents"/>
              <w:bidi w:val="0"/>
              <w:spacing w:before="0" w:after="283"/>
              <w:jc w:val="left"/>
              <w:rPr/>
            </w:pPr>
            <w:r>
              <w:rPr/>
              <w:t>  </w:t>
            </w:r>
          </w:p>
        </w:tc>
        <w:tc>
          <w:tcPr>
            <w:tcW w:w="8408" w:type="dxa"/>
            <w:tcBorders/>
          </w:tcPr>
          <w:p>
            <w:pPr>
              <w:pStyle w:val="TableContents"/>
              <w:bidi w:val="0"/>
              <w:spacing w:before="0" w:after="283"/>
              <w:jc w:val="left"/>
              <w:rPr/>
            </w:pPr>
            <w:hyperlink r:id="rId12">
              <w:r>
                <w:rPr>
                  <w:rStyle w:val="InternetLink"/>
                </w:rPr>
                <w:t>2020 Omnibus Incentive Plan (previously filed as Exhibit 10.29 to the Registrants Form 10-KT filed with the Commission on February 28, 2022, which is incorporated herein by reference)</w:t>
              </w:r>
            </w:hyperlink>
          </w:p>
        </w:tc>
      </w:tr>
      <w:tr>
        <w:trPr>
          <w:trHeight w:val="120" w:hRule="atLeast"/>
        </w:trPr>
        <w:tc>
          <w:tcPr>
            <w:tcW w:w="1210" w:type="dxa"/>
            <w:tcBorders/>
            <w:vAlign w:val="center"/>
          </w:tcPr>
          <w:p>
            <w:pPr>
              <w:pStyle w:val="TableContents"/>
              <w:bidi w:val="0"/>
              <w:spacing w:before="0" w:after="283"/>
              <w:jc w:val="left"/>
              <w:rPr>
                <w:sz w:val="4"/>
                <w:szCs w:val="4"/>
              </w:rPr>
            </w:pPr>
            <w:r>
              <w:rPr>
                <w:sz w:val="4"/>
                <w:szCs w:val="4"/>
              </w:rPr>
            </w:r>
          </w:p>
        </w:tc>
        <w:tc>
          <w:tcPr>
            <w:tcW w:w="8995" w:type="dxa"/>
            <w:gridSpan w:val="2"/>
            <w:tcBorders/>
            <w:vAlign w:val="center"/>
          </w:tcPr>
          <w:p>
            <w:pPr>
              <w:pStyle w:val="TableContents"/>
              <w:bidi w:val="0"/>
              <w:spacing w:before="0" w:after="283"/>
              <w:jc w:val="left"/>
              <w:rPr>
                <w:sz w:val="4"/>
                <w:szCs w:val="4"/>
              </w:rPr>
            </w:pPr>
            <w:r>
              <w:rPr>
                <w:sz w:val="4"/>
                <w:szCs w:val="4"/>
              </w:rPr>
            </w:r>
          </w:p>
        </w:tc>
      </w:tr>
      <w:tr>
        <w:trPr/>
        <w:tc>
          <w:tcPr>
            <w:tcW w:w="1210" w:type="dxa"/>
            <w:tcBorders/>
          </w:tcPr>
          <w:p>
            <w:pPr>
              <w:pStyle w:val="TableContents"/>
              <w:bidi w:val="0"/>
              <w:spacing w:before="0" w:after="283"/>
              <w:jc w:val="left"/>
              <w:rPr/>
            </w:pPr>
            <w:r>
              <w:rPr/>
              <w:t>    </w:t>
            </w:r>
            <w:r>
              <w:rPr>
                <w:b/>
              </w:rPr>
              <w:t>4.2</w:t>
            </w:r>
          </w:p>
        </w:tc>
        <w:tc>
          <w:tcPr>
            <w:tcW w:w="587" w:type="dxa"/>
            <w:tcBorders/>
            <w:vAlign w:val="bottom"/>
          </w:tcPr>
          <w:p>
            <w:pPr>
              <w:pStyle w:val="TableContents"/>
              <w:bidi w:val="0"/>
              <w:spacing w:before="0" w:after="283"/>
              <w:jc w:val="left"/>
              <w:rPr/>
            </w:pPr>
            <w:r>
              <w:rPr/>
              <w:t>  </w:t>
            </w:r>
          </w:p>
        </w:tc>
        <w:tc>
          <w:tcPr>
            <w:tcW w:w="8408" w:type="dxa"/>
            <w:tcBorders/>
          </w:tcPr>
          <w:p>
            <w:pPr>
              <w:pStyle w:val="TableContents"/>
              <w:bidi w:val="0"/>
              <w:spacing w:before="0" w:after="283"/>
              <w:jc w:val="left"/>
              <w:rPr/>
            </w:pPr>
            <w:r>
              <w:fldChar w:fldCharType="begin"/>
            </w:r>
            <w:r>
              <w:rPr>
                <w:rStyle w:val="InternetLink"/>
              </w:rPr>
              <w:instrText xml:space="preserve"> HYPERLINK "http://www.sec.gov/Archives/edgar/data/1762303/000119312523101939/d459465ddef14a.htm" \l "toc459465_35"</w:instrText>
            </w:r>
            <w:r>
              <w:rPr>
                <w:rStyle w:val="InternetLink"/>
              </w:rPr>
              <w:fldChar w:fldCharType="separate"/>
            </w:r>
            <w:r>
              <w:rPr>
                <w:rStyle w:val="InternetLink"/>
              </w:rPr>
              <w:t>Amendment No.  1 to the Registrants 2020 Omnibus Incentive Plan (previously filed as Annexure A to the Registrants Definitive Proxy Statement filed with the Commission on April 14, 2023, which is incorporated herein by reference)</w:t>
            </w:r>
            <w:r>
              <w:rPr>
                <w:rStyle w:val="InternetLink"/>
              </w:rPr>
              <w:fldChar w:fldCharType="end"/>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77"/>
        <w:gridCol w:w="613"/>
        <w:gridCol w:w="9015"/>
      </w:tblGrid>
      <w:tr>
        <w:trPr/>
        <w:tc>
          <w:tcPr>
            <w:tcW w:w="577" w:type="dxa"/>
            <w:tcBorders/>
            <w:vAlign w:val="center"/>
          </w:tcPr>
          <w:p>
            <w:pPr>
              <w:pStyle w:val="TableContents"/>
              <w:bidi w:val="0"/>
              <w:spacing w:before="0" w:after="283"/>
              <w:jc w:val="left"/>
              <w:rPr>
                <w:sz w:val="4"/>
                <w:szCs w:val="4"/>
              </w:rPr>
            </w:pPr>
            <w:r>
              <w:rPr>
                <w:sz w:val="4"/>
                <w:szCs w:val="4"/>
              </w:rPr>
            </w:r>
          </w:p>
        </w:tc>
        <w:tc>
          <w:tcPr>
            <w:tcW w:w="613" w:type="dxa"/>
            <w:tcBorders/>
            <w:vAlign w:val="bottom"/>
          </w:tcPr>
          <w:p>
            <w:pPr>
              <w:pStyle w:val="TableContents"/>
              <w:bidi w:val="0"/>
              <w:spacing w:before="0" w:after="283"/>
              <w:jc w:val="left"/>
              <w:rPr>
                <w:sz w:val="4"/>
                <w:szCs w:val="4"/>
              </w:rPr>
            </w:pPr>
            <w:r>
              <w:rPr>
                <w:sz w:val="4"/>
                <w:szCs w:val="4"/>
              </w:rPr>
            </w:r>
          </w:p>
        </w:tc>
        <w:tc>
          <w:tcPr>
            <w:tcW w:w="901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77" w:type="dxa"/>
            <w:tcBorders/>
            <w:vAlign w:val="center"/>
          </w:tcPr>
          <w:p>
            <w:pPr>
              <w:pStyle w:val="TableContents"/>
              <w:bidi w:val="0"/>
              <w:spacing w:before="0" w:after="283"/>
              <w:jc w:val="left"/>
              <w:rPr>
                <w:sz w:val="4"/>
                <w:szCs w:val="4"/>
              </w:rPr>
            </w:pPr>
            <w:r>
              <w:rPr>
                <w:sz w:val="4"/>
                <w:szCs w:val="4"/>
              </w:rPr>
            </w:r>
          </w:p>
        </w:tc>
        <w:tc>
          <w:tcPr>
            <w:tcW w:w="9628"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    </w:t>
            </w:r>
            <w:r>
              <w:rPr>
                <w:b/>
              </w:rPr>
              <w:t>4.3</w:t>
            </w:r>
          </w:p>
        </w:tc>
        <w:tc>
          <w:tcPr>
            <w:tcW w:w="613" w:type="dxa"/>
            <w:tcBorders/>
            <w:vAlign w:val="bottom"/>
          </w:tcPr>
          <w:p>
            <w:pPr>
              <w:pStyle w:val="TableContents"/>
              <w:bidi w:val="0"/>
              <w:spacing w:before="0" w:after="283"/>
              <w:jc w:val="left"/>
              <w:rPr/>
            </w:pPr>
            <w:r>
              <w:rPr/>
              <w:t>  </w:t>
            </w:r>
          </w:p>
        </w:tc>
        <w:tc>
          <w:tcPr>
            <w:tcW w:w="9015" w:type="dxa"/>
            <w:tcBorders/>
          </w:tcPr>
          <w:p>
            <w:pPr>
              <w:pStyle w:val="TableContents"/>
              <w:bidi w:val="0"/>
              <w:spacing w:before="0" w:after="283"/>
              <w:jc w:val="left"/>
              <w:rPr/>
            </w:pPr>
            <w:r>
              <w:fldChar w:fldCharType="begin"/>
            </w:r>
            <w:r>
              <w:rPr>
                <w:rStyle w:val="InternetLink"/>
              </w:rPr>
              <w:instrText xml:space="preserve"> HYPERLINK "http://www.sec.gov/Archives/edgar/data/1762303/000119312523101939/d459465ddef14a.htm" \l "toc459465_36"</w:instrText>
            </w:r>
            <w:r>
              <w:rPr>
                <w:rStyle w:val="InternetLink"/>
              </w:rPr>
              <w:fldChar w:fldCharType="separate"/>
            </w:r>
            <w:r>
              <w:rPr>
                <w:rStyle w:val="InternetLink"/>
              </w:rPr>
              <w:t>AVITA Medical, Inc. Employee Stock Purchase Plan (previously filed as Annexure B to the Registrants Definitive Proxy Statement filed with the Commission on April 14, 2023, which is incorporated herein by reference)</w:t>
            </w:r>
            <w:r>
              <w:rPr>
                <w:rStyle w:val="InternetLink"/>
              </w:rPr>
              <w:fldChar w:fldCharType="end"/>
            </w:r>
          </w:p>
        </w:tc>
      </w:tr>
      <w:tr>
        <w:trPr>
          <w:trHeight w:val="120" w:hRule="atLeast"/>
        </w:trPr>
        <w:tc>
          <w:tcPr>
            <w:tcW w:w="577" w:type="dxa"/>
            <w:tcBorders/>
            <w:vAlign w:val="center"/>
          </w:tcPr>
          <w:p>
            <w:pPr>
              <w:pStyle w:val="TableContents"/>
              <w:bidi w:val="0"/>
              <w:spacing w:before="0" w:after="283"/>
              <w:jc w:val="left"/>
              <w:rPr>
                <w:sz w:val="4"/>
                <w:szCs w:val="4"/>
              </w:rPr>
            </w:pPr>
            <w:r>
              <w:rPr>
                <w:sz w:val="4"/>
                <w:szCs w:val="4"/>
              </w:rPr>
            </w:r>
          </w:p>
        </w:tc>
        <w:tc>
          <w:tcPr>
            <w:tcW w:w="9628"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    </w:t>
            </w:r>
            <w:r>
              <w:rPr>
                <w:b/>
              </w:rPr>
              <w:t>4.4</w:t>
            </w:r>
          </w:p>
        </w:tc>
        <w:tc>
          <w:tcPr>
            <w:tcW w:w="613" w:type="dxa"/>
            <w:tcBorders/>
            <w:vAlign w:val="bottom"/>
          </w:tcPr>
          <w:p>
            <w:pPr>
              <w:pStyle w:val="TableContents"/>
              <w:bidi w:val="0"/>
              <w:spacing w:before="0" w:after="283"/>
              <w:jc w:val="left"/>
              <w:rPr/>
            </w:pPr>
            <w:r>
              <w:rPr/>
              <w:t>  </w:t>
            </w:r>
          </w:p>
        </w:tc>
        <w:tc>
          <w:tcPr>
            <w:tcW w:w="9015" w:type="dxa"/>
            <w:tcBorders/>
          </w:tcPr>
          <w:p>
            <w:pPr>
              <w:pStyle w:val="TableContents"/>
              <w:bidi w:val="0"/>
              <w:spacing w:before="0" w:after="283"/>
              <w:jc w:val="left"/>
              <w:rPr/>
            </w:pPr>
            <w:hyperlink r:id="rId13">
              <w:r>
                <w:rPr>
                  <w:rStyle w:val="InternetLink"/>
                </w:rPr>
                <w:t>Form of Stock Option Grant (previously filed as Exhibit 10.19 to the Registrants Annual Report on Form 10-K filed with the Commission on February 23, 2023, which is incorporated herein by reference)</w:t>
              </w:r>
            </w:hyperlink>
          </w:p>
        </w:tc>
      </w:tr>
      <w:tr>
        <w:trPr>
          <w:trHeight w:val="120" w:hRule="atLeast"/>
        </w:trPr>
        <w:tc>
          <w:tcPr>
            <w:tcW w:w="577" w:type="dxa"/>
            <w:tcBorders/>
            <w:vAlign w:val="center"/>
          </w:tcPr>
          <w:p>
            <w:pPr>
              <w:pStyle w:val="TableContents"/>
              <w:bidi w:val="0"/>
              <w:spacing w:before="0" w:after="283"/>
              <w:jc w:val="left"/>
              <w:rPr>
                <w:sz w:val="4"/>
                <w:szCs w:val="4"/>
              </w:rPr>
            </w:pPr>
            <w:r>
              <w:rPr>
                <w:sz w:val="4"/>
                <w:szCs w:val="4"/>
              </w:rPr>
            </w:r>
          </w:p>
        </w:tc>
        <w:tc>
          <w:tcPr>
            <w:tcW w:w="9628"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    </w:t>
            </w:r>
            <w:r>
              <w:rPr>
                <w:b/>
              </w:rPr>
              <w:t>5.1</w:t>
            </w:r>
          </w:p>
        </w:tc>
        <w:tc>
          <w:tcPr>
            <w:tcW w:w="613" w:type="dxa"/>
            <w:tcBorders/>
            <w:vAlign w:val="bottom"/>
          </w:tcPr>
          <w:p>
            <w:pPr>
              <w:pStyle w:val="TableContents"/>
              <w:bidi w:val="0"/>
              <w:spacing w:before="0" w:after="283"/>
              <w:jc w:val="left"/>
              <w:rPr/>
            </w:pPr>
            <w:r>
              <w:rPr/>
              <w:t>  </w:t>
            </w:r>
          </w:p>
        </w:tc>
        <w:tc>
          <w:tcPr>
            <w:tcW w:w="9015" w:type="dxa"/>
            <w:tcBorders/>
          </w:tcPr>
          <w:p>
            <w:pPr>
              <w:pStyle w:val="TableContents"/>
              <w:bidi w:val="0"/>
              <w:spacing w:before="0" w:after="283"/>
              <w:jc w:val="left"/>
              <w:rPr/>
            </w:pPr>
            <w:hyperlink w:anchor="d522875dex51.htm">
              <w:r>
                <w:rPr>
                  <w:rStyle w:val="InternetLink"/>
                </w:rPr>
                <w:t xml:space="preserve">Opinion of K&amp;L Gates LLP* </w:t>
              </w:r>
            </w:hyperlink>
          </w:p>
        </w:tc>
      </w:tr>
      <w:tr>
        <w:trPr>
          <w:trHeight w:val="120" w:hRule="atLeast"/>
        </w:trPr>
        <w:tc>
          <w:tcPr>
            <w:tcW w:w="577" w:type="dxa"/>
            <w:tcBorders/>
            <w:vAlign w:val="center"/>
          </w:tcPr>
          <w:p>
            <w:pPr>
              <w:pStyle w:val="TableContents"/>
              <w:bidi w:val="0"/>
              <w:spacing w:before="0" w:after="283"/>
              <w:jc w:val="left"/>
              <w:rPr>
                <w:sz w:val="4"/>
                <w:szCs w:val="4"/>
              </w:rPr>
            </w:pPr>
            <w:r>
              <w:rPr>
                <w:sz w:val="4"/>
                <w:szCs w:val="4"/>
              </w:rPr>
            </w:r>
          </w:p>
        </w:tc>
        <w:tc>
          <w:tcPr>
            <w:tcW w:w="9628"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  </w:t>
            </w:r>
            <w:r>
              <w:rPr>
                <w:b/>
              </w:rPr>
              <w:t>23.1</w:t>
            </w:r>
          </w:p>
        </w:tc>
        <w:tc>
          <w:tcPr>
            <w:tcW w:w="613" w:type="dxa"/>
            <w:tcBorders/>
            <w:vAlign w:val="bottom"/>
          </w:tcPr>
          <w:p>
            <w:pPr>
              <w:pStyle w:val="TableContents"/>
              <w:bidi w:val="0"/>
              <w:spacing w:before="0" w:after="283"/>
              <w:jc w:val="left"/>
              <w:rPr/>
            </w:pPr>
            <w:r>
              <w:rPr/>
              <w:t>  </w:t>
            </w:r>
          </w:p>
        </w:tc>
        <w:tc>
          <w:tcPr>
            <w:tcW w:w="9015" w:type="dxa"/>
            <w:tcBorders/>
          </w:tcPr>
          <w:p>
            <w:pPr>
              <w:pStyle w:val="TableContents"/>
              <w:bidi w:val="0"/>
              <w:spacing w:before="0" w:after="283"/>
              <w:jc w:val="left"/>
              <w:rPr/>
            </w:pPr>
            <w:hyperlink w:anchor="d522875dex231.htm">
              <w:r>
                <w:rPr>
                  <w:rStyle w:val="InternetLink"/>
                </w:rPr>
                <w:t xml:space="preserve">Consent of Grant Thornton LLP* </w:t>
              </w:r>
            </w:hyperlink>
          </w:p>
        </w:tc>
      </w:tr>
      <w:tr>
        <w:trPr>
          <w:trHeight w:val="120" w:hRule="atLeast"/>
        </w:trPr>
        <w:tc>
          <w:tcPr>
            <w:tcW w:w="577" w:type="dxa"/>
            <w:tcBorders/>
            <w:vAlign w:val="center"/>
          </w:tcPr>
          <w:p>
            <w:pPr>
              <w:pStyle w:val="TableContents"/>
              <w:bidi w:val="0"/>
              <w:spacing w:before="0" w:after="283"/>
              <w:jc w:val="left"/>
              <w:rPr>
                <w:sz w:val="4"/>
                <w:szCs w:val="4"/>
              </w:rPr>
            </w:pPr>
            <w:r>
              <w:rPr>
                <w:sz w:val="4"/>
                <w:szCs w:val="4"/>
              </w:rPr>
            </w:r>
          </w:p>
        </w:tc>
        <w:tc>
          <w:tcPr>
            <w:tcW w:w="9628"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  </w:t>
            </w:r>
            <w:r>
              <w:rPr>
                <w:b/>
              </w:rPr>
              <w:t>23.2</w:t>
            </w:r>
          </w:p>
        </w:tc>
        <w:tc>
          <w:tcPr>
            <w:tcW w:w="613" w:type="dxa"/>
            <w:tcBorders/>
            <w:vAlign w:val="bottom"/>
          </w:tcPr>
          <w:p>
            <w:pPr>
              <w:pStyle w:val="TableContents"/>
              <w:bidi w:val="0"/>
              <w:spacing w:before="0" w:after="283"/>
              <w:jc w:val="left"/>
              <w:rPr/>
            </w:pPr>
            <w:r>
              <w:rPr/>
              <w:t>  </w:t>
            </w:r>
          </w:p>
        </w:tc>
        <w:tc>
          <w:tcPr>
            <w:tcW w:w="9015" w:type="dxa"/>
            <w:tcBorders/>
          </w:tcPr>
          <w:p>
            <w:pPr>
              <w:pStyle w:val="TableContents"/>
              <w:bidi w:val="0"/>
              <w:spacing w:before="0" w:after="283"/>
              <w:jc w:val="left"/>
              <w:rPr/>
            </w:pPr>
            <w:hyperlink w:anchor="d522875dex51.htm">
              <w:r>
                <w:rPr>
                  <w:rStyle w:val="InternetLink"/>
                </w:rPr>
                <w:t xml:space="preserve">Consent of K&amp;L Gates LLP (included in Exhibit 5.1)* </w:t>
              </w:r>
            </w:hyperlink>
          </w:p>
        </w:tc>
      </w:tr>
      <w:tr>
        <w:trPr>
          <w:trHeight w:val="120" w:hRule="atLeast"/>
        </w:trPr>
        <w:tc>
          <w:tcPr>
            <w:tcW w:w="577" w:type="dxa"/>
            <w:tcBorders/>
            <w:vAlign w:val="center"/>
          </w:tcPr>
          <w:p>
            <w:pPr>
              <w:pStyle w:val="TableContents"/>
              <w:bidi w:val="0"/>
              <w:spacing w:before="0" w:after="283"/>
              <w:jc w:val="left"/>
              <w:rPr>
                <w:sz w:val="4"/>
                <w:szCs w:val="4"/>
              </w:rPr>
            </w:pPr>
            <w:r>
              <w:rPr>
                <w:sz w:val="4"/>
                <w:szCs w:val="4"/>
              </w:rPr>
            </w:r>
          </w:p>
        </w:tc>
        <w:tc>
          <w:tcPr>
            <w:tcW w:w="9628"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  </w:t>
            </w:r>
            <w:r>
              <w:rPr>
                <w:b/>
              </w:rPr>
              <w:t>24.1</w:t>
            </w:r>
          </w:p>
        </w:tc>
        <w:tc>
          <w:tcPr>
            <w:tcW w:w="613" w:type="dxa"/>
            <w:tcBorders/>
            <w:vAlign w:val="bottom"/>
          </w:tcPr>
          <w:p>
            <w:pPr>
              <w:pStyle w:val="TableContents"/>
              <w:bidi w:val="0"/>
              <w:spacing w:before="0" w:after="283"/>
              <w:jc w:val="left"/>
              <w:rPr/>
            </w:pPr>
            <w:r>
              <w:rPr/>
              <w:t>  </w:t>
            </w:r>
          </w:p>
        </w:tc>
        <w:tc>
          <w:tcPr>
            <w:tcW w:w="9015" w:type="dxa"/>
            <w:tcBorders/>
          </w:tcPr>
          <w:p>
            <w:pPr>
              <w:pStyle w:val="TableContents"/>
              <w:bidi w:val="0"/>
              <w:spacing w:before="0" w:after="283"/>
              <w:jc w:val="left"/>
              <w:rPr/>
            </w:pPr>
            <w:hyperlink w:anchor="sig">
              <w:r>
                <w:rPr>
                  <w:rStyle w:val="InternetLink"/>
                </w:rPr>
                <w:t xml:space="preserve">Power of Attorney (see Signature Page) </w:t>
              </w:r>
            </w:hyperlink>
          </w:p>
        </w:tc>
      </w:tr>
      <w:tr>
        <w:trPr>
          <w:trHeight w:val="120" w:hRule="atLeast"/>
        </w:trPr>
        <w:tc>
          <w:tcPr>
            <w:tcW w:w="577" w:type="dxa"/>
            <w:tcBorders/>
            <w:vAlign w:val="center"/>
          </w:tcPr>
          <w:p>
            <w:pPr>
              <w:pStyle w:val="TableContents"/>
              <w:bidi w:val="0"/>
              <w:spacing w:before="0" w:after="283"/>
              <w:jc w:val="left"/>
              <w:rPr>
                <w:sz w:val="4"/>
                <w:szCs w:val="4"/>
              </w:rPr>
            </w:pPr>
            <w:r>
              <w:rPr>
                <w:sz w:val="4"/>
                <w:szCs w:val="4"/>
              </w:rPr>
            </w:r>
          </w:p>
        </w:tc>
        <w:tc>
          <w:tcPr>
            <w:tcW w:w="9628"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b/>
              </w:rPr>
            </w:pPr>
            <w:r>
              <w:rPr>
                <w:b/>
              </w:rPr>
              <w:t>107.1</w:t>
            </w:r>
          </w:p>
        </w:tc>
        <w:tc>
          <w:tcPr>
            <w:tcW w:w="613" w:type="dxa"/>
            <w:tcBorders/>
            <w:vAlign w:val="bottom"/>
          </w:tcPr>
          <w:p>
            <w:pPr>
              <w:pStyle w:val="TableContents"/>
              <w:bidi w:val="0"/>
              <w:spacing w:before="0" w:after="283"/>
              <w:jc w:val="left"/>
              <w:rPr/>
            </w:pPr>
            <w:r>
              <w:rPr/>
              <w:t>  </w:t>
            </w:r>
          </w:p>
        </w:tc>
        <w:tc>
          <w:tcPr>
            <w:tcW w:w="9015" w:type="dxa"/>
            <w:tcBorders/>
          </w:tcPr>
          <w:p>
            <w:pPr>
              <w:pStyle w:val="TableContents"/>
              <w:bidi w:val="0"/>
              <w:spacing w:before="0" w:after="283"/>
              <w:jc w:val="left"/>
              <w:rPr/>
            </w:pPr>
            <w:hyperlink w:anchor="d522875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9.</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this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Valencia, California, on June 30,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AVITA MEDICAL,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James Corbett</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James Corbett</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Chief Executive Officer and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hereby constitutes and appoints James Corbett and Donna Shiroma, and each of them severally, his or her true and lawful attorney-in-fact with power of substitution and resubstitution to sign in his or her name, place and stead in any and all capacities the Registration Statement and any and all amendments thereto (including post-effective amendments) and any documents in connection therewith, and to file the same with the Securities and Exchange Commission, granting unto each of said attorneys full power to act with or without the other, and full power and authority to do and perform, in his or her name and on his or her behalf, every act whatsoever which such attorneys, or any one of them, may deem necessary or desirable to be done in connection therewith as fully and to all intents and purposes as he or she might or could do in person, hereby ratifying and confirming all that said attorney-in-fact, or any of them,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indicated on June 30,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7"/>
        <w:gridCol w:w="123"/>
        <w:gridCol w:w="4905"/>
      </w:tblGrid>
      <w:tr>
        <w:trPr/>
        <w:tc>
          <w:tcPr>
            <w:tcW w:w="517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05" w:type="dxa"/>
            <w:tcBorders/>
            <w:vAlign w:val="center"/>
          </w:tcPr>
          <w:p>
            <w:pPr>
              <w:pStyle w:val="TableContents"/>
              <w:bidi w:val="0"/>
              <w:spacing w:before="0" w:after="283"/>
              <w:jc w:val="left"/>
              <w:rPr>
                <w:sz w:val="4"/>
                <w:szCs w:val="4"/>
              </w:rPr>
            </w:pPr>
            <w:r>
              <w:rPr>
                <w:sz w:val="4"/>
                <w:szCs w:val="4"/>
              </w:rPr>
            </w:r>
          </w:p>
        </w:tc>
      </w:tr>
      <w:tr>
        <w:trPr/>
        <w:tc>
          <w:tcPr>
            <w:tcW w:w="517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Corbett</w:t>
            </w:r>
          </w:p>
          <w:p>
            <w:pPr>
              <w:pStyle w:val="TableContents"/>
              <w:bidi w:val="0"/>
              <w:spacing w:before="0" w:after="20"/>
              <w:jc w:val="left"/>
              <w:rPr>
                <w:rFonts w:ascii="Times New Roman" w:hAnsi="Times New Roman"/>
                <w:sz w:val="20"/>
              </w:rPr>
            </w:pPr>
            <w:r>
              <w:rPr>
                <w:rFonts w:ascii="Times New Roman" w:hAnsi="Times New Roman"/>
                <w:sz w:val="20"/>
              </w:rPr>
              <w:t>James Corbett</w:t>
            </w:r>
          </w:p>
        </w:tc>
        <w:tc>
          <w:tcPr>
            <w:tcW w:w="123"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rHeight w:val="240" w:hRule="atLeast"/>
        </w:trPr>
        <w:tc>
          <w:tcPr>
            <w:tcW w:w="5177" w:type="dxa"/>
            <w:tcBorders/>
            <w:vAlign w:val="center"/>
          </w:tcPr>
          <w:p>
            <w:pPr>
              <w:pStyle w:val="TableContents"/>
              <w:bidi w:val="0"/>
              <w:spacing w:before="0" w:after="283"/>
              <w:jc w:val="left"/>
              <w:rPr>
                <w:sz w:val="4"/>
                <w:szCs w:val="4"/>
              </w:rPr>
            </w:pPr>
            <w:r>
              <w:rPr>
                <w:sz w:val="4"/>
                <w:szCs w:val="4"/>
              </w:rPr>
            </w:r>
          </w:p>
        </w:tc>
        <w:tc>
          <w:tcPr>
            <w:tcW w:w="5028" w:type="dxa"/>
            <w:gridSpan w:val="2"/>
            <w:tcBorders/>
            <w:vAlign w:val="center"/>
          </w:tcPr>
          <w:p>
            <w:pPr>
              <w:pStyle w:val="TableContents"/>
              <w:bidi w:val="0"/>
              <w:spacing w:before="0" w:after="283"/>
              <w:jc w:val="left"/>
              <w:rPr>
                <w:sz w:val="4"/>
                <w:szCs w:val="4"/>
              </w:rPr>
            </w:pPr>
            <w:r>
              <w:rPr>
                <w:sz w:val="4"/>
                <w:szCs w:val="4"/>
              </w:rPr>
            </w:r>
          </w:p>
        </w:tc>
      </w:tr>
      <w:tr>
        <w:trPr/>
        <w:tc>
          <w:tcPr>
            <w:tcW w:w="517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OToole</w:t>
            </w:r>
          </w:p>
          <w:p>
            <w:pPr>
              <w:pStyle w:val="TableContents"/>
              <w:bidi w:val="0"/>
              <w:spacing w:before="0" w:after="20"/>
              <w:jc w:val="left"/>
              <w:rPr>
                <w:rFonts w:ascii="Times New Roman" w:hAnsi="Times New Roman"/>
                <w:sz w:val="20"/>
              </w:rPr>
            </w:pPr>
            <w:r>
              <w:rPr>
                <w:rFonts w:ascii="Times New Roman" w:hAnsi="Times New Roman"/>
                <w:sz w:val="20"/>
              </w:rPr>
              <w:t>David OToole</w:t>
            </w:r>
          </w:p>
        </w:tc>
        <w:tc>
          <w:tcPr>
            <w:tcW w:w="123"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r>
        <w:trPr>
          <w:trHeight w:val="240" w:hRule="atLeast"/>
        </w:trPr>
        <w:tc>
          <w:tcPr>
            <w:tcW w:w="5177" w:type="dxa"/>
            <w:tcBorders/>
            <w:vAlign w:val="center"/>
          </w:tcPr>
          <w:p>
            <w:pPr>
              <w:pStyle w:val="TableContents"/>
              <w:bidi w:val="0"/>
              <w:spacing w:before="0" w:after="283"/>
              <w:jc w:val="left"/>
              <w:rPr>
                <w:sz w:val="4"/>
                <w:szCs w:val="4"/>
              </w:rPr>
            </w:pPr>
            <w:r>
              <w:rPr>
                <w:sz w:val="4"/>
                <w:szCs w:val="4"/>
              </w:rPr>
            </w:r>
          </w:p>
        </w:tc>
        <w:tc>
          <w:tcPr>
            <w:tcW w:w="5028" w:type="dxa"/>
            <w:gridSpan w:val="2"/>
            <w:tcBorders/>
            <w:vAlign w:val="center"/>
          </w:tcPr>
          <w:p>
            <w:pPr>
              <w:pStyle w:val="TableContents"/>
              <w:bidi w:val="0"/>
              <w:spacing w:before="0" w:after="283"/>
              <w:jc w:val="left"/>
              <w:rPr>
                <w:sz w:val="4"/>
                <w:szCs w:val="4"/>
              </w:rPr>
            </w:pPr>
            <w:r>
              <w:rPr>
                <w:sz w:val="4"/>
                <w:szCs w:val="4"/>
              </w:rPr>
            </w:r>
          </w:p>
        </w:tc>
      </w:tr>
      <w:tr>
        <w:trPr/>
        <w:tc>
          <w:tcPr>
            <w:tcW w:w="517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Lou Panaccio</w:t>
            </w:r>
          </w:p>
          <w:p>
            <w:pPr>
              <w:pStyle w:val="TableContents"/>
              <w:bidi w:val="0"/>
              <w:spacing w:before="0" w:after="20"/>
              <w:jc w:val="left"/>
              <w:rPr>
                <w:rFonts w:ascii="Times New Roman" w:hAnsi="Times New Roman"/>
                <w:sz w:val="20"/>
              </w:rPr>
            </w:pPr>
            <w:r>
              <w:rPr>
                <w:rFonts w:ascii="Times New Roman" w:hAnsi="Times New Roman"/>
                <w:sz w:val="20"/>
              </w:rPr>
              <w:t>Lou Panaccio</w:t>
            </w:r>
          </w:p>
        </w:tc>
        <w:tc>
          <w:tcPr>
            <w:tcW w:w="123"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Director</w:t>
            </w:r>
          </w:p>
        </w:tc>
      </w:tr>
      <w:tr>
        <w:trPr>
          <w:trHeight w:val="240" w:hRule="atLeast"/>
        </w:trPr>
        <w:tc>
          <w:tcPr>
            <w:tcW w:w="5177" w:type="dxa"/>
            <w:tcBorders/>
            <w:vAlign w:val="center"/>
          </w:tcPr>
          <w:p>
            <w:pPr>
              <w:pStyle w:val="TableContents"/>
              <w:bidi w:val="0"/>
              <w:spacing w:before="0" w:after="283"/>
              <w:jc w:val="left"/>
              <w:rPr>
                <w:sz w:val="4"/>
                <w:szCs w:val="4"/>
              </w:rPr>
            </w:pPr>
            <w:r>
              <w:rPr>
                <w:sz w:val="4"/>
                <w:szCs w:val="4"/>
              </w:rPr>
            </w:r>
          </w:p>
        </w:tc>
        <w:tc>
          <w:tcPr>
            <w:tcW w:w="5028" w:type="dxa"/>
            <w:gridSpan w:val="2"/>
            <w:tcBorders/>
            <w:vAlign w:val="center"/>
          </w:tcPr>
          <w:p>
            <w:pPr>
              <w:pStyle w:val="TableContents"/>
              <w:bidi w:val="0"/>
              <w:spacing w:before="0" w:after="283"/>
              <w:jc w:val="left"/>
              <w:rPr>
                <w:sz w:val="4"/>
                <w:szCs w:val="4"/>
              </w:rPr>
            </w:pPr>
            <w:r>
              <w:rPr>
                <w:sz w:val="4"/>
                <w:szCs w:val="4"/>
              </w:rPr>
            </w:r>
          </w:p>
        </w:tc>
      </w:tr>
      <w:tr>
        <w:trPr/>
        <w:tc>
          <w:tcPr>
            <w:tcW w:w="517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Jeremy Curnock Cook</w:t>
            </w:r>
          </w:p>
          <w:p>
            <w:pPr>
              <w:pStyle w:val="TableContents"/>
              <w:bidi w:val="0"/>
              <w:spacing w:before="0" w:after="20"/>
              <w:jc w:val="left"/>
              <w:rPr>
                <w:rFonts w:ascii="Times New Roman" w:hAnsi="Times New Roman"/>
                <w:sz w:val="20"/>
              </w:rPr>
            </w:pPr>
            <w:r>
              <w:rPr>
                <w:rFonts w:ascii="Times New Roman" w:hAnsi="Times New Roman"/>
                <w:sz w:val="20"/>
              </w:rPr>
              <w:t>Jeremy Curnock Cook</w:t>
            </w:r>
          </w:p>
        </w:tc>
        <w:tc>
          <w:tcPr>
            <w:tcW w:w="123"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Director</w:t>
            </w:r>
          </w:p>
        </w:tc>
      </w:tr>
      <w:tr>
        <w:trPr>
          <w:trHeight w:val="240" w:hRule="atLeast"/>
        </w:trPr>
        <w:tc>
          <w:tcPr>
            <w:tcW w:w="5177" w:type="dxa"/>
            <w:tcBorders/>
            <w:vAlign w:val="center"/>
          </w:tcPr>
          <w:p>
            <w:pPr>
              <w:pStyle w:val="TableContents"/>
              <w:bidi w:val="0"/>
              <w:spacing w:before="0" w:after="283"/>
              <w:jc w:val="left"/>
              <w:rPr>
                <w:sz w:val="4"/>
                <w:szCs w:val="4"/>
              </w:rPr>
            </w:pPr>
            <w:r>
              <w:rPr>
                <w:sz w:val="4"/>
                <w:szCs w:val="4"/>
              </w:rPr>
            </w:r>
          </w:p>
        </w:tc>
        <w:tc>
          <w:tcPr>
            <w:tcW w:w="5028" w:type="dxa"/>
            <w:gridSpan w:val="2"/>
            <w:tcBorders/>
            <w:vAlign w:val="center"/>
          </w:tcPr>
          <w:p>
            <w:pPr>
              <w:pStyle w:val="TableContents"/>
              <w:bidi w:val="0"/>
              <w:spacing w:before="0" w:after="283"/>
              <w:jc w:val="left"/>
              <w:rPr>
                <w:sz w:val="4"/>
                <w:szCs w:val="4"/>
              </w:rPr>
            </w:pPr>
            <w:r>
              <w:rPr>
                <w:sz w:val="4"/>
                <w:szCs w:val="4"/>
              </w:rPr>
            </w:r>
          </w:p>
        </w:tc>
      </w:tr>
      <w:tr>
        <w:trPr/>
        <w:tc>
          <w:tcPr>
            <w:tcW w:w="517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Jan Reed Stern</w:t>
            </w:r>
          </w:p>
          <w:p>
            <w:pPr>
              <w:pStyle w:val="TableContents"/>
              <w:bidi w:val="0"/>
              <w:spacing w:before="0" w:after="20"/>
              <w:jc w:val="left"/>
              <w:rPr>
                <w:rFonts w:ascii="Times New Roman" w:hAnsi="Times New Roman"/>
                <w:sz w:val="20"/>
              </w:rPr>
            </w:pPr>
            <w:r>
              <w:rPr>
                <w:rFonts w:ascii="Times New Roman" w:hAnsi="Times New Roman"/>
                <w:sz w:val="20"/>
              </w:rPr>
              <w:t>Jan Reed Stern</w:t>
            </w:r>
          </w:p>
        </w:tc>
        <w:tc>
          <w:tcPr>
            <w:tcW w:w="123"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Director</w:t>
            </w:r>
          </w:p>
        </w:tc>
      </w:tr>
      <w:tr>
        <w:trPr>
          <w:trHeight w:val="240" w:hRule="atLeast"/>
        </w:trPr>
        <w:tc>
          <w:tcPr>
            <w:tcW w:w="5177" w:type="dxa"/>
            <w:tcBorders/>
            <w:vAlign w:val="center"/>
          </w:tcPr>
          <w:p>
            <w:pPr>
              <w:pStyle w:val="TableContents"/>
              <w:bidi w:val="0"/>
              <w:spacing w:before="0" w:after="283"/>
              <w:jc w:val="left"/>
              <w:rPr>
                <w:sz w:val="4"/>
                <w:szCs w:val="4"/>
              </w:rPr>
            </w:pPr>
            <w:r>
              <w:rPr>
                <w:sz w:val="4"/>
                <w:szCs w:val="4"/>
              </w:rPr>
            </w:r>
          </w:p>
        </w:tc>
        <w:tc>
          <w:tcPr>
            <w:tcW w:w="5028" w:type="dxa"/>
            <w:gridSpan w:val="2"/>
            <w:tcBorders/>
            <w:vAlign w:val="center"/>
          </w:tcPr>
          <w:p>
            <w:pPr>
              <w:pStyle w:val="TableContents"/>
              <w:bidi w:val="0"/>
              <w:spacing w:before="0" w:after="283"/>
              <w:jc w:val="left"/>
              <w:rPr>
                <w:sz w:val="4"/>
                <w:szCs w:val="4"/>
              </w:rPr>
            </w:pPr>
            <w:r>
              <w:rPr>
                <w:sz w:val="4"/>
                <w:szCs w:val="4"/>
              </w:rPr>
            </w:r>
          </w:p>
        </w:tc>
      </w:tr>
      <w:tr>
        <w:trPr/>
        <w:tc>
          <w:tcPr>
            <w:tcW w:w="517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Suzanne Crowe</w:t>
            </w:r>
          </w:p>
          <w:p>
            <w:pPr>
              <w:pStyle w:val="TableContents"/>
              <w:bidi w:val="0"/>
              <w:spacing w:before="0" w:after="20"/>
              <w:jc w:val="left"/>
              <w:rPr>
                <w:rFonts w:ascii="Times New Roman" w:hAnsi="Times New Roman"/>
                <w:sz w:val="20"/>
              </w:rPr>
            </w:pPr>
            <w:r>
              <w:rPr>
                <w:rFonts w:ascii="Times New Roman" w:hAnsi="Times New Roman"/>
                <w:sz w:val="20"/>
              </w:rPr>
              <w:t>Suzanne Crowe</w:t>
            </w:r>
          </w:p>
        </w:tc>
        <w:tc>
          <w:tcPr>
            <w:tcW w:w="123"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Director</w:t>
            </w:r>
          </w:p>
        </w:tc>
      </w:tr>
      <w:tr>
        <w:trPr>
          <w:trHeight w:val="240" w:hRule="atLeast"/>
        </w:trPr>
        <w:tc>
          <w:tcPr>
            <w:tcW w:w="5177" w:type="dxa"/>
            <w:tcBorders/>
            <w:vAlign w:val="center"/>
          </w:tcPr>
          <w:p>
            <w:pPr>
              <w:pStyle w:val="TableContents"/>
              <w:bidi w:val="0"/>
              <w:spacing w:before="0" w:after="283"/>
              <w:jc w:val="left"/>
              <w:rPr>
                <w:sz w:val="4"/>
                <w:szCs w:val="4"/>
              </w:rPr>
            </w:pPr>
            <w:r>
              <w:rPr>
                <w:sz w:val="4"/>
                <w:szCs w:val="4"/>
              </w:rPr>
            </w:r>
          </w:p>
        </w:tc>
        <w:tc>
          <w:tcPr>
            <w:tcW w:w="5028" w:type="dxa"/>
            <w:gridSpan w:val="2"/>
            <w:tcBorders/>
            <w:vAlign w:val="center"/>
          </w:tcPr>
          <w:p>
            <w:pPr>
              <w:pStyle w:val="TableContents"/>
              <w:bidi w:val="0"/>
              <w:spacing w:before="0" w:after="283"/>
              <w:jc w:val="left"/>
              <w:rPr>
                <w:sz w:val="4"/>
                <w:szCs w:val="4"/>
              </w:rPr>
            </w:pPr>
            <w:r>
              <w:rPr>
                <w:sz w:val="4"/>
                <w:szCs w:val="4"/>
              </w:rPr>
            </w:r>
          </w:p>
        </w:tc>
      </w:tr>
      <w:tr>
        <w:trPr/>
        <w:tc>
          <w:tcPr>
            <w:tcW w:w="517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McNamara</w:t>
            </w:r>
          </w:p>
          <w:p>
            <w:pPr>
              <w:pStyle w:val="TableContents"/>
              <w:bidi w:val="0"/>
              <w:spacing w:before="0" w:after="20"/>
              <w:jc w:val="left"/>
              <w:rPr>
                <w:rFonts w:ascii="Times New Roman" w:hAnsi="Times New Roman"/>
                <w:sz w:val="20"/>
              </w:rPr>
            </w:pPr>
            <w:r>
              <w:rPr>
                <w:rFonts w:ascii="Times New Roman" w:hAnsi="Times New Roman"/>
                <w:sz w:val="20"/>
              </w:rPr>
              <w:t>Robert McNamara</w:t>
            </w:r>
          </w:p>
        </w:tc>
        <w:tc>
          <w:tcPr>
            <w:tcW w:w="123"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Director</w:t>
            </w:r>
          </w:p>
        </w:tc>
      </w:tr>
      <w:tr>
        <w:trPr>
          <w:trHeight w:val="240" w:hRule="atLeast"/>
        </w:trPr>
        <w:tc>
          <w:tcPr>
            <w:tcW w:w="5177" w:type="dxa"/>
            <w:tcBorders/>
            <w:vAlign w:val="center"/>
          </w:tcPr>
          <w:p>
            <w:pPr>
              <w:pStyle w:val="TableContents"/>
              <w:bidi w:val="0"/>
              <w:spacing w:before="0" w:after="283"/>
              <w:jc w:val="left"/>
              <w:rPr>
                <w:sz w:val="4"/>
                <w:szCs w:val="4"/>
              </w:rPr>
            </w:pPr>
            <w:r>
              <w:rPr>
                <w:sz w:val="4"/>
                <w:szCs w:val="4"/>
              </w:rPr>
            </w:r>
          </w:p>
        </w:tc>
        <w:tc>
          <w:tcPr>
            <w:tcW w:w="5028" w:type="dxa"/>
            <w:gridSpan w:val="2"/>
            <w:tcBorders/>
            <w:vAlign w:val="center"/>
          </w:tcPr>
          <w:p>
            <w:pPr>
              <w:pStyle w:val="TableContents"/>
              <w:bidi w:val="0"/>
              <w:spacing w:before="0" w:after="283"/>
              <w:jc w:val="left"/>
              <w:rPr>
                <w:sz w:val="4"/>
                <w:szCs w:val="4"/>
              </w:rPr>
            </w:pPr>
            <w:r>
              <w:rPr>
                <w:sz w:val="4"/>
                <w:szCs w:val="4"/>
              </w:rPr>
            </w:r>
          </w:p>
        </w:tc>
      </w:tr>
      <w:tr>
        <w:trPr/>
        <w:tc>
          <w:tcPr>
            <w:tcW w:w="517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Cary Vance</w:t>
            </w:r>
          </w:p>
          <w:p>
            <w:pPr>
              <w:pStyle w:val="TableContents"/>
              <w:bidi w:val="0"/>
              <w:spacing w:before="0" w:after="20"/>
              <w:jc w:val="left"/>
              <w:rPr>
                <w:rFonts w:ascii="Times New Roman" w:hAnsi="Times New Roman"/>
                <w:sz w:val="20"/>
              </w:rPr>
            </w:pPr>
            <w:r>
              <w:rPr>
                <w:rFonts w:ascii="Times New Roman" w:hAnsi="Times New Roman"/>
                <w:sz w:val="20"/>
              </w:rPr>
              <w:t>Cary Vance</w:t>
            </w:r>
          </w:p>
        </w:tc>
        <w:tc>
          <w:tcPr>
            <w:tcW w:w="123"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Director</w:t>
            </w:r>
          </w:p>
        </w:tc>
      </w:tr>
    </w:tbl>
    <w:p>
      <w:pPr>
        <w:pStyle w:val="TextBody"/>
        <w:bidi w:val="0"/>
        <w:spacing w:before="0" w:after="0"/>
        <w:jc w:val="right"/>
        <w:rPr>
          <w:rFonts w:ascii="Times New Roman" w:hAnsi="Times New Roman"/>
          <w:sz w:val="20"/>
        </w:rPr>
      </w:pPr>
      <w:bookmarkStart w:id="3" w:name="d522875dex51.htm"/>
      <w:bookmarkStart w:id="4" w:name="ksd522875dex51"/>
      <w:bookmarkEnd w:id="3"/>
      <w:bookmarkEnd w:id="4"/>
      <w:r>
        <w:rPr>
          <w:rFonts w:ascii="Times New Roman" w:hAnsi="Times New Roman"/>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428750" cy="1266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1428750" cy="12668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June 30, 2023 </w:t>
      </w:r>
    </w:p>
    <w:p>
      <w:pPr>
        <w:pStyle w:val="TextBody"/>
        <w:bidi w:val="0"/>
        <w:spacing w:before="240" w:after="0"/>
        <w:jc w:val="left"/>
        <w:rPr>
          <w:rFonts w:ascii="Times New Roman" w:hAnsi="Times New Roman"/>
          <w:sz w:val="20"/>
        </w:rPr>
      </w:pPr>
      <w:r>
        <w:rPr>
          <w:rFonts w:ascii="Times New Roman" w:hAnsi="Times New Roman"/>
          <w:sz w:val="20"/>
        </w:rPr>
        <w:t xml:space="preserve">AVITA MEDICAL, INC. </w:t>
      </w:r>
    </w:p>
    <w:p>
      <w:pPr>
        <w:pStyle w:val="TextBody"/>
        <w:bidi w:val="0"/>
        <w:spacing w:before="0" w:after="0"/>
        <w:jc w:val="left"/>
        <w:rPr>
          <w:rFonts w:ascii="Times New Roman" w:hAnsi="Times New Roman"/>
          <w:sz w:val="20"/>
        </w:rPr>
      </w:pPr>
      <w:r>
        <w:rPr>
          <w:rFonts w:ascii="Times New Roman" w:hAnsi="Times New Roman"/>
          <w:sz w:val="20"/>
        </w:rPr>
        <w:t xml:space="preserve">28159 Avenue Stanford, Suite 220 </w:t>
      </w:r>
    </w:p>
    <w:p>
      <w:pPr>
        <w:pStyle w:val="TextBody"/>
        <w:bidi w:val="0"/>
        <w:spacing w:before="0" w:after="0"/>
        <w:jc w:val="left"/>
        <w:rPr>
          <w:rFonts w:ascii="Times New Roman" w:hAnsi="Times New Roman"/>
          <w:sz w:val="20"/>
        </w:rPr>
      </w:pPr>
      <w:r>
        <w:rPr>
          <w:rFonts w:ascii="Times New Roman" w:hAnsi="Times New Roman"/>
          <w:sz w:val="20"/>
        </w:rPr>
        <w:t xml:space="preserve">Valencia, CA 91355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special counsel to AVITA Medical, Inc., a Delaware corporation (the Company), in connection with the Registration Statement on Form S-8 (the Registration Statement) to be filed by the Company on the date hereof with the Securities and Exchange Commission (the SEC) under the Securities Act of 1933, as amended (the Securities Act), and the rules and regulations promulgated thereunder, for the registration of 3,895,244 shares (the Shares) of the Companys common stock, par value $0.0001 per share (the Common Stock), (i) 2,500,000 of which are issuable pursuant to the Companys 2020 Omnibus Incentive Plan, as amended (the 2020 Plan); (ii) 1,000,000 of which are issuable pursuant to the Companys Employee Stock Purchase Plan (the Stock Purchase Plan and together with the 2020 Plan, the Plans); and (iii) an aggregate of 395,244 of which are issuable upon the exercise of stock options granted pursuant to individual stock option award agreements (the Option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accordance with the requirements of Item 601(b)(5)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rendering the opinion stated herein, we have examined (a) the Registration Statement; (b) the Plans; (c) the Companys Certificate of Incorporation, as amended through the date hereof; (d) the Companys Amended and Restated Bylaws; (e) resolutions adopted by, or minutes of meetings of, the board of directors of the Company (the Board) on March 18, 2023, February 22, 2023, August 10, 2022, and August 24, 2021 authorizing and approving the issuance of the Shares and other related matters; (f) the Option Agreements; and (g) a certificate of an officer of the Company, dated the date hereof (the Fact Certificate). </w:t>
      </w:r>
    </w:p>
    <w:p>
      <w:pPr>
        <w:pStyle w:val="TextBody"/>
        <w:bidi w:val="0"/>
        <w:spacing w:before="240" w:after="0"/>
        <w:jc w:val="left"/>
        <w:rPr>
          <w:rFonts w:ascii="Times New Roman" w:hAnsi="Times New Roman"/>
          <w:sz w:val="20"/>
        </w:rPr>
      </w:pPr>
      <w:r>
        <w:rPr>
          <w:rFonts w:ascii="Times New Roman" w:hAnsi="Times New Roman"/>
          <w:sz w:val="20"/>
        </w:rPr>
        <w:t xml:space="preserve">We have also examined such questions of law, and the originals or copies, certified or otherwise identified to our satisfaction, of such instruments, documents and records as we have deemed necessary or appropriate as a basis for the opinion stated herein. In our examination, we have assumed the genuineness of all signatures, the legal capacity and competency of all natural persons, the accuracy and completeness of all documents submitted to us, the authenticity of all documents submitted to us as originals, and the conformity to the originals of all documents submitted to us as copies. As to matters of fact relevant to our opinion set forth below, we have relied, without independent investigation, on certificates of public officials and the Fact Certificate.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rendering our opinion below, we also have assumed that (i) the Company will have sufficient authorized and unissued shares of Common Stock at the time of each issuance of any Shares, (ii) the Shares will be evidenced by appropriate certificates, duly executed and delivered, or the Board will adopt a resolution providing that all shares of the Companys Common Stock shall be uncertificated in accordance with Section 158 of the General Corporation Law of the State of Delaware (the DGCL) prior to the issuance of the Shares, (iii) the issuance of each Share will be properly recorded in the books and records of the Company, (iv) each Plan and each Option Agreement constitutes the valid and binding agreement of the Company, enforceable against the Company in accordance with its terms; (v) the Company will receive consideration for each Share at least equal to the par value of such share of Common Stock and in the amount required by the applicable Plan, the award agreement issued thereunder and the Authorizing Resolutions (as defined below), or the applicable Option Agreement, as applicable; and (vi) prior to the issuance of any Shares under the Plans, the Board will duly authorize each award granted under the 2020 Plan and the Stock Purchase Plan, as applicable, pursuant to resolutions (the Authorizing Resolutions) approving an award agreement and in accordance with the DGCL and the respective Plan. </w:t>
      </w:r>
    </w:p>
    <w:p>
      <w:pPr>
        <w:pStyle w:val="TextBody"/>
        <w:bidi w:val="0"/>
        <w:spacing w:before="240" w:after="0"/>
        <w:jc w:val="left"/>
        <w:rPr>
          <w:rFonts w:ascii="Times New Roman" w:hAnsi="Times New Roman"/>
          <w:sz w:val="20"/>
        </w:rPr>
      </w:pPr>
      <w:r>
        <w:rPr>
          <w:rFonts w:ascii="Times New Roman" w:hAnsi="Times New Roman"/>
          <w:sz w:val="20"/>
        </w:rPr>
        <w:t xml:space="preserve">Our opinion set forth below is limited to the DGCL and reported decisions interpreting the DGCL.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it is our opinion that the Shares, when issued and paid for in accordance with the terms of the applicable Plan, the Authorizing Resolutions and the applicable award agreements, or the applicable Option Agreement, as applicable,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with the SEC as Exhibit 5.1 to the Registration Statement. In giving such consent, we do not thereby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Yours truly,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K&amp;L GATES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K&amp;L GATES LLP</w:t>
            </w:r>
          </w:p>
        </w:tc>
      </w:tr>
    </w:tbl>
    <w:p>
      <w:pPr>
        <w:pStyle w:val="TextBody"/>
        <w:bidi w:val="0"/>
        <w:spacing w:before="0" w:after="0"/>
        <w:jc w:val="right"/>
        <w:rPr>
          <w:rFonts w:ascii="Times New Roman" w:hAnsi="Times New Roman"/>
          <w:b/>
          <w:sz w:val="20"/>
        </w:rPr>
      </w:pPr>
      <w:bookmarkStart w:id="5" w:name="d522875dex231.htm"/>
      <w:bookmarkStart w:id="6" w:name="ksd522875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issued our report dated February 23, 2023 with respect to the consolidated financial statements of AVITA Medical, Inc. included in the Annual Report on Form 10-K for the year ended December 31, 2022, which are incorporated by reference in this Registration Statement. We consent to the incorporation by reference of the aforementioned report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GRANT THORNTON LLP </w:t>
      </w:r>
    </w:p>
    <w:p>
      <w:pPr>
        <w:pStyle w:val="TextBody"/>
        <w:bidi w:val="0"/>
        <w:spacing w:before="240" w:after="0"/>
        <w:jc w:val="left"/>
        <w:rPr>
          <w:rFonts w:ascii="Times New Roman" w:hAnsi="Times New Roman"/>
          <w:sz w:val="20"/>
        </w:rPr>
      </w:pPr>
      <w:r>
        <w:rPr>
          <w:rFonts w:ascii="Times New Roman" w:hAnsi="Times New Roman"/>
          <w:sz w:val="20"/>
        </w:rPr>
        <w:t xml:space="preserve">Los Angeles, California </w:t>
      </w:r>
    </w:p>
    <w:p>
      <w:pPr>
        <w:pStyle w:val="TextBody"/>
        <w:bidi w:val="0"/>
        <w:spacing w:before="0" w:after="0"/>
        <w:jc w:val="left"/>
        <w:rPr>
          <w:rFonts w:ascii="Times New Roman" w:hAnsi="Times New Roman"/>
          <w:sz w:val="20"/>
        </w:rPr>
      </w:pPr>
      <w:r>
        <w:rPr>
          <w:rFonts w:ascii="Times New Roman" w:hAnsi="Times New Roman"/>
          <w:sz w:val="20"/>
        </w:rPr>
        <w:t xml:space="preserve">June 30, 2023 </w:t>
      </w:r>
    </w:p>
    <w:p>
      <w:pPr>
        <w:pStyle w:val="TextBody"/>
        <w:bidi w:val="0"/>
        <w:spacing w:before="0" w:after="0"/>
        <w:jc w:val="right"/>
        <w:rPr>
          <w:rFonts w:ascii="Times New Roman" w:hAnsi="Times New Roman"/>
          <w:b/>
          <w:sz w:val="20"/>
        </w:rPr>
      </w:pPr>
      <w:bookmarkStart w:id="7" w:name="d522875dexfilingfees.htm"/>
      <w:bookmarkStart w:id="8" w:name="ksd522875dexfilingfees"/>
      <w:bookmarkEnd w:id="7"/>
      <w:bookmarkEnd w:id="8"/>
      <w:r>
        <w:rPr>
          <w:rFonts w:ascii="Times New Roman" w:hAnsi="Times New Roman"/>
          <w:b/>
          <w:sz w:val="20"/>
        </w:rPr>
        <w:t xml:space="preserve">Exhibit 107.1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sz w:val="20"/>
        </w:rPr>
      </w:pPr>
      <w:r>
        <w:rPr>
          <w:rFonts w:ascii="Times New Roman" w:hAnsi="Times New Roman"/>
          <w:b/>
          <w:sz w:val="20"/>
        </w:rPr>
        <w:t>Form S-8</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sz w:val="20"/>
        </w:rPr>
      </w:pPr>
      <w:r>
        <w:rPr>
          <w:rFonts w:ascii="Times New Roman" w:hAnsi="Times New Roman"/>
          <w:b/>
          <w:sz w:val="20"/>
        </w:rPr>
        <w:t>AVITA Medical,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rPr>
      </w:pPr>
      <w:r>
        <w:rPr>
          <w:rFonts w:ascii="Times New Roman" w:hAnsi="Times New Roman"/>
          <w:sz w:val="20"/>
          <w:u w:val="single"/>
        </w:rPr>
        <w:t>Table 1: Newly Registered and Carry Forward Securities</w:t>
      </w:r>
      <w:r>
        <w:rPr>
          <w:rFonts w:ascii="Times New Roman" w:hAnsi="Times New Roman"/>
          <w:sz w:val="20"/>
        </w:rPr>
        <w:t xml:space="preserve"> </w:t>
      </w:r>
    </w:p>
    <w:p>
      <w:pPr>
        <w:pStyle w:val="TextBody"/>
        <w:bidi w:val="0"/>
        <w:spacing w:before="0" w:after="0"/>
        <w:jc w:val="left"/>
        <w:rPr/>
      </w:pPr>
      <w:r>
        <w:rPr/>
        <w:t> </w:t>
      </w:r>
    </w:p>
    <w:tbl>
      <w:tblPr>
        <w:tblW w:w="14860" w:type="dxa"/>
        <w:jc w:val="center"/>
        <w:tblInd w:w="0" w:type="dxa"/>
        <w:tblLayout w:type="fixed"/>
        <w:tblCellMar>
          <w:top w:w="0" w:type="dxa"/>
          <w:left w:w="0" w:type="dxa"/>
          <w:bottom w:w="0" w:type="dxa"/>
          <w:right w:w="0" w:type="dxa"/>
        </w:tblCellMar>
      </w:tblPr>
      <w:tblGrid>
        <w:gridCol w:w="1505"/>
        <w:gridCol w:w="120"/>
        <w:gridCol w:w="4310"/>
        <w:gridCol w:w="120"/>
        <w:gridCol w:w="1940"/>
        <w:gridCol w:w="120"/>
        <w:gridCol w:w="1250"/>
        <w:gridCol w:w="120"/>
        <w:gridCol w:w="1070"/>
        <w:gridCol w:w="120"/>
        <w:gridCol w:w="1520"/>
        <w:gridCol w:w="120"/>
        <w:gridCol w:w="1160"/>
        <w:gridCol w:w="120"/>
        <w:gridCol w:w="126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150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tcBorders>
            <w:tcMar>
              <w:left w:w="160" w:type="dxa"/>
            </w:tcMar>
            <w:vAlign w:val="bottom"/>
          </w:tcPr>
          <w:p>
            <w:pPr>
              <w:pStyle w:val="TableContents"/>
              <w:bidi w:val="0"/>
              <w:spacing w:before="0" w:after="283"/>
              <w:jc w:val="center"/>
              <w:rPr>
                <w:b/>
              </w:rPr>
            </w:pPr>
            <w:r>
              <w:rPr>
                <w:b/>
              </w:rPr>
              <w:t>Security Type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31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Security</w:t>
              <w:br/>
              <w:t>Class</w:t>
            </w:r>
          </w:p>
          <w:p>
            <w:pPr>
              <w:pStyle w:val="TableContents"/>
              <w:bidi w:val="0"/>
              <w:spacing w:before="0" w:after="20"/>
              <w:jc w:val="center"/>
              <w:rPr>
                <w:rFonts w:ascii="Times New Roman" w:hAnsi="Times New Roman"/>
                <w:b/>
                <w:sz w:val="14"/>
              </w:rPr>
            </w:pPr>
            <w:r>
              <w:rPr>
                <w:rFonts w:ascii="Times New Roman" w:hAnsi="Times New Roman"/>
                <w:b/>
                <w:sz w:val="14"/>
              </w:rPr>
              <w:t>Title</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center"/>
              <w:rPr>
                <w:b/>
              </w:rPr>
            </w:pPr>
            <w:r>
              <w:rPr>
                <w:b/>
              </w:rPr>
              <w:t>Fee</w:t>
              <w:br/>
              <w:t>Calculation</w:t>
              <w:br/>
              <w:t>or Carry</w:t>
              <w:br/>
              <w:t>Forward</w:t>
              <w:br/>
              <w:t>Rule</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b/>
              </w:rPr>
            </w:pPr>
            <w:r>
              <w:rPr>
                <w:b/>
              </w:rPr>
              <w:t>Amount</w:t>
              <w:br/>
              <w:t>Registered(1)</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 Per</w:t>
              <w:br/>
              <w:t>Unit(2)</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Maximum</w:t>
            </w:r>
          </w:p>
          <w:p>
            <w:pPr>
              <w:pStyle w:val="TableContents"/>
              <w:bidi w:val="0"/>
              <w:spacing w:before="0" w:after="0"/>
              <w:jc w:val="center"/>
              <w:rPr>
                <w:rFonts w:ascii="Times New Roman" w:hAnsi="Times New Roman"/>
                <w:b/>
                <w:sz w:val="14"/>
              </w:rPr>
            </w:pPr>
            <w:r>
              <w:rPr>
                <w:rFonts w:ascii="Times New Roman" w:hAnsi="Times New Roman"/>
                <w:b/>
                <w:sz w:val="14"/>
              </w:rPr>
              <w:t>Aggregate</w:t>
            </w:r>
          </w:p>
          <w:p>
            <w:pPr>
              <w:pStyle w:val="TableContents"/>
              <w:bidi w:val="0"/>
              <w:spacing w:before="0" w:after="0"/>
              <w:jc w:val="center"/>
              <w:rPr>
                <w:rFonts w:ascii="Times New Roman" w:hAnsi="Times New Roman"/>
                <w:b/>
                <w:sz w:val="14"/>
              </w:rPr>
            </w:pPr>
            <w:r>
              <w:rPr>
                <w:rFonts w:ascii="Times New Roman" w:hAnsi="Times New Roman"/>
                <w:b/>
                <w:sz w:val="14"/>
              </w:rPr>
              <w:t>Offering</w:t>
            </w:r>
          </w:p>
          <w:p>
            <w:pPr>
              <w:pStyle w:val="TableContents"/>
              <w:bidi w:val="0"/>
              <w:spacing w:before="0" w:after="20"/>
              <w:jc w:val="center"/>
              <w:rPr>
                <w:rFonts w:ascii="Times New Roman" w:hAnsi="Times New Roman"/>
                <w:b/>
                <w:sz w:val="14"/>
              </w:rPr>
            </w:pPr>
            <w:r>
              <w:rPr>
                <w:rFonts w:ascii="Times New Roman" w:hAnsi="Times New Roman"/>
                <w:b/>
                <w:sz w:val="14"/>
              </w:rPr>
              <w:t>Price</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Fee</w:t>
            </w:r>
          </w:p>
          <w:p>
            <w:pPr>
              <w:pStyle w:val="TableContents"/>
              <w:bidi w:val="0"/>
              <w:spacing w:before="0" w:after="20"/>
              <w:jc w:val="center"/>
              <w:rPr>
                <w:rFonts w:ascii="Times New Roman" w:hAnsi="Times New Roman"/>
                <w:b/>
                <w:sz w:val="14"/>
              </w:rPr>
            </w:pPr>
            <w:r>
              <w:rPr>
                <w:rFonts w:ascii="Times New Roman" w:hAnsi="Times New Roman"/>
                <w:b/>
                <w:sz w:val="14"/>
              </w:rPr>
              <w:t>Rate</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b/>
              </w:rPr>
            </w:pPr>
            <w:r>
              <w:rPr>
                <w:b/>
              </w:rPr>
              <w:t>Amount of</w:t>
              <w:br/>
              <w:t>Registration</w:t>
              <w:br/>
              <w:t>Fee</w:t>
            </w:r>
          </w:p>
        </w:tc>
      </w:tr>
      <w:tr>
        <w:trPr>
          <w:trHeight w:val="15" w:hRule="atLeast"/>
        </w:trPr>
        <w:tc>
          <w:tcPr>
            <w:tcW w:w="150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tcBorders>
            <w:tcMar>
              <w:left w:w="160" w:type="dxa"/>
            </w:tcMar>
          </w:tcPr>
          <w:p>
            <w:pPr>
              <w:pStyle w:val="TableContents"/>
              <w:bidi w:val="0"/>
              <w:spacing w:before="0" w:after="283"/>
              <w:jc w:val="center"/>
              <w:rPr/>
            </w:pPr>
            <w:r>
              <w:rPr/>
              <w:t>Equity</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310" w:type="dxa"/>
            <w:tcBorders/>
            <w:vAlign w:val="bottom"/>
          </w:tcPr>
          <w:p>
            <w:pPr>
              <w:pStyle w:val="TableContents"/>
              <w:bidi w:val="0"/>
              <w:spacing w:before="0" w:after="283"/>
              <w:jc w:val="center"/>
              <w:rPr/>
            </w:pPr>
            <w:r>
              <w:rPr/>
              <w:t>Common Stock, par value $0.0001 per share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center"/>
              <w:rPr/>
            </w:pPr>
            <w:r>
              <w:rPr/>
              <w:t>Rule 457(c) and (h)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2,500,000(3)</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$15.83</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$39,575,000.00</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0.00011020</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$4,361.17</w:t>
            </w:r>
          </w:p>
        </w:tc>
      </w:tr>
      <w:tr>
        <w:trPr>
          <w:trHeight w:val="15" w:hRule="atLeast"/>
        </w:trPr>
        <w:tc>
          <w:tcPr>
            <w:tcW w:w="150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tcBorders>
            <w:tcMar>
              <w:left w:w="160" w:type="dxa"/>
            </w:tcMar>
          </w:tcPr>
          <w:p>
            <w:pPr>
              <w:pStyle w:val="TableContents"/>
              <w:bidi w:val="0"/>
              <w:spacing w:before="0" w:after="283"/>
              <w:jc w:val="center"/>
              <w:rPr/>
            </w:pPr>
            <w:r>
              <w:rPr/>
              <w:t>Equity</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310" w:type="dxa"/>
            <w:tcBorders/>
            <w:vAlign w:val="bottom"/>
          </w:tcPr>
          <w:p>
            <w:pPr>
              <w:pStyle w:val="TableContents"/>
              <w:bidi w:val="0"/>
              <w:spacing w:before="0" w:after="283"/>
              <w:jc w:val="center"/>
              <w:rPr/>
            </w:pPr>
            <w:r>
              <w:rPr/>
              <w:t>Common Stock, par value $0.0001 per share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center"/>
              <w:rPr/>
            </w:pPr>
            <w:r>
              <w:rPr/>
              <w:t>Rule 457(c) and (h)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1,000,000(4)</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$15.83</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$15,830,000.00</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0.00011020</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$1,744.47</w:t>
            </w:r>
          </w:p>
        </w:tc>
      </w:tr>
      <w:tr>
        <w:trPr>
          <w:trHeight w:val="15" w:hRule="atLeast"/>
        </w:trPr>
        <w:tc>
          <w:tcPr>
            <w:tcW w:w="150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tcBorders>
            <w:tcMar>
              <w:left w:w="160" w:type="dxa"/>
            </w:tcMar>
          </w:tcPr>
          <w:p>
            <w:pPr>
              <w:pStyle w:val="TableContents"/>
              <w:bidi w:val="0"/>
              <w:spacing w:before="0" w:after="283"/>
              <w:jc w:val="center"/>
              <w:rPr/>
            </w:pPr>
            <w:r>
              <w:rPr/>
              <w:t>Equity</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310" w:type="dxa"/>
            <w:tcBorders/>
            <w:vAlign w:val="bottom"/>
          </w:tcPr>
          <w:p>
            <w:pPr>
              <w:pStyle w:val="TableContents"/>
              <w:bidi w:val="0"/>
              <w:spacing w:before="0" w:after="283"/>
              <w:jc w:val="center"/>
              <w:rPr/>
            </w:pPr>
            <w:r>
              <w:rPr/>
              <w:t>Common Stock, par value $0.0001 per share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center"/>
              <w:rPr/>
            </w:pPr>
            <w:r>
              <w:rPr/>
              <w:t>Rule 457(h)</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22,600(5)</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$15.83</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$357,758.00</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0.00011020</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$39.42</w:t>
            </w:r>
          </w:p>
        </w:tc>
      </w:tr>
      <w:tr>
        <w:trPr>
          <w:trHeight w:val="15" w:hRule="atLeast"/>
        </w:trPr>
        <w:tc>
          <w:tcPr>
            <w:tcW w:w="150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tcBorders>
            <w:tcMar>
              <w:left w:w="160" w:type="dxa"/>
            </w:tcMar>
          </w:tcPr>
          <w:p>
            <w:pPr>
              <w:pStyle w:val="TableContents"/>
              <w:bidi w:val="0"/>
              <w:spacing w:before="0" w:after="283"/>
              <w:jc w:val="center"/>
              <w:rPr/>
            </w:pPr>
            <w:r>
              <w:rPr/>
              <w:t>Equity</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310" w:type="dxa"/>
            <w:tcBorders/>
            <w:vAlign w:val="bottom"/>
          </w:tcPr>
          <w:p>
            <w:pPr>
              <w:pStyle w:val="TableContents"/>
              <w:bidi w:val="0"/>
              <w:spacing w:before="0" w:after="283"/>
              <w:jc w:val="center"/>
              <w:rPr/>
            </w:pPr>
            <w:r>
              <w:rPr/>
              <w:t>Common Stock, par value $0.0001 per share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center"/>
              <w:rPr/>
            </w:pPr>
            <w:r>
              <w:rPr/>
              <w:t>Rule 457(h)</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247,876(6)</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$15.83</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$3,923,877.08</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0.00011020</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$432.41</w:t>
            </w:r>
          </w:p>
        </w:tc>
      </w:tr>
      <w:tr>
        <w:trPr>
          <w:trHeight w:val="15" w:hRule="atLeast"/>
        </w:trPr>
        <w:tc>
          <w:tcPr>
            <w:tcW w:w="150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tcBorders>
            <w:tcMar>
              <w:left w:w="160" w:type="dxa"/>
            </w:tcMar>
          </w:tcPr>
          <w:p>
            <w:pPr>
              <w:pStyle w:val="TableContents"/>
              <w:bidi w:val="0"/>
              <w:spacing w:before="0" w:after="283"/>
              <w:jc w:val="center"/>
              <w:rPr/>
            </w:pPr>
            <w:r>
              <w:rPr/>
              <w:t>Equity</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310" w:type="dxa"/>
            <w:tcBorders/>
            <w:vAlign w:val="bottom"/>
          </w:tcPr>
          <w:p>
            <w:pPr>
              <w:pStyle w:val="TableContents"/>
              <w:bidi w:val="0"/>
              <w:spacing w:before="0" w:after="283"/>
              <w:jc w:val="center"/>
              <w:rPr/>
            </w:pPr>
            <w:r>
              <w:rPr/>
              <w:t>Common Stock, par value $0.0001 per share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center"/>
              <w:rPr/>
            </w:pPr>
            <w:r>
              <w:rPr/>
              <w:t>Rule 457(h)</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124,768(7)</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$15.83</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$1,975,077.44</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0.00011020</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$217.65</w:t>
            </w:r>
          </w:p>
        </w:tc>
      </w:tr>
      <w:tr>
        <w:trPr>
          <w:trHeight w:val="15" w:hRule="atLeast"/>
        </w:trPr>
        <w:tc>
          <w:tcPr>
            <w:tcW w:w="150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tcBorders>
            <w:tcMar>
              <w:left w:w="160" w:type="dxa"/>
            </w:tcMar>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31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150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tcBorders>
            <w:tcMar>
              <w:left w:w="160" w:type="dxa"/>
            </w:tcMar>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31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9365"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65" w:type="dxa"/>
            <w:gridSpan w:val="7"/>
            <w:tcBorders>
              <w:left w:val="single" w:sz="2" w:space="0" w:color="000000"/>
            </w:tcBorders>
            <w:tcMar>
              <w:left w:w="160" w:type="dxa"/>
            </w:tcMar>
          </w:tcPr>
          <w:p>
            <w:pPr>
              <w:pStyle w:val="TableContents"/>
              <w:bidi w:val="0"/>
              <w:spacing w:before="0" w:after="283"/>
              <w:jc w:val="center"/>
              <w:rPr>
                <w:b/>
              </w:rPr>
            </w:pPr>
            <w:r>
              <w:rPr>
                <w:b/>
              </w:rPr>
              <w:t>Total Offering Amounts</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$61,661,712.52</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$6,795.12</w:t>
            </w:r>
          </w:p>
        </w:tc>
      </w:tr>
      <w:tr>
        <w:trPr>
          <w:trHeight w:val="15" w:hRule="atLeast"/>
        </w:trPr>
        <w:tc>
          <w:tcPr>
            <w:tcW w:w="9365"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65" w:type="dxa"/>
            <w:gridSpan w:val="7"/>
            <w:tcBorders>
              <w:left w:val="single" w:sz="2" w:space="0" w:color="000000"/>
            </w:tcBorders>
            <w:tcMar>
              <w:left w:w="160" w:type="dxa"/>
            </w:tcMar>
          </w:tcPr>
          <w:p>
            <w:pPr>
              <w:pStyle w:val="TableContents"/>
              <w:bidi w:val="0"/>
              <w:spacing w:before="0" w:after="283"/>
              <w:jc w:val="center"/>
              <w:rPr>
                <w:b/>
              </w:rPr>
            </w:pPr>
            <w:r>
              <w:rPr>
                <w:b/>
              </w:rPr>
              <w:t>Total Fee Offsets</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9365"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65" w:type="dxa"/>
            <w:gridSpan w:val="7"/>
            <w:tcBorders>
              <w:left w:val="single" w:sz="2" w:space="0" w:color="000000"/>
              <w:bottom w:val="single" w:sz="2" w:space="0" w:color="000000"/>
            </w:tcBorders>
            <w:tcMar>
              <w:left w:w="160" w:type="dxa"/>
              <w:bottom w:w="28" w:type="dxa"/>
            </w:tcMar>
          </w:tcPr>
          <w:p>
            <w:pPr>
              <w:pStyle w:val="TableContents"/>
              <w:bidi w:val="0"/>
              <w:spacing w:before="0" w:after="283"/>
              <w:jc w:val="center"/>
              <w:rPr>
                <w:b/>
              </w:rPr>
            </w:pPr>
            <w:r>
              <w:rPr>
                <w:b/>
              </w:rPr>
              <w:t>Net Fees Due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$6,795.12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Any additional shares of common stock of AVITA Medical, Inc. (the </w:t>
            </w:r>
            <w:r>
              <w:rPr>
                <w:rFonts w:ascii="Times New Roman" w:hAnsi="Times New Roman"/>
                <w:sz w:val="20"/>
                <w:u w:val="single"/>
              </w:rPr>
              <w:t>Registrant</w:t>
            </w:r>
            <w:r>
              <w:rPr>
                <w:rFonts w:ascii="Times New Roman" w:hAnsi="Times New Roman"/>
                <w:sz w:val="20"/>
              </w:rPr>
              <w:t>) to be issued as a result of stock dividends, stock splits or similar transactions shall be covered by this Registration Statement as provided in Rule 416(a) under the Securities Act of 1933, as amended (the </w:t>
            </w:r>
            <w:r>
              <w:rPr>
                <w:rFonts w:ascii="Times New Roman" w:hAnsi="Times New Roman"/>
                <w:sz w:val="20"/>
                <w:u w:val="single"/>
              </w:rPr>
              <w:t>Securities Act</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in accordance with Rule 457(c) and (h) under the Securities Act solely for the purpose of calculating the registration fee, which is based on the average of the high and low market prices of the shares of common stock of the Registrant as reported on the Nasdaq Stock Market LLC on June 27,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Represents an additional 2,500,000 shares of common stock, par value $0.0001 per share (</w:t>
            </w:r>
            <w:r>
              <w:rPr>
                <w:rFonts w:ascii="Times New Roman" w:hAnsi="Times New Roman"/>
                <w:sz w:val="20"/>
                <w:u w:val="single"/>
              </w:rPr>
              <w:t>Common Stock</w:t>
            </w:r>
            <w:r>
              <w:rPr>
                <w:rFonts w:ascii="Times New Roman" w:hAnsi="Times New Roman"/>
                <w:sz w:val="20"/>
              </w:rPr>
              <w:t>), issuable under the AVITA Medical, Inc. 2020 Omnibus Incentive Plan, as amended (the </w:t>
            </w:r>
            <w:r>
              <w:rPr>
                <w:rFonts w:ascii="Times New Roman" w:hAnsi="Times New Roman"/>
                <w:sz w:val="20"/>
                <w:u w:val="single"/>
              </w:rPr>
              <w:t>Omnibus Plan</w:t>
            </w:r>
            <w:r>
              <w:rPr>
                <w:rFonts w:ascii="Times New Roman" w:hAnsi="Times New Roman"/>
                <w:sz w:val="20"/>
              </w:rPr>
              <w:t>), as a result of the stockholders of the Registrant approving an amendment to the Omnibus Plan to increase the shares of Common Stock available for issuance under the Omnibus Plan on June 6, 2023 at the Registrants 2023 Annual Meeting of Stockholders (the </w:t>
            </w:r>
            <w:r>
              <w:rPr>
                <w:rFonts w:ascii="Times New Roman" w:hAnsi="Times New Roman"/>
                <w:sz w:val="20"/>
                <w:u w:val="single"/>
              </w:rPr>
              <w:t>2023 Annual Meeting</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1,000,000 shares of Common Stock issuable under the AVITA Medical, Inc. Employee Stock Purchase Plan, as approved by the Registrants stockholders at the 2023 Annual Meeting.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22,600 shares of Common Stock issuable to certain directors and officers of the Registrant upon the exercise of outstanding stock options issued pursuant to individual stock option award agreements in 2021.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247,876 shares of Common Stock issuable to certain directors and officers of the Registrant upon the exercise of outstanding stock options issued pursuant to individual stock option award agreements in 2022.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124,768 shares of Common Stock issuable to certain directors and officers of the Registrant upon the exercise of outstanding stock options issued pursuant to individual stock option award agreements in 2023.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762303/000156459023002302/rcel-10k_20221231.htm" TargetMode="External"/><Relationship Id="rId3" Type="http://schemas.openxmlformats.org/officeDocument/2006/relationships/hyperlink" Target="http://www.sec.gov/Archives/edgar/data/../../../ix?doc=/Archives/edgar/data/1762303/000095017023021310/rcel-20230331.htm" TargetMode="External"/><Relationship Id="rId4" Type="http://schemas.openxmlformats.org/officeDocument/2006/relationships/hyperlink" Target="http://www.sec.gov/Archives/edgar/data/../../../ix?doc=/Archives/edgar/data/1762303/000119312523011170/d416307d8k.htm" TargetMode="External"/><Relationship Id="rId5" Type="http://schemas.openxmlformats.org/officeDocument/2006/relationships/hyperlink" Target="http://www.sec.gov/Archives/edgar/data/../../../ix?doc=/Archives/edgar/data/1762303/000119312523075191/d467079d8k.htm" TargetMode="External"/><Relationship Id="rId6" Type="http://schemas.openxmlformats.org/officeDocument/2006/relationships/hyperlink" Target="http://www.sec.gov/Archives/edgar/data/../../../ix?doc=/Archives/edgar/data/1762303/000119312523076835/d804540d8k.htm" TargetMode="External"/><Relationship Id="rId7" Type="http://schemas.openxmlformats.org/officeDocument/2006/relationships/hyperlink" Target="http://www.sec.gov/Archives/edgar/data/../../../ix?doc=/Archives/edgar/data/1762303/000119312523080474/d468715d8k.htm" TargetMode="External"/><Relationship Id="rId8" Type="http://schemas.openxmlformats.org/officeDocument/2006/relationships/hyperlink" Target="http://www.sec.gov/Archives/edgar/data/../../../ix?doc=/Archives/edgar/data/1762303/000119312523143451/d478946d8k.htm" TargetMode="External"/><Relationship Id="rId9" Type="http://schemas.openxmlformats.org/officeDocument/2006/relationships/hyperlink" Target="http://www.sec.gov/Archives/edgar/data/../../../ix?doc=/Archives/edgar/data/1762303/000119312523162334/d488776d8k.htm" TargetMode="External"/><Relationship Id="rId10" Type="http://schemas.openxmlformats.org/officeDocument/2006/relationships/hyperlink" Target="http://www.sec.gov/Archives/edgar/data/../../../ix?doc=/Archives/edgar/data/1762303/000119312523168182/d522351d8k.htm" TargetMode="External"/><Relationship Id="rId11" Type="http://schemas.openxmlformats.org/officeDocument/2006/relationships/hyperlink" Target="http://www.sec.gov/Archives/edgar/data/1762303/000119312520183429/d75062d8k12b.htm" TargetMode="External"/><Relationship Id="rId12" Type="http://schemas.openxmlformats.org/officeDocument/2006/relationships/hyperlink" Target="http://www.sec.gov/Archives/edgar/data/1762303/000156459022007617/rcel-ex1029_543.htm" TargetMode="External"/><Relationship Id="rId13" Type="http://schemas.openxmlformats.org/officeDocument/2006/relationships/hyperlink" Target="http://www.sec.gov/Archives/edgar/data/1762303/000156459023002302/rcel-ex1019_212.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4460</Words>
  <Characters>23207</Characters>
  <CharactersWithSpaces>27734</CharactersWithSpaces>
  <Paragraphs>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